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05840" cy="949215"/>
            <wp:docPr id="1" name="Picture 1"/>
            <wp:cNvGraphicFramePr>
              <a:graphicFrameLocks noChangeAspect="1"/>
            </wp:cNvGraphicFramePr>
            <a:graphic>
              <a:graphicData uri="http://schemas.openxmlformats.org/drawingml/2006/picture">
                <pic:pic>
                  <pic:nvPicPr>
                    <pic:cNvPr id="0" name="LOGO AKSANTIC.jpeg"/>
                    <pic:cNvPicPr/>
                  </pic:nvPicPr>
                  <pic:blipFill>
                    <a:blip r:embed="rId9"/>
                    <a:stretch>
                      <a:fillRect/>
                    </a:stretch>
                  </pic:blipFill>
                  <pic:spPr>
                    <a:xfrm>
                      <a:off x="0" y="0"/>
                      <a:ext cx="1005840" cy="949215"/>
                    </a:xfrm>
                    <a:prstGeom prst="rect"/>
                  </pic:spPr>
                </pic:pic>
              </a:graphicData>
            </a:graphic>
          </wp:inline>
        </w:drawing>
      </w:r>
    </w:p>
    <w:p>
      <w:pPr>
        <w:jc w:val="center"/>
      </w:pPr>
      <w:r>
        <w:rPr>
          <w:rFonts w:ascii="Arial" w:hAnsi="Arial"/>
          <w:b/>
          <w:color w:val="1D4ED8"/>
          <w:sz w:val="26"/>
        </w:rPr>
        <w:t>MPANGI_PHARMA</w:t>
      </w:r>
    </w:p>
    <w:p>
      <w:pPr>
        <w:jc w:val="center"/>
      </w:pPr>
      <w:r>
        <w:rPr>
          <w:b/>
          <w:color w:val="0F172A"/>
          <w:sz w:val="56"/>
        </w:rPr>
        <w:t>Guide utilisateur opérationnel</w:t>
      </w:r>
    </w:p>
    <w:p>
      <w:pPr>
        <w:jc w:val="center"/>
      </w:pPr>
      <w:r>
        <w:rPr>
          <w:color w:val="64748B"/>
          <w:sz w:val="24"/>
        </w:rPr>
        <w:t>Utilisation quotidienne par owner, gérant, stock, pharmacien, caissier et comptable</w:t>
      </w:r>
    </w:p>
    <w:p/>
    <w:tbl>
      <w:tblPr>
        <w:tblStyle w:val="TableGrid"/>
        <w:tblW w:type="auto" w:w="0"/>
        <w:jc w:val="center"/>
        <w:tblLook w:firstColumn="1" w:firstRow="1" w:lastColumn="0" w:lastRow="0" w:noHBand="0" w:noVBand="1" w:val="04A0"/>
      </w:tblPr>
      <w:tblGrid>
        <w:gridCol w:w="5213"/>
        <w:gridCol w:w="5213"/>
      </w:tblGrid>
      <w:tr>
        <w:tc>
          <w:tcPr>
            <w:tcW w:type="dxa" w:w="5213"/>
            <w:shd w:fill="DBEAFE"/>
            <w:vAlign w:val="center"/>
          </w:tcPr>
          <w:p>
            <w:r/>
            <w:r>
              <w:rPr>
                <w:b/>
                <w:color w:val="0F172A"/>
                <w:sz w:val="18"/>
              </w:rPr>
              <w:t>Version</w:t>
            </w:r>
          </w:p>
        </w:tc>
        <w:tc>
          <w:tcPr>
            <w:tcW w:type="dxa" w:w="5213"/>
            <w:vAlign w:val="center"/>
          </w:tcPr>
          <w:p>
            <w:r/>
            <w:r>
              <w:rPr>
                <w:b w:val="0"/>
                <w:sz w:val="18"/>
              </w:rPr>
              <w:t>v1.0 - formation pilote</w:t>
            </w:r>
          </w:p>
        </w:tc>
      </w:tr>
      <w:tr>
        <w:tc>
          <w:tcPr>
            <w:tcW w:type="dxa" w:w="5213"/>
            <w:shd w:fill="DBEAFE"/>
            <w:vAlign w:val="center"/>
          </w:tcPr>
          <w:p>
            <w:r/>
            <w:r>
              <w:rPr>
                <w:b/>
                <w:color w:val="0F172A"/>
                <w:sz w:val="18"/>
              </w:rPr>
              <w:t>Public cible</w:t>
            </w:r>
          </w:p>
        </w:tc>
        <w:tc>
          <w:tcPr>
            <w:tcW w:type="dxa" w:w="5213"/>
            <w:vAlign w:val="center"/>
          </w:tcPr>
          <w:p>
            <w:r/>
            <w:r>
              <w:rPr>
                <w:b w:val="0"/>
                <w:sz w:val="18"/>
              </w:rPr>
              <w:t>Pharmacies utilisatrices et support terrain</w:t>
            </w:r>
          </w:p>
        </w:tc>
      </w:tr>
      <w:tr>
        <w:tc>
          <w:tcPr>
            <w:tcW w:type="dxa" w:w="5213"/>
            <w:shd w:fill="DBEAFE"/>
            <w:vAlign w:val="center"/>
          </w:tcPr>
          <w:p>
            <w:r/>
            <w:r>
              <w:rPr>
                <w:b/>
                <w:color w:val="0F172A"/>
                <w:sz w:val="18"/>
              </w:rPr>
              <w:t>Date</w:t>
            </w:r>
          </w:p>
        </w:tc>
        <w:tc>
          <w:tcPr>
            <w:tcW w:type="dxa" w:w="5213"/>
            <w:vAlign w:val="center"/>
          </w:tcPr>
          <w:p>
            <w:r/>
            <w:r>
              <w:rPr>
                <w:b w:val="0"/>
                <w:sz w:val="18"/>
              </w:rPr>
              <w:t>30 juin 2026</w:t>
            </w:r>
          </w:p>
        </w:tc>
      </w:tr>
      <w:tr>
        <w:tc>
          <w:tcPr>
            <w:tcW w:type="dxa" w:w="5213"/>
            <w:shd w:fill="DBEAFE"/>
            <w:vAlign w:val="center"/>
          </w:tcPr>
          <w:p>
            <w:r/>
            <w:r>
              <w:rPr>
                <w:b/>
                <w:color w:val="0F172A"/>
                <w:sz w:val="18"/>
              </w:rPr>
              <w:t>Éditeur</w:t>
            </w:r>
          </w:p>
        </w:tc>
        <w:tc>
          <w:tcPr>
            <w:tcW w:type="dxa" w:w="5213"/>
            <w:vAlign w:val="center"/>
          </w:tcPr>
          <w:p>
            <w:r/>
            <w:r>
              <w:rPr>
                <w:b w:val="0"/>
                <w:sz w:val="18"/>
              </w:rPr>
              <w:t>Aksantic Technology</w:t>
            </w:r>
          </w:p>
        </w:tc>
      </w:tr>
    </w:tbl>
    <w:p/>
    <w:p>
      <w:pPr>
        <w:jc w:val="center"/>
      </w:pPr>
      <w:r>
        <w:rPr>
          <w:i/>
          <w:color w:val="64748B"/>
          <w:sz w:val="18"/>
        </w:rPr>
        <w:t>Document de référence pour configuration, formation, déploiement et support.</w:t>
      </w:r>
    </w:p>
    <w:p>
      <w:r>
        <w:br w:type="page"/>
      </w:r>
    </w:p>
    <w:p>
      <w:pPr>
        <w:pStyle w:val="Heading1"/>
      </w:pPr>
      <w:r>
        <w:t>Sommaire</w:t>
      </w:r>
    </w:p>
    <w:p>
      <w:pPr>
        <w:ind w:left="113"/>
      </w:pPr>
      <w:r>
        <w:rPr>
          <w:b/>
          <w:color w:val="0F172A"/>
          <w:sz w:val="20"/>
        </w:rPr>
        <w:t>1. Démarrage et connexion</w:t>
      </w:r>
    </w:p>
    <w:p>
      <w:pPr>
        <w:ind w:left="113"/>
      </w:pPr>
      <w:r>
        <w:rPr>
          <w:b/>
          <w:color w:val="0F172A"/>
          <w:sz w:val="20"/>
        </w:rPr>
        <w:t>2. Navigation mobile et terminal Android</w:t>
      </w:r>
    </w:p>
    <w:p>
      <w:pPr>
        <w:ind w:left="113"/>
      </w:pPr>
      <w:r>
        <w:rPr>
          <w:b/>
          <w:color w:val="0F172A"/>
          <w:sz w:val="20"/>
        </w:rPr>
        <w:t>3. Rôles utilisateurs et accès</w:t>
      </w:r>
    </w:p>
    <w:p>
      <w:pPr>
        <w:ind w:left="113"/>
      </w:pPr>
      <w:r>
        <w:rPr>
          <w:b/>
          <w:color w:val="0F172A"/>
          <w:sz w:val="20"/>
        </w:rPr>
        <w:t>4. Tableau de bord</w:t>
      </w:r>
    </w:p>
    <w:p>
      <w:pPr>
        <w:ind w:left="113"/>
      </w:pPr>
      <w:r>
        <w:rPr>
          <w:b/>
          <w:color w:val="0F172A"/>
          <w:sz w:val="20"/>
        </w:rPr>
        <w:t>5. Gestion des produits avec ACOREP 2026</w:t>
      </w:r>
    </w:p>
    <w:p>
      <w:pPr>
        <w:ind w:left="113"/>
      </w:pPr>
      <w:r>
        <w:rPr>
          <w:b/>
          <w:color w:val="0F172A"/>
          <w:sz w:val="20"/>
        </w:rPr>
        <w:t>6. Gestion des lots et du stock</w:t>
      </w:r>
    </w:p>
    <w:p>
      <w:pPr>
        <w:ind w:left="113"/>
      </w:pPr>
      <w:r>
        <w:rPr>
          <w:b/>
          <w:color w:val="0F172A"/>
          <w:sz w:val="20"/>
        </w:rPr>
        <w:t>7. Ventes et encaissement</w:t>
      </w:r>
    </w:p>
    <w:p>
      <w:pPr>
        <w:ind w:left="113"/>
      </w:pPr>
      <w:r>
        <w:rPr>
          <w:b/>
          <w:color w:val="0F172A"/>
          <w:sz w:val="20"/>
        </w:rPr>
        <w:t>8. Factures et impression</w:t>
      </w:r>
    </w:p>
    <w:p>
      <w:pPr>
        <w:ind w:left="113"/>
      </w:pPr>
      <w:r>
        <w:rPr>
          <w:b/>
          <w:color w:val="0F172A"/>
          <w:sz w:val="20"/>
        </w:rPr>
        <w:t>9. Expirations, finances et rapports</w:t>
      </w:r>
    </w:p>
    <w:p>
      <w:pPr>
        <w:ind w:left="113"/>
      </w:pPr>
      <w:r>
        <w:rPr>
          <w:b/>
          <w:color w:val="0F172A"/>
          <w:sz w:val="20"/>
        </w:rPr>
        <w:t>10. Compte, déconnexion et bonnes pratiques</w:t>
      </w:r>
    </w:p>
    <w:p>
      <w:r>
        <w:br w:type="page"/>
      </w:r>
    </w:p>
    <w:p>
      <w:pPr>
        <w:pStyle w:val="Heading1"/>
      </w:pPr>
      <w:r>
        <w:t>1. Démarrage et connexion</w:t>
      </w:r>
    </w:p>
    <w:p>
      <w:r>
        <w:t>Mpangi_Pharma est accessible depuis un ordinateur, un smartphone ou un terminal Android. Sur terminal Android, l’application peut être installée comme PWA pour un accès rapide, proche d’une application native.</w:t>
      </w:r>
    </w:p>
    <w:p>
      <w:pPr>
        <w:spacing w:after="40"/>
        <w:ind w:left="397" w:hanging="255"/>
      </w:pPr>
      <w:r>
        <w:rPr>
          <w:sz w:val="18"/>
        </w:rPr>
        <w:t>1.</w:t>
        <w:tab/>
        <w:t>Ouvrir l’adresse de l’application dans Chrome.</w:t>
      </w:r>
    </w:p>
    <w:p>
      <w:pPr>
        <w:spacing w:after="40"/>
        <w:ind w:left="397" w:hanging="255"/>
      </w:pPr>
      <w:r>
        <w:rPr>
          <w:sz w:val="18"/>
        </w:rPr>
        <w:t>2.</w:t>
        <w:tab/>
        <w:t>Saisir l’email et le mot de passe fournis par l’administrateur.</w:t>
      </w:r>
    </w:p>
    <w:p>
      <w:pPr>
        <w:spacing w:after="40"/>
        <w:ind w:left="397" w:hanging="255"/>
      </w:pPr>
      <w:r>
        <w:rPr>
          <w:sz w:val="18"/>
        </w:rPr>
        <w:t>3.</w:t>
        <w:tab/>
        <w:t>Si un mot de passe temporaire est demandé, aller dans Mon compte et le modifier.</w:t>
      </w:r>
    </w:p>
    <w:p>
      <w:pPr>
        <w:spacing w:after="40"/>
        <w:ind w:left="397" w:hanging="255"/>
      </w:pPr>
      <w:r>
        <w:rPr>
          <w:sz w:val="18"/>
        </w:rPr>
        <w:t>4.</w:t>
        <w:tab/>
        <w:t>Vérifier la pharmacie active affichée en haut ou dans le menu.</w:t>
      </w:r>
    </w:p>
    <w:p>
      <w:pPr>
        <w:spacing w:after="40"/>
        <w:ind w:left="397" w:hanging="255"/>
      </w:pPr>
      <w:r>
        <w:rPr>
          <w:sz w:val="18"/>
        </w:rPr>
        <w:t>5.</w:t>
        <w:tab/>
        <w:t>Commencer par le tableau de bord, puis accéder aux modules autorisés.</w:t>
      </w:r>
    </w:p>
    <w:tbl>
      <w:tblPr>
        <w:tblW w:type="auto" w:w="0"/>
        <w:jc w:val="center"/>
        <w:tblLook w:firstColumn="1" w:firstRow="1" w:lastColumn="0" w:lastRow="0" w:noHBand="0" w:noVBand="1" w:val="04A0"/>
      </w:tblPr>
      <w:tblGrid>
        <w:gridCol w:w="10426"/>
      </w:tblGrid>
      <w:tr>
        <w:tc>
          <w:tcPr>
            <w:tcW w:type="dxa" w:w="10426"/>
            <w:shd w:fill="FEF3C7"/>
          </w:tcPr>
          <w:p>
            <w:r>
              <w:rPr>
                <w:b/>
                <w:color w:val="B45309"/>
                <w:sz w:val="20"/>
              </w:rPr>
              <w:t>Important</w:t>
              <w:br/>
            </w:r>
            <w:r>
              <w:rPr>
                <w:color w:val="0F172A"/>
                <w:sz w:val="18"/>
              </w:rPr>
              <w:t>Chaque utilisateur doit utiliser son propre compte. Ne partagez pas un compte caissier, gérant ou stock entre plusieurs personnes.</w:t>
            </w:r>
          </w:p>
        </w:tc>
      </w:tr>
    </w:tbl>
    <w:p/>
    <w:p>
      <w:pPr>
        <w:pStyle w:val="Heading1"/>
      </w:pPr>
      <w:r>
        <w:t>2. Navigation mobile et terminal Android</w:t>
      </w:r>
    </w:p>
    <w:p>
      <w:r>
        <w:t>Sur mobile, la navigation a été pensée pour un usage terrain. La barre basse donne accès rapidement aux modules principaux : Accueil, Produits, Ventes, Factures et Menu. Le bouton Sortir permet de se déconnecter rapidement.</w:t>
      </w:r>
    </w:p>
    <w:tbl>
      <w:tblPr>
        <w:tblW w:type="auto" w:w="0"/>
        <w:jc w:val="center"/>
        <w:tblLook w:firstColumn="1" w:firstRow="1" w:lastColumn="0" w:lastRow="0" w:noHBand="0" w:noVBand="1" w:val="04A0"/>
      </w:tblPr>
      <w:tblGrid>
        <w:gridCol w:w="5213"/>
        <w:gridCol w:w="5213"/>
      </w:tblGrid>
      <w:tr>
        <w:tc>
          <w:tcPr>
            <w:tcW w:type="dxa" w:w="5213"/>
          </w:tcPr>
          <w:p>
            <w:pPr>
              <w:jc w:val="center"/>
            </w:pPr>
            <w:r>
              <w:drawing>
                <wp:inline xmlns:a="http://schemas.openxmlformats.org/drawingml/2006/main" xmlns:pic="http://schemas.openxmlformats.org/drawingml/2006/picture">
                  <wp:extent cx="1920240" cy="4160520"/>
                  <wp:docPr id="2" name="Picture 2"/>
                  <wp:cNvGraphicFramePr>
                    <a:graphicFrameLocks noChangeAspect="1"/>
                  </wp:cNvGraphicFramePr>
                  <a:graphic>
                    <a:graphicData uri="http://schemas.openxmlformats.org/drawingml/2006/picture">
                      <pic:pic>
                        <pic:nvPicPr>
                          <pic:cNvPr id="0" name="9a4c89c3-f93d-4261-9292-ec3220047abd.png"/>
                          <pic:cNvPicPr/>
                        </pic:nvPicPr>
                        <pic:blipFill>
                          <a:blip r:embed="rId12"/>
                          <a:stretch>
                            <a:fillRect/>
                          </a:stretch>
                        </pic:blipFill>
                        <pic:spPr>
                          <a:xfrm>
                            <a:off x="0" y="0"/>
                            <a:ext cx="1920240" cy="4160520"/>
                          </a:xfrm>
                          <a:prstGeom prst="rect"/>
                        </pic:spPr>
                      </pic:pic>
                    </a:graphicData>
                  </a:graphic>
                </wp:inline>
              </w:drawing>
            </w:r>
          </w:p>
          <w:p>
            <w:pPr>
              <w:jc w:val="center"/>
            </w:pPr>
            <w:r>
              <w:rPr>
                <w:i/>
                <w:sz w:val="16"/>
              </w:rPr>
              <w:t>Tableau de bord mobile</w:t>
            </w:r>
          </w:p>
        </w:tc>
        <w:tc>
          <w:tcPr>
            <w:tcW w:type="dxa" w:w="5213"/>
          </w:tcPr>
          <w:p>
            <w:pPr>
              <w:jc w:val="center"/>
            </w:pPr>
            <w:r>
              <w:drawing>
                <wp:inline xmlns:a="http://schemas.openxmlformats.org/drawingml/2006/main" xmlns:pic="http://schemas.openxmlformats.org/drawingml/2006/picture">
                  <wp:extent cx="1920240" cy="4160520"/>
                  <wp:docPr id="3" name="Picture 3"/>
                  <wp:cNvGraphicFramePr>
                    <a:graphicFrameLocks noChangeAspect="1"/>
                  </wp:cNvGraphicFramePr>
                  <a:graphic>
                    <a:graphicData uri="http://schemas.openxmlformats.org/drawingml/2006/picture">
                      <pic:pic>
                        <pic:nvPicPr>
                          <pic:cNvPr id="0" name="6ca67b71-331d-4a7a-b97c-3b88ef611eba.png"/>
                          <pic:cNvPicPr/>
                        </pic:nvPicPr>
                        <pic:blipFill>
                          <a:blip r:embed="rId13"/>
                          <a:stretch>
                            <a:fillRect/>
                          </a:stretch>
                        </pic:blipFill>
                        <pic:spPr>
                          <a:xfrm>
                            <a:off x="0" y="0"/>
                            <a:ext cx="1920240" cy="4160520"/>
                          </a:xfrm>
                          <a:prstGeom prst="rect"/>
                        </pic:spPr>
                      </pic:pic>
                    </a:graphicData>
                  </a:graphic>
                </wp:inline>
              </w:drawing>
            </w:r>
          </w:p>
          <w:p>
            <w:pPr>
              <w:jc w:val="center"/>
            </w:pPr>
            <w:r>
              <w:rPr>
                <w:i/>
                <w:sz w:val="16"/>
              </w:rPr>
              <w:t>Menu mobile</w:t>
            </w:r>
          </w:p>
        </w:tc>
      </w:tr>
    </w:tbl>
    <w:p>
      <w:r>
        <w:br w:type="page"/>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2835"/>
            <w:shd w:fill="1D4ED8"/>
            <w:vAlign w:val="center"/>
          </w:tcPr>
          <w:p>
            <w:r/>
            <w:r>
              <w:rPr>
                <w:b/>
                <w:color w:val="FFFFFF"/>
                <w:sz w:val="17"/>
              </w:rPr>
              <w:t>Élément mobile</w:t>
            </w:r>
          </w:p>
        </w:tc>
        <w:tc>
          <w:tcPr>
            <w:tcW w:type="dxa" w:w="6803"/>
            <w:shd w:fill="1D4ED8"/>
            <w:vAlign w:val="center"/>
          </w:tcPr>
          <w:p>
            <w:r/>
            <w:r>
              <w:rPr>
                <w:b/>
                <w:color w:val="FFFFFF"/>
                <w:sz w:val="17"/>
              </w:rPr>
              <w:t>Utilisation</w:t>
            </w:r>
          </w:p>
        </w:tc>
      </w:tr>
      <w:tr>
        <w:tc>
          <w:tcPr>
            <w:tcW w:type="dxa" w:w="2835"/>
            <w:vAlign w:val="center"/>
          </w:tcPr>
          <w:p>
            <w:r/>
            <w:r>
              <w:rPr>
                <w:b w:val="0"/>
                <w:sz w:val="17"/>
              </w:rPr>
              <w:t>Accueil</w:t>
            </w:r>
          </w:p>
        </w:tc>
        <w:tc>
          <w:tcPr>
            <w:tcW w:type="dxa" w:w="6803"/>
            <w:vAlign w:val="center"/>
          </w:tcPr>
          <w:p>
            <w:r/>
            <w:r>
              <w:rPr>
                <w:b w:val="0"/>
                <w:sz w:val="17"/>
              </w:rPr>
              <w:t>Retour au tableau de bord.</w:t>
            </w:r>
          </w:p>
        </w:tc>
      </w:tr>
      <w:tr>
        <w:tc>
          <w:tcPr>
            <w:tcW w:type="dxa" w:w="2835"/>
            <w:vAlign w:val="center"/>
          </w:tcPr>
          <w:p>
            <w:r/>
            <w:r>
              <w:rPr>
                <w:b w:val="0"/>
                <w:sz w:val="17"/>
              </w:rPr>
              <w:t>Produits</w:t>
            </w:r>
          </w:p>
        </w:tc>
        <w:tc>
          <w:tcPr>
            <w:tcW w:type="dxa" w:w="6803"/>
            <w:vAlign w:val="center"/>
          </w:tcPr>
          <w:p>
            <w:r/>
            <w:r>
              <w:rPr>
                <w:b w:val="0"/>
                <w:sz w:val="17"/>
              </w:rPr>
              <w:t>Consulter le stock, ajouter produits/lots.</w:t>
            </w:r>
          </w:p>
        </w:tc>
      </w:tr>
      <w:tr>
        <w:tc>
          <w:tcPr>
            <w:tcW w:type="dxa" w:w="2835"/>
            <w:vAlign w:val="center"/>
          </w:tcPr>
          <w:p>
            <w:r/>
            <w:r>
              <w:rPr>
                <w:b w:val="0"/>
                <w:sz w:val="17"/>
              </w:rPr>
              <w:t>Ventes</w:t>
            </w:r>
          </w:p>
        </w:tc>
        <w:tc>
          <w:tcPr>
            <w:tcW w:type="dxa" w:w="6803"/>
            <w:vAlign w:val="center"/>
          </w:tcPr>
          <w:p>
            <w:r/>
            <w:r>
              <w:rPr>
                <w:b w:val="0"/>
                <w:sz w:val="17"/>
              </w:rPr>
              <w:t>Créer une vente et encaisser.</w:t>
            </w:r>
          </w:p>
        </w:tc>
      </w:tr>
      <w:tr>
        <w:tc>
          <w:tcPr>
            <w:tcW w:type="dxa" w:w="2835"/>
            <w:vAlign w:val="center"/>
          </w:tcPr>
          <w:p>
            <w:r/>
            <w:r>
              <w:rPr>
                <w:b w:val="0"/>
                <w:sz w:val="17"/>
              </w:rPr>
              <w:t>Factures</w:t>
            </w:r>
          </w:p>
        </w:tc>
        <w:tc>
          <w:tcPr>
            <w:tcW w:type="dxa" w:w="6803"/>
            <w:vAlign w:val="center"/>
          </w:tcPr>
          <w:p>
            <w:r/>
            <w:r>
              <w:rPr>
                <w:b w:val="0"/>
                <w:sz w:val="17"/>
              </w:rPr>
              <w:t>Voir et imprimer les factures.</w:t>
            </w:r>
          </w:p>
        </w:tc>
      </w:tr>
      <w:tr>
        <w:tc>
          <w:tcPr>
            <w:tcW w:type="dxa" w:w="2835"/>
            <w:vAlign w:val="center"/>
          </w:tcPr>
          <w:p>
            <w:r/>
            <w:r>
              <w:rPr>
                <w:b w:val="0"/>
                <w:sz w:val="17"/>
              </w:rPr>
              <w:t>Menu</w:t>
            </w:r>
          </w:p>
        </w:tc>
        <w:tc>
          <w:tcPr>
            <w:tcW w:type="dxa" w:w="6803"/>
            <w:vAlign w:val="center"/>
          </w:tcPr>
          <w:p>
            <w:r/>
            <w:r>
              <w:rPr>
                <w:b w:val="0"/>
                <w:sz w:val="17"/>
              </w:rPr>
              <w:t>Accéder aux autres modules : stock, expirations, finances, paramètres, compte.</w:t>
            </w:r>
          </w:p>
        </w:tc>
      </w:tr>
      <w:tr>
        <w:tc>
          <w:tcPr>
            <w:tcW w:type="dxa" w:w="2835"/>
            <w:vAlign w:val="center"/>
          </w:tcPr>
          <w:p>
            <w:r/>
            <w:r>
              <w:rPr>
                <w:b w:val="0"/>
                <w:sz w:val="17"/>
              </w:rPr>
              <w:t>Sortir</w:t>
            </w:r>
          </w:p>
        </w:tc>
        <w:tc>
          <w:tcPr>
            <w:tcW w:type="dxa" w:w="6803"/>
            <w:vAlign w:val="center"/>
          </w:tcPr>
          <w:p>
            <w:r/>
            <w:r>
              <w:rPr>
                <w:b w:val="0"/>
                <w:sz w:val="17"/>
              </w:rPr>
              <w:t>Déconnexion sécurisée.</w:t>
            </w:r>
          </w:p>
        </w:tc>
      </w:tr>
    </w:tbl>
    <w:p/>
    <w:p>
      <w:pPr>
        <w:pStyle w:val="Heading1"/>
      </w:pPr>
      <w:r>
        <w:t>3. Rôles utilisateurs et accès</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2268"/>
            <w:shd w:fill="1D4ED8"/>
            <w:vAlign w:val="center"/>
          </w:tcPr>
          <w:p>
            <w:r/>
            <w:r>
              <w:rPr>
                <w:b/>
                <w:color w:val="FFFFFF"/>
                <w:sz w:val="17"/>
              </w:rPr>
              <w:t>Rôle</w:t>
            </w:r>
          </w:p>
        </w:tc>
        <w:tc>
          <w:tcPr>
            <w:tcW w:type="dxa" w:w="3969"/>
            <w:shd w:fill="1D4ED8"/>
            <w:vAlign w:val="center"/>
          </w:tcPr>
          <w:p>
            <w:r/>
            <w:r>
              <w:rPr>
                <w:b/>
                <w:color w:val="FFFFFF"/>
                <w:sz w:val="17"/>
              </w:rPr>
              <w:t>Responsabilités principales</w:t>
            </w:r>
          </w:p>
        </w:tc>
        <w:tc>
          <w:tcPr>
            <w:tcW w:type="dxa" w:w="3402"/>
            <w:shd w:fill="1D4ED8"/>
            <w:vAlign w:val="center"/>
          </w:tcPr>
          <w:p>
            <w:r/>
            <w:r>
              <w:rPr>
                <w:b/>
                <w:color w:val="FFFFFF"/>
                <w:sz w:val="17"/>
              </w:rPr>
              <w:t>Modules typiques</w:t>
            </w:r>
          </w:p>
        </w:tc>
      </w:tr>
      <w:tr>
        <w:tc>
          <w:tcPr>
            <w:tcW w:type="dxa" w:w="2268"/>
            <w:vAlign w:val="center"/>
          </w:tcPr>
          <w:p>
            <w:r/>
            <w:r>
              <w:rPr>
                <w:b w:val="0"/>
                <w:sz w:val="17"/>
              </w:rPr>
              <w:t>Owner / Propriétaire</w:t>
            </w:r>
          </w:p>
        </w:tc>
        <w:tc>
          <w:tcPr>
            <w:tcW w:type="dxa" w:w="3969"/>
            <w:vAlign w:val="center"/>
          </w:tcPr>
          <w:p>
            <w:r/>
            <w:r>
              <w:rPr>
                <w:b w:val="0"/>
                <w:sz w:val="17"/>
              </w:rPr>
              <w:t>Responsable global de la pharmacie.</w:t>
            </w:r>
          </w:p>
        </w:tc>
        <w:tc>
          <w:tcPr>
            <w:tcW w:type="dxa" w:w="3402"/>
            <w:vAlign w:val="center"/>
          </w:tcPr>
          <w:p>
            <w:r/>
            <w:r>
              <w:rPr>
                <w:b w:val="0"/>
                <w:sz w:val="17"/>
              </w:rPr>
              <w:t>Tous les modules de la pharmacie.</w:t>
            </w:r>
          </w:p>
        </w:tc>
      </w:tr>
      <w:tr>
        <w:tc>
          <w:tcPr>
            <w:tcW w:type="dxa" w:w="2268"/>
            <w:vAlign w:val="center"/>
          </w:tcPr>
          <w:p>
            <w:r/>
            <w:r>
              <w:rPr>
                <w:b w:val="0"/>
                <w:sz w:val="17"/>
              </w:rPr>
              <w:t>Gérant</w:t>
            </w:r>
          </w:p>
        </w:tc>
        <w:tc>
          <w:tcPr>
            <w:tcW w:type="dxa" w:w="3969"/>
            <w:vAlign w:val="center"/>
          </w:tcPr>
          <w:p>
            <w:r/>
            <w:r>
              <w:rPr>
                <w:b w:val="0"/>
                <w:sz w:val="17"/>
              </w:rPr>
              <w:t>Gestion opérationnelle et supervision.</w:t>
            </w:r>
          </w:p>
        </w:tc>
        <w:tc>
          <w:tcPr>
            <w:tcW w:type="dxa" w:w="3402"/>
            <w:vAlign w:val="center"/>
          </w:tcPr>
          <w:p>
            <w:r/>
            <w:r>
              <w:rPr>
                <w:b w:val="0"/>
                <w:sz w:val="17"/>
              </w:rPr>
              <w:t>Dashboard, produits, stock, ventes, factures, paramètres.</w:t>
            </w:r>
          </w:p>
        </w:tc>
      </w:tr>
      <w:tr>
        <w:tc>
          <w:tcPr>
            <w:tcW w:type="dxa" w:w="2268"/>
            <w:vAlign w:val="center"/>
          </w:tcPr>
          <w:p>
            <w:r/>
            <w:r>
              <w:rPr>
                <w:b w:val="0"/>
                <w:sz w:val="17"/>
              </w:rPr>
              <w:t>Pharmacien</w:t>
            </w:r>
          </w:p>
        </w:tc>
        <w:tc>
          <w:tcPr>
            <w:tcW w:type="dxa" w:w="3969"/>
            <w:vAlign w:val="center"/>
          </w:tcPr>
          <w:p>
            <w:r/>
            <w:r>
              <w:rPr>
                <w:b w:val="0"/>
                <w:sz w:val="17"/>
              </w:rPr>
              <w:t>Suivi médicaments, ventes et conseil.</w:t>
            </w:r>
          </w:p>
        </w:tc>
        <w:tc>
          <w:tcPr>
            <w:tcW w:type="dxa" w:w="3402"/>
            <w:vAlign w:val="center"/>
          </w:tcPr>
          <w:p>
            <w:r/>
            <w:r>
              <w:rPr>
                <w:b w:val="0"/>
                <w:sz w:val="17"/>
              </w:rPr>
              <w:t>Produits, stock, ventes, factures, expirations.</w:t>
            </w:r>
          </w:p>
        </w:tc>
      </w:tr>
      <w:tr>
        <w:tc>
          <w:tcPr>
            <w:tcW w:type="dxa" w:w="2268"/>
            <w:vAlign w:val="center"/>
          </w:tcPr>
          <w:p>
            <w:r/>
            <w:r>
              <w:rPr>
                <w:b w:val="0"/>
                <w:sz w:val="17"/>
              </w:rPr>
              <w:t>Gestionnaire stock</w:t>
            </w:r>
          </w:p>
        </w:tc>
        <w:tc>
          <w:tcPr>
            <w:tcW w:type="dxa" w:w="3969"/>
            <w:vAlign w:val="center"/>
          </w:tcPr>
          <w:p>
            <w:r/>
            <w:r>
              <w:rPr>
                <w:b w:val="0"/>
                <w:sz w:val="17"/>
              </w:rPr>
              <w:t>Réception, lots, stock et expirations.</w:t>
            </w:r>
          </w:p>
        </w:tc>
        <w:tc>
          <w:tcPr>
            <w:tcW w:type="dxa" w:w="3402"/>
            <w:vAlign w:val="center"/>
          </w:tcPr>
          <w:p>
            <w:r/>
            <w:r>
              <w:rPr>
                <w:b w:val="0"/>
                <w:sz w:val="17"/>
              </w:rPr>
              <w:t>Produits, stock, expirations.</w:t>
            </w:r>
          </w:p>
        </w:tc>
      </w:tr>
      <w:tr>
        <w:tc>
          <w:tcPr>
            <w:tcW w:type="dxa" w:w="2268"/>
            <w:vAlign w:val="center"/>
          </w:tcPr>
          <w:p>
            <w:r/>
            <w:r>
              <w:rPr>
                <w:b w:val="0"/>
                <w:sz w:val="17"/>
              </w:rPr>
              <w:t>Caissier</w:t>
            </w:r>
          </w:p>
        </w:tc>
        <w:tc>
          <w:tcPr>
            <w:tcW w:type="dxa" w:w="3969"/>
            <w:vAlign w:val="center"/>
          </w:tcPr>
          <w:p>
            <w:r/>
            <w:r>
              <w:rPr>
                <w:b w:val="0"/>
                <w:sz w:val="17"/>
              </w:rPr>
              <w:t>Ventes et encaissements.</w:t>
            </w:r>
          </w:p>
        </w:tc>
        <w:tc>
          <w:tcPr>
            <w:tcW w:type="dxa" w:w="3402"/>
            <w:vAlign w:val="center"/>
          </w:tcPr>
          <w:p>
            <w:r/>
            <w:r>
              <w:rPr>
                <w:b w:val="0"/>
                <w:sz w:val="17"/>
              </w:rPr>
              <w:t>Ventes, factures.</w:t>
            </w:r>
          </w:p>
        </w:tc>
      </w:tr>
      <w:tr>
        <w:tc>
          <w:tcPr>
            <w:tcW w:type="dxa" w:w="2268"/>
            <w:vAlign w:val="center"/>
          </w:tcPr>
          <w:p>
            <w:r/>
            <w:r>
              <w:rPr>
                <w:b w:val="0"/>
                <w:sz w:val="17"/>
              </w:rPr>
              <w:t>Comptable</w:t>
            </w:r>
          </w:p>
        </w:tc>
        <w:tc>
          <w:tcPr>
            <w:tcW w:type="dxa" w:w="3969"/>
            <w:vAlign w:val="center"/>
          </w:tcPr>
          <w:p>
            <w:r/>
            <w:r>
              <w:rPr>
                <w:b w:val="0"/>
                <w:sz w:val="17"/>
              </w:rPr>
              <w:t>Suivi financier.</w:t>
            </w:r>
          </w:p>
        </w:tc>
        <w:tc>
          <w:tcPr>
            <w:tcW w:type="dxa" w:w="3402"/>
            <w:vAlign w:val="center"/>
          </w:tcPr>
          <w:p>
            <w:r/>
            <w:r>
              <w:rPr>
                <w:b w:val="0"/>
                <w:sz w:val="17"/>
              </w:rPr>
              <w:t>Factures, finances.</w:t>
            </w:r>
          </w:p>
        </w:tc>
      </w:tr>
    </w:tbl>
    <w:p/>
    <w:tbl>
      <w:tblPr>
        <w:tblW w:type="auto" w:w="0"/>
        <w:jc w:val="center"/>
        <w:tblLook w:firstColumn="1" w:firstRow="1" w:lastColumn="0" w:lastRow="0" w:noHBand="0" w:noVBand="1" w:val="04A0"/>
      </w:tblPr>
      <w:tblGrid>
        <w:gridCol w:w="10426"/>
      </w:tblGrid>
      <w:tr>
        <w:tc>
          <w:tcPr>
            <w:tcW w:type="dxa" w:w="10426"/>
            <w:shd w:fill="DBEAFE"/>
          </w:tcPr>
          <w:p>
            <w:r>
              <w:rPr>
                <w:b/>
                <w:color w:val="1D4ED8"/>
                <w:sz w:val="20"/>
              </w:rPr>
              <w:t>Accès limité</w:t>
              <w:br/>
            </w:r>
            <w:r>
              <w:rPr>
                <w:color w:val="0F172A"/>
                <w:sz w:val="18"/>
              </w:rPr>
              <w:t>L’utilisateur ne voit que les modules autorisés par son rôle. En cas de module absent, contacter le owner ou le Super Admin.</w:t>
            </w:r>
          </w:p>
        </w:tc>
      </w:tr>
    </w:tbl>
    <w:p/>
    <w:p>
      <w:pPr>
        <w:pStyle w:val="Heading1"/>
      </w:pPr>
      <w:r>
        <w:t>4. Tableau de bord</w:t>
      </w:r>
    </w:p>
    <w:p>
      <w:pPr>
        <w:pStyle w:val="ListBullet"/>
        <w:spacing w:after="40"/>
      </w:pPr>
      <w:r>
        <w:rPr>
          <w:sz w:val="18"/>
        </w:rPr>
        <w:t>Vérifier le nombre de produits actifs.</w:t>
      </w:r>
    </w:p>
    <w:p>
      <w:pPr>
        <w:pStyle w:val="ListBullet"/>
        <w:spacing w:after="40"/>
      </w:pPr>
      <w:r>
        <w:rPr>
          <w:sz w:val="18"/>
        </w:rPr>
        <w:t>Consulter la quantité totale en stock.</w:t>
      </w:r>
    </w:p>
    <w:p>
      <w:pPr>
        <w:pStyle w:val="ListBullet"/>
        <w:spacing w:after="40"/>
      </w:pPr>
      <w:r>
        <w:rPr>
          <w:sz w:val="18"/>
        </w:rPr>
        <w:t>Identifier rapidement les stocks faibles et les ruptures.</w:t>
      </w:r>
    </w:p>
    <w:p>
      <w:pPr>
        <w:pStyle w:val="ListBullet"/>
        <w:spacing w:after="40"/>
      </w:pPr>
      <w:r>
        <w:rPr>
          <w:sz w:val="18"/>
        </w:rPr>
        <w:t>Accéder rapidement à Produits ou Nouvelle vente.</w:t>
      </w:r>
    </w:p>
    <w:p>
      <w:pPr>
        <w:pStyle w:val="ListBullet"/>
        <w:spacing w:after="40"/>
      </w:pPr>
      <w:r>
        <w:rPr>
          <w:sz w:val="18"/>
        </w:rPr>
        <w:t>Vérifier le taux USD/CDF affiché pour la pharmacie.</w:t>
      </w:r>
    </w:p>
    <w:p>
      <w:pPr>
        <w:pStyle w:val="Heading1"/>
      </w:pPr>
      <w:r>
        <w:t>5. Gestion des produits avec ACOREP 2026</w:t>
      </w:r>
    </w:p>
    <w:p>
      <w:r>
        <w:t>La création d’un produit commence idéalement par une recherche dans le catalogue ACOREP 2026. Par défaut, l’application propose les produits avec statut AMM Valide. Si un produit n’existe pas dans le catalogue, il peut être ajouté manuellement avec contrôle anti-doublon.</w:t>
      </w:r>
    </w:p>
    <w:p>
      <w:pPr>
        <w:spacing w:after="40"/>
        <w:ind w:left="397" w:hanging="255"/>
      </w:pPr>
      <w:r>
        <w:rPr>
          <w:sz w:val="18"/>
        </w:rPr>
        <w:t>1.</w:t>
        <w:tab/>
        <w:t>Aller dans Produits &gt; Ajouter un produit.</w:t>
      </w:r>
    </w:p>
    <w:p>
      <w:pPr>
        <w:spacing w:after="40"/>
        <w:ind w:left="397" w:hanging="255"/>
      </w:pPr>
      <w:r>
        <w:rPr>
          <w:sz w:val="18"/>
        </w:rPr>
        <w:t>2.</w:t>
        <w:tab/>
        <w:t>Rechercher par nom, DCI, dosage, classe thérapeutique ou numéro AMM.</w:t>
      </w:r>
    </w:p>
    <w:p>
      <w:pPr>
        <w:spacing w:after="40"/>
        <w:ind w:left="397" w:hanging="255"/>
      </w:pPr>
      <w:r>
        <w:rPr>
          <w:sz w:val="18"/>
        </w:rPr>
        <w:t>3.</w:t>
        <w:tab/>
        <w:t>Filtrer par classe thérapeutique, forme pharmaceutique, conditionnement, cible et statut AMM.</w:t>
      </w:r>
    </w:p>
    <w:p>
      <w:pPr>
        <w:spacing w:after="40"/>
        <w:ind w:left="397" w:hanging="255"/>
      </w:pPr>
      <w:r>
        <w:rPr>
          <w:sz w:val="18"/>
        </w:rPr>
        <w:t>4.</w:t>
        <w:tab/>
        <w:t>Sélectionner le produit ACOREP valide.</w:t>
      </w:r>
    </w:p>
    <w:p>
      <w:pPr>
        <w:spacing w:after="40"/>
        <w:ind w:left="397" w:hanging="255"/>
      </w:pPr>
      <w:r>
        <w:rPr>
          <w:sz w:val="18"/>
        </w:rPr>
        <w:t>5.</w:t>
        <w:tab/>
        <w:t>Compléter fournisseur, lot, prix d’achat, prix de vente, quantité et expiration.</w:t>
      </w:r>
    </w:p>
    <w:p>
      <w:pPr>
        <w:spacing w:after="40"/>
        <w:ind w:left="397" w:hanging="255"/>
      </w:pPr>
      <w:r>
        <w:rPr>
          <w:sz w:val="18"/>
        </w:rPr>
        <w:t>6.</w:t>
        <w:tab/>
        <w:t>Enregistrer le produit.</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2835"/>
            <w:shd w:fill="1D4ED8"/>
            <w:vAlign w:val="center"/>
          </w:tcPr>
          <w:p>
            <w:r/>
            <w:r>
              <w:rPr>
                <w:b/>
                <w:color w:val="FFFFFF"/>
                <w:sz w:val="17"/>
              </w:rPr>
              <w:t>Champ</w:t>
            </w:r>
          </w:p>
        </w:tc>
        <w:tc>
          <w:tcPr>
            <w:tcW w:type="dxa" w:w="6803"/>
            <w:shd w:fill="1D4ED8"/>
            <w:vAlign w:val="center"/>
          </w:tcPr>
          <w:p>
            <w:r/>
            <w:r>
              <w:rPr>
                <w:b/>
                <w:color w:val="FFFFFF"/>
                <w:sz w:val="17"/>
              </w:rPr>
              <w:t>À quoi il sert</w:t>
            </w:r>
          </w:p>
        </w:tc>
      </w:tr>
      <w:tr>
        <w:tc>
          <w:tcPr>
            <w:tcW w:type="dxa" w:w="2835"/>
            <w:vAlign w:val="center"/>
          </w:tcPr>
          <w:p>
            <w:r/>
            <w:r>
              <w:rPr>
                <w:b w:val="0"/>
                <w:sz w:val="17"/>
              </w:rPr>
              <w:t>Nom produit</w:t>
            </w:r>
          </w:p>
        </w:tc>
        <w:tc>
          <w:tcPr>
            <w:tcW w:type="dxa" w:w="6803"/>
            <w:vAlign w:val="center"/>
          </w:tcPr>
          <w:p>
            <w:r/>
            <w:r>
              <w:rPr>
                <w:b w:val="0"/>
                <w:sz w:val="17"/>
              </w:rPr>
              <w:t>Nom commercial issu du catalogue ou saisi manuellement.</w:t>
            </w:r>
          </w:p>
        </w:tc>
      </w:tr>
      <w:tr>
        <w:tc>
          <w:tcPr>
            <w:tcW w:type="dxa" w:w="2835"/>
            <w:vAlign w:val="center"/>
          </w:tcPr>
          <w:p>
            <w:r/>
            <w:r>
              <w:rPr>
                <w:b w:val="0"/>
                <w:sz w:val="17"/>
              </w:rPr>
              <w:t>DCI</w:t>
            </w:r>
          </w:p>
        </w:tc>
        <w:tc>
          <w:tcPr>
            <w:tcW w:type="dxa" w:w="6803"/>
            <w:vAlign w:val="center"/>
          </w:tcPr>
          <w:p>
            <w:r/>
            <w:r>
              <w:rPr>
                <w:b w:val="0"/>
                <w:sz w:val="17"/>
              </w:rPr>
              <w:t>Dénomination commune internationale.</w:t>
            </w:r>
          </w:p>
        </w:tc>
      </w:tr>
      <w:tr>
        <w:tc>
          <w:tcPr>
            <w:tcW w:type="dxa" w:w="2835"/>
            <w:vAlign w:val="center"/>
          </w:tcPr>
          <w:p>
            <w:r/>
            <w:r>
              <w:rPr>
                <w:b w:val="0"/>
                <w:sz w:val="17"/>
              </w:rPr>
              <w:t>Dosage / forme</w:t>
            </w:r>
          </w:p>
        </w:tc>
        <w:tc>
          <w:tcPr>
            <w:tcW w:type="dxa" w:w="6803"/>
            <w:vAlign w:val="center"/>
          </w:tcPr>
          <w:p>
            <w:r/>
            <w:r>
              <w:rPr>
                <w:b w:val="0"/>
                <w:sz w:val="17"/>
              </w:rPr>
              <w:t>Identification précise du médicament.</w:t>
            </w:r>
          </w:p>
        </w:tc>
      </w:tr>
      <w:tr>
        <w:tc>
          <w:tcPr>
            <w:tcW w:type="dxa" w:w="2835"/>
            <w:vAlign w:val="center"/>
          </w:tcPr>
          <w:p>
            <w:r/>
            <w:r>
              <w:rPr>
                <w:b w:val="0"/>
                <w:sz w:val="17"/>
              </w:rPr>
              <w:t>Conditionnement</w:t>
            </w:r>
          </w:p>
        </w:tc>
        <w:tc>
          <w:tcPr>
            <w:tcW w:type="dxa" w:w="6803"/>
            <w:vAlign w:val="center"/>
          </w:tcPr>
          <w:p>
            <w:r/>
            <w:r>
              <w:rPr>
                <w:b w:val="0"/>
                <w:sz w:val="17"/>
              </w:rPr>
              <w:t>Unité de gestion : boîte, flacon, blister, etc.</w:t>
            </w:r>
          </w:p>
        </w:tc>
      </w:tr>
      <w:tr>
        <w:tc>
          <w:tcPr>
            <w:tcW w:type="dxa" w:w="2835"/>
            <w:vAlign w:val="center"/>
          </w:tcPr>
          <w:p>
            <w:r/>
            <w:r>
              <w:rPr>
                <w:b w:val="0"/>
                <w:sz w:val="17"/>
              </w:rPr>
              <w:t>AMM</w:t>
            </w:r>
          </w:p>
        </w:tc>
        <w:tc>
          <w:tcPr>
            <w:tcW w:type="dxa" w:w="6803"/>
            <w:vAlign w:val="center"/>
          </w:tcPr>
          <w:p>
            <w:r/>
            <w:r>
              <w:rPr>
                <w:b w:val="0"/>
                <w:sz w:val="17"/>
              </w:rPr>
              <w:t>Référence réglementaire du produit ACOREP.</w:t>
            </w:r>
          </w:p>
        </w:tc>
      </w:tr>
      <w:tr>
        <w:tc>
          <w:tcPr>
            <w:tcW w:type="dxa" w:w="2835"/>
            <w:vAlign w:val="center"/>
          </w:tcPr>
          <w:p>
            <w:r/>
            <w:r>
              <w:rPr>
                <w:b w:val="0"/>
                <w:sz w:val="17"/>
              </w:rPr>
              <w:t>Statut AMM</w:t>
            </w:r>
          </w:p>
        </w:tc>
        <w:tc>
          <w:tcPr>
            <w:tcW w:type="dxa" w:w="6803"/>
            <w:vAlign w:val="center"/>
          </w:tcPr>
          <w:p>
            <w:r/>
            <w:r>
              <w:rPr>
                <w:b w:val="0"/>
                <w:sz w:val="17"/>
              </w:rPr>
              <w:t>Valide requis pour ajout depuis catalogue.</w:t>
            </w:r>
          </w:p>
        </w:tc>
      </w:tr>
      <w:tr>
        <w:tc>
          <w:tcPr>
            <w:tcW w:type="dxa" w:w="2835"/>
            <w:vAlign w:val="center"/>
          </w:tcPr>
          <w:p>
            <w:r/>
            <w:r>
              <w:rPr>
                <w:b w:val="0"/>
                <w:sz w:val="17"/>
              </w:rPr>
              <w:t>Seuil stock faible</w:t>
            </w:r>
          </w:p>
        </w:tc>
        <w:tc>
          <w:tcPr>
            <w:tcW w:type="dxa" w:w="6803"/>
            <w:vAlign w:val="center"/>
          </w:tcPr>
          <w:p>
            <w:r/>
            <w:r>
              <w:rPr>
                <w:b w:val="0"/>
                <w:sz w:val="17"/>
              </w:rPr>
              <w:t>Déclenche l’alerte de stock faible.</w:t>
            </w:r>
          </w:p>
        </w:tc>
      </w:tr>
    </w:tbl>
    <w:p/>
    <w:p>
      <w:pPr>
        <w:pStyle w:val="Heading1"/>
      </w:pPr>
      <w:r>
        <w:t>6. Gestion des lots et du stock</w:t>
      </w:r>
    </w:p>
    <w:p>
      <w:r>
        <w:t>Un produit peut avoir plusieurs lots. Chaque lot a sa quantité, son prix, sa date d’expiration et éventuellement son fournisseur. Ne recréez pas un produit déjà existant : ajoutez plutôt un nouveau lot.</w:t>
      </w:r>
    </w:p>
    <w:p>
      <w:pPr>
        <w:spacing w:after="40"/>
        <w:ind w:left="397" w:hanging="255"/>
      </w:pPr>
      <w:r>
        <w:rPr>
          <w:sz w:val="18"/>
        </w:rPr>
        <w:t>1.</w:t>
        <w:tab/>
        <w:t>Dans Produits, choisir le produit concerné.</w:t>
      </w:r>
    </w:p>
    <w:p>
      <w:pPr>
        <w:spacing w:after="40"/>
        <w:ind w:left="397" w:hanging="255"/>
      </w:pPr>
      <w:r>
        <w:rPr>
          <w:sz w:val="18"/>
        </w:rPr>
        <w:t>2.</w:t>
        <w:tab/>
        <w:t>Cliquer sur Ajouter lot.</w:t>
      </w:r>
    </w:p>
    <w:p>
      <w:pPr>
        <w:spacing w:after="40"/>
        <w:ind w:left="397" w:hanging="255"/>
      </w:pPr>
      <w:r>
        <w:rPr>
          <w:sz w:val="18"/>
        </w:rPr>
        <w:t>3.</w:t>
        <w:tab/>
        <w:t>Sélectionner ou créer rapidement un fournisseur.</w:t>
      </w:r>
    </w:p>
    <w:p>
      <w:pPr>
        <w:spacing w:after="40"/>
        <w:ind w:left="397" w:hanging="255"/>
      </w:pPr>
      <w:r>
        <w:rPr>
          <w:sz w:val="18"/>
        </w:rPr>
        <w:t>4.</w:t>
        <w:tab/>
        <w:t>Renseigner numéro de lot, quantité, prix d’achat, prix de vente et date d’expiration.</w:t>
      </w:r>
    </w:p>
    <w:p>
      <w:pPr>
        <w:spacing w:after="40"/>
        <w:ind w:left="397" w:hanging="255"/>
      </w:pPr>
      <w:r>
        <w:rPr>
          <w:sz w:val="18"/>
        </w:rPr>
        <w:t>5.</w:t>
        <w:tab/>
        <w:t>Enregistrer le lot.</w:t>
      </w:r>
    </w:p>
    <w:p>
      <w:pPr>
        <w:spacing w:after="40"/>
        <w:ind w:left="397" w:hanging="255"/>
      </w:pPr>
      <w:r>
        <w:rPr>
          <w:sz w:val="18"/>
        </w:rPr>
        <w:t>6.</w:t>
        <w:tab/>
        <w:t>Vérifier que la quantité totale du produit augmente.</w:t>
      </w:r>
    </w:p>
    <w:tbl>
      <w:tblPr>
        <w:tblW w:type="auto" w:w="0"/>
        <w:jc w:val="center"/>
        <w:tblLook w:firstColumn="1" w:firstRow="1" w:lastColumn="0" w:lastRow="0" w:noHBand="0" w:noVBand="1" w:val="04A0"/>
      </w:tblPr>
      <w:tblGrid>
        <w:gridCol w:w="10426"/>
      </w:tblGrid>
      <w:tr>
        <w:tc>
          <w:tcPr>
            <w:tcW w:type="dxa" w:w="10426"/>
            <w:shd w:fill="D1FAE5"/>
          </w:tcPr>
          <w:p>
            <w:r>
              <w:rPr>
                <w:b/>
                <w:color w:val="047857"/>
                <w:sz w:val="20"/>
              </w:rPr>
              <w:t>Bonne pratique stock</w:t>
              <w:br/>
            </w:r>
            <w:r>
              <w:rPr>
                <w:color w:val="0F172A"/>
                <w:sz w:val="18"/>
              </w:rPr>
              <w:t>Chaque réception fournisseur doit être enregistrée comme un nouveau lot, surtout si la date d’expiration ou le prix de vente change.</w:t>
            </w:r>
          </w:p>
        </w:tc>
      </w:tr>
    </w:tbl>
    <w:p/>
    <w:p>
      <w:pPr>
        <w:pStyle w:val="Heading1"/>
      </w:pPr>
      <w:r>
        <w:t>7. Ventes et encaissement</w:t>
      </w:r>
    </w:p>
    <w:p>
      <w:pPr>
        <w:pStyle w:val="ListBullet"/>
        <w:spacing w:after="40"/>
      </w:pPr>
      <w:r>
        <w:rPr>
          <w:sz w:val="18"/>
        </w:rPr>
        <w:t>Ouvrir le module Ventes.</w:t>
      </w:r>
    </w:p>
    <w:p>
      <w:pPr>
        <w:pStyle w:val="ListBullet"/>
        <w:spacing w:after="40"/>
      </w:pPr>
      <w:r>
        <w:rPr>
          <w:sz w:val="18"/>
        </w:rPr>
        <w:t>Rechercher les produits à vendre.</w:t>
      </w:r>
    </w:p>
    <w:p>
      <w:pPr>
        <w:pStyle w:val="ListBullet"/>
        <w:spacing w:after="40"/>
      </w:pPr>
      <w:r>
        <w:rPr>
          <w:sz w:val="18"/>
        </w:rPr>
        <w:t>Ajouter les quantités au panier.</w:t>
      </w:r>
    </w:p>
    <w:p>
      <w:pPr>
        <w:pStyle w:val="ListBullet"/>
        <w:spacing w:after="40"/>
      </w:pPr>
      <w:r>
        <w:rPr>
          <w:sz w:val="18"/>
        </w:rPr>
        <w:t>Vérifier le total, le mode de paiement et la devise.</w:t>
      </w:r>
    </w:p>
    <w:p>
      <w:pPr>
        <w:pStyle w:val="ListBullet"/>
        <w:spacing w:after="40"/>
      </w:pPr>
      <w:r>
        <w:rPr>
          <w:sz w:val="18"/>
        </w:rPr>
        <w:t>Valider la vente pour générer la facture.</w:t>
      </w:r>
    </w:p>
    <w:p>
      <w:pPr>
        <w:pStyle w:val="ListBullet"/>
        <w:spacing w:after="40"/>
      </w:pPr>
      <w:r>
        <w:rPr>
          <w:sz w:val="18"/>
        </w:rPr>
        <w:t>Ne pas fermer l’écran avant la confirmation de la vente.</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2835"/>
            <w:shd w:fill="1D4ED8"/>
            <w:vAlign w:val="center"/>
          </w:tcPr>
          <w:p>
            <w:r/>
            <w:r>
              <w:rPr>
                <w:b/>
                <w:color w:val="FFFFFF"/>
                <w:sz w:val="17"/>
              </w:rPr>
              <w:t>Mode de paiement</w:t>
            </w:r>
          </w:p>
        </w:tc>
        <w:tc>
          <w:tcPr>
            <w:tcW w:type="dxa" w:w="6803"/>
            <w:shd w:fill="1D4ED8"/>
            <w:vAlign w:val="center"/>
          </w:tcPr>
          <w:p>
            <w:r/>
            <w:r>
              <w:rPr>
                <w:b/>
                <w:color w:val="FFFFFF"/>
                <w:sz w:val="17"/>
              </w:rPr>
              <w:t>Usage</w:t>
            </w:r>
          </w:p>
        </w:tc>
      </w:tr>
      <w:tr>
        <w:tc>
          <w:tcPr>
            <w:tcW w:type="dxa" w:w="2835"/>
            <w:vAlign w:val="center"/>
          </w:tcPr>
          <w:p>
            <w:r/>
            <w:r>
              <w:rPr>
                <w:b w:val="0"/>
                <w:sz w:val="17"/>
              </w:rPr>
              <w:t>Cash CDF</w:t>
            </w:r>
          </w:p>
        </w:tc>
        <w:tc>
          <w:tcPr>
            <w:tcW w:type="dxa" w:w="6803"/>
            <w:vAlign w:val="center"/>
          </w:tcPr>
          <w:p>
            <w:r/>
            <w:r>
              <w:rPr>
                <w:b w:val="0"/>
                <w:sz w:val="17"/>
              </w:rPr>
              <w:t>Paiement en francs congolais.</w:t>
            </w:r>
          </w:p>
        </w:tc>
      </w:tr>
      <w:tr>
        <w:tc>
          <w:tcPr>
            <w:tcW w:type="dxa" w:w="2835"/>
            <w:vAlign w:val="center"/>
          </w:tcPr>
          <w:p>
            <w:r/>
            <w:r>
              <w:rPr>
                <w:b w:val="0"/>
                <w:sz w:val="17"/>
              </w:rPr>
              <w:t>Cash USD</w:t>
            </w:r>
          </w:p>
        </w:tc>
        <w:tc>
          <w:tcPr>
            <w:tcW w:type="dxa" w:w="6803"/>
            <w:vAlign w:val="center"/>
          </w:tcPr>
          <w:p>
            <w:r/>
            <w:r>
              <w:rPr>
                <w:b w:val="0"/>
                <w:sz w:val="17"/>
              </w:rPr>
              <w:t>Paiement en dollars.</w:t>
            </w:r>
          </w:p>
        </w:tc>
      </w:tr>
      <w:tr>
        <w:tc>
          <w:tcPr>
            <w:tcW w:type="dxa" w:w="2835"/>
            <w:vAlign w:val="center"/>
          </w:tcPr>
          <w:p>
            <w:r/>
            <w:r>
              <w:rPr>
                <w:b w:val="0"/>
                <w:sz w:val="17"/>
              </w:rPr>
              <w:t>Mobile Money</w:t>
            </w:r>
          </w:p>
        </w:tc>
        <w:tc>
          <w:tcPr>
            <w:tcW w:type="dxa" w:w="6803"/>
            <w:vAlign w:val="center"/>
          </w:tcPr>
          <w:p>
            <w:r/>
            <w:r>
              <w:rPr>
                <w:b w:val="0"/>
                <w:sz w:val="17"/>
              </w:rPr>
              <w:t>Paiement électronique mobile.</w:t>
            </w:r>
          </w:p>
        </w:tc>
      </w:tr>
      <w:tr>
        <w:tc>
          <w:tcPr>
            <w:tcW w:type="dxa" w:w="2835"/>
            <w:vAlign w:val="center"/>
          </w:tcPr>
          <w:p>
            <w:r/>
            <w:r>
              <w:rPr>
                <w:b w:val="0"/>
                <w:sz w:val="17"/>
              </w:rPr>
              <w:t>Carte</w:t>
            </w:r>
          </w:p>
        </w:tc>
        <w:tc>
          <w:tcPr>
            <w:tcW w:type="dxa" w:w="6803"/>
            <w:vAlign w:val="center"/>
          </w:tcPr>
          <w:p>
            <w:r/>
            <w:r>
              <w:rPr>
                <w:b w:val="0"/>
                <w:sz w:val="17"/>
              </w:rPr>
              <w:t>Paiement carte si disponible.</w:t>
            </w:r>
          </w:p>
        </w:tc>
      </w:tr>
      <w:tr>
        <w:tc>
          <w:tcPr>
            <w:tcW w:type="dxa" w:w="2835"/>
            <w:vAlign w:val="center"/>
          </w:tcPr>
          <w:p>
            <w:r/>
            <w:r>
              <w:rPr>
                <w:b w:val="0"/>
                <w:sz w:val="17"/>
              </w:rPr>
              <w:t>Crédit</w:t>
            </w:r>
          </w:p>
        </w:tc>
        <w:tc>
          <w:tcPr>
            <w:tcW w:type="dxa" w:w="6803"/>
            <w:vAlign w:val="center"/>
          </w:tcPr>
          <w:p>
            <w:r/>
            <w:r>
              <w:rPr>
                <w:b w:val="0"/>
                <w:sz w:val="17"/>
              </w:rPr>
              <w:t>Vente à crédit si autorisée.</w:t>
            </w:r>
          </w:p>
        </w:tc>
      </w:tr>
      <w:tr>
        <w:tc>
          <w:tcPr>
            <w:tcW w:type="dxa" w:w="2835"/>
            <w:vAlign w:val="center"/>
          </w:tcPr>
          <w:p>
            <w:r/>
            <w:r>
              <w:rPr>
                <w:b w:val="0"/>
                <w:sz w:val="17"/>
              </w:rPr>
              <w:t>Mixte</w:t>
            </w:r>
          </w:p>
        </w:tc>
        <w:tc>
          <w:tcPr>
            <w:tcW w:type="dxa" w:w="6803"/>
            <w:vAlign w:val="center"/>
          </w:tcPr>
          <w:p>
            <w:r/>
            <w:r>
              <w:rPr>
                <w:b w:val="0"/>
                <w:sz w:val="17"/>
              </w:rPr>
              <w:t>Paiement combiné.</w:t>
            </w:r>
          </w:p>
        </w:tc>
      </w:tr>
    </w:tbl>
    <w:p/>
    <w:p>
      <w:pPr>
        <w:pStyle w:val="Heading1"/>
      </w:pPr>
      <w:r>
        <w:t>8. Factures et impression</w:t>
      </w:r>
    </w:p>
    <w:p>
      <w:r>
        <w:t>Le module Factures permet de retrouver les factures générées après les ventes. Sur mobile, la facture doit être consultable puis imprimable sur le terminal Android ou une imprimante connectée.</w:t>
      </w:r>
    </w:p>
    <w:p>
      <w:pPr>
        <w:jc w:val="center"/>
      </w:pPr>
      <w:r>
        <w:drawing>
          <wp:inline xmlns:a="http://schemas.openxmlformats.org/drawingml/2006/main" xmlns:pic="http://schemas.openxmlformats.org/drawingml/2006/picture">
            <wp:extent cx="2103120" cy="4556760"/>
            <wp:docPr id="4" name="Picture 4"/>
            <wp:cNvGraphicFramePr>
              <a:graphicFrameLocks noChangeAspect="1"/>
            </wp:cNvGraphicFramePr>
            <a:graphic>
              <a:graphicData uri="http://schemas.openxmlformats.org/drawingml/2006/picture">
                <pic:pic>
                  <pic:nvPicPr>
                    <pic:cNvPr id="0" name="fa627ef9-af6b-4e4e-98ca-f7108bb9c672.png"/>
                    <pic:cNvPicPr/>
                  </pic:nvPicPr>
                  <pic:blipFill>
                    <a:blip r:embed="rId14"/>
                    <a:stretch>
                      <a:fillRect/>
                    </a:stretch>
                  </pic:blipFill>
                  <pic:spPr>
                    <a:xfrm>
                      <a:off x="0" y="0"/>
                      <a:ext cx="2103120" cy="4556760"/>
                    </a:xfrm>
                    <a:prstGeom prst="rect"/>
                  </pic:spPr>
                </pic:pic>
              </a:graphicData>
            </a:graphic>
          </wp:inline>
        </w:drawing>
      </w:r>
    </w:p>
    <w:p>
      <w:pPr>
        <w:jc w:val="center"/>
      </w:pPr>
      <w:r>
        <w:rPr>
          <w:i/>
          <w:color w:val="64748B"/>
          <w:sz w:val="16"/>
        </w:rPr>
        <w:t>Exemple de page Factures sur mobile.</w:t>
      </w:r>
    </w:p>
    <w:p>
      <w:pPr>
        <w:spacing w:after="40"/>
        <w:ind w:left="397" w:hanging="255"/>
      </w:pPr>
      <w:r>
        <w:rPr>
          <w:sz w:val="18"/>
        </w:rPr>
        <w:t>1.</w:t>
        <w:tab/>
        <w:t>Aller dans Factures.</w:t>
      </w:r>
    </w:p>
    <w:p>
      <w:pPr>
        <w:spacing w:after="40"/>
        <w:ind w:left="397" w:hanging="255"/>
      </w:pPr>
      <w:r>
        <w:rPr>
          <w:sz w:val="18"/>
        </w:rPr>
        <w:t>2.</w:t>
        <w:tab/>
        <w:t>Rechercher par numéro de facture, client ou mode de paiement.</w:t>
      </w:r>
    </w:p>
    <w:p>
      <w:pPr>
        <w:spacing w:after="40"/>
        <w:ind w:left="397" w:hanging="255"/>
      </w:pPr>
      <w:r>
        <w:rPr>
          <w:sz w:val="18"/>
        </w:rPr>
        <w:t>3.</w:t>
        <w:tab/>
        <w:t>Cliquer sur Voir / Imprimer.</w:t>
      </w:r>
    </w:p>
    <w:p>
      <w:pPr>
        <w:spacing w:after="40"/>
        <w:ind w:left="397" w:hanging="255"/>
      </w:pPr>
      <w:r>
        <w:rPr>
          <w:sz w:val="18"/>
        </w:rPr>
        <w:t>4.</w:t>
        <w:tab/>
        <w:t>Vérifier les produits, quantités, total, devise et mode de paiement.</w:t>
      </w:r>
    </w:p>
    <w:p>
      <w:pPr>
        <w:spacing w:after="40"/>
        <w:ind w:left="397" w:hanging="255"/>
      </w:pPr>
      <w:r>
        <w:rPr>
          <w:sz w:val="18"/>
        </w:rPr>
        <w:t>5.</w:t>
        <w:tab/>
        <w:t>Cliquer sur Imprimer si le terminal/imprimante est configuré.</w:t>
      </w:r>
    </w:p>
    <w:p>
      <w:pPr>
        <w:spacing w:after="40"/>
        <w:ind w:left="397" w:hanging="255"/>
      </w:pPr>
      <w:r>
        <w:rPr>
          <w:sz w:val="18"/>
        </w:rPr>
        <w:t>6.</w:t>
        <w:tab/>
        <w:t>Remettre le ticket au client.</w:t>
      </w:r>
    </w:p>
    <w:tbl>
      <w:tblPr>
        <w:tblW w:type="auto" w:w="0"/>
        <w:jc w:val="center"/>
        <w:tblLook w:firstColumn="1" w:firstRow="1" w:lastColumn="0" w:lastRow="0" w:noHBand="0" w:noVBand="1" w:val="04A0"/>
      </w:tblPr>
      <w:tblGrid>
        <w:gridCol w:w="10426"/>
      </w:tblGrid>
      <w:tr>
        <w:tc>
          <w:tcPr>
            <w:tcW w:type="dxa" w:w="10426"/>
            <w:shd w:fill="FEF3C7"/>
          </w:tcPr>
          <w:p>
            <w:r>
              <w:rPr>
                <w:b/>
                <w:color w:val="B45309"/>
                <w:sz w:val="20"/>
              </w:rPr>
              <w:t>Impression terminal</w:t>
              <w:br/>
            </w:r>
            <w:r>
              <w:rPr>
                <w:color w:val="0F172A"/>
                <w:sz w:val="18"/>
              </w:rPr>
              <w:t>L’impression thermique doit être testée sur le modèle réel du terminal. Si la PWA ne permet pas l’impression directe, une version APK avec SDK imprimante sera nécessaire.</w:t>
            </w:r>
          </w:p>
        </w:tc>
      </w:tr>
    </w:tbl>
    <w:p/>
    <w:p>
      <w:pPr>
        <w:pStyle w:val="Heading1"/>
      </w:pPr>
      <w:r>
        <w:t>9. Expirations, finances et rapports</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2835"/>
            <w:shd w:fill="1D4ED8"/>
            <w:vAlign w:val="center"/>
          </w:tcPr>
          <w:p>
            <w:r/>
            <w:r>
              <w:rPr>
                <w:b/>
                <w:color w:val="FFFFFF"/>
                <w:sz w:val="17"/>
              </w:rPr>
              <w:t>Module</w:t>
            </w:r>
          </w:p>
        </w:tc>
        <w:tc>
          <w:tcPr>
            <w:tcW w:type="dxa" w:w="6803"/>
            <w:shd w:fill="1D4ED8"/>
            <w:vAlign w:val="center"/>
          </w:tcPr>
          <w:p>
            <w:r/>
            <w:r>
              <w:rPr>
                <w:b/>
                <w:color w:val="FFFFFF"/>
                <w:sz w:val="17"/>
              </w:rPr>
              <w:t>À consulter pour</w:t>
            </w:r>
          </w:p>
        </w:tc>
      </w:tr>
      <w:tr>
        <w:tc>
          <w:tcPr>
            <w:tcW w:type="dxa" w:w="2835"/>
            <w:vAlign w:val="center"/>
          </w:tcPr>
          <w:p>
            <w:r/>
            <w:r>
              <w:rPr>
                <w:b w:val="0"/>
                <w:sz w:val="17"/>
              </w:rPr>
              <w:t>Expirations</w:t>
            </w:r>
          </w:p>
        </w:tc>
        <w:tc>
          <w:tcPr>
            <w:tcW w:type="dxa" w:w="6803"/>
            <w:vAlign w:val="center"/>
          </w:tcPr>
          <w:p>
            <w:r/>
            <w:r>
              <w:rPr>
                <w:b w:val="0"/>
                <w:sz w:val="17"/>
              </w:rPr>
              <w:t>Lots expirés ou proches expiration. Priorité de contrôle par le gestionnaire stock.</w:t>
            </w:r>
          </w:p>
        </w:tc>
      </w:tr>
      <w:tr>
        <w:tc>
          <w:tcPr>
            <w:tcW w:type="dxa" w:w="2835"/>
            <w:vAlign w:val="center"/>
          </w:tcPr>
          <w:p>
            <w:r/>
            <w:r>
              <w:rPr>
                <w:b w:val="0"/>
                <w:sz w:val="17"/>
              </w:rPr>
              <w:t>Finances</w:t>
            </w:r>
          </w:p>
        </w:tc>
        <w:tc>
          <w:tcPr>
            <w:tcW w:type="dxa" w:w="6803"/>
            <w:vAlign w:val="center"/>
          </w:tcPr>
          <w:p>
            <w:r/>
            <w:r>
              <w:rPr>
                <w:b w:val="0"/>
                <w:sz w:val="17"/>
              </w:rPr>
              <w:t>Ventes, marges, dépenses et suivi comptable.</w:t>
            </w:r>
          </w:p>
        </w:tc>
      </w:tr>
      <w:tr>
        <w:tc>
          <w:tcPr>
            <w:tcW w:type="dxa" w:w="2835"/>
            <w:vAlign w:val="center"/>
          </w:tcPr>
          <w:p>
            <w:r/>
            <w:r>
              <w:rPr>
                <w:b w:val="0"/>
                <w:sz w:val="17"/>
              </w:rPr>
              <w:t>Audit</w:t>
            </w:r>
          </w:p>
        </w:tc>
        <w:tc>
          <w:tcPr>
            <w:tcW w:type="dxa" w:w="6803"/>
            <w:vAlign w:val="center"/>
          </w:tcPr>
          <w:p>
            <w:r/>
            <w:r>
              <w:rPr>
                <w:b w:val="0"/>
                <w:sz w:val="17"/>
              </w:rPr>
              <w:t>Historique de certaines actions sensibles si activé pour le rôle.</w:t>
            </w:r>
          </w:p>
        </w:tc>
      </w:tr>
      <w:tr>
        <w:tc>
          <w:tcPr>
            <w:tcW w:type="dxa" w:w="2835"/>
            <w:vAlign w:val="center"/>
          </w:tcPr>
          <w:p>
            <w:r/>
            <w:r>
              <w:rPr>
                <w:b w:val="0"/>
                <w:sz w:val="17"/>
              </w:rPr>
              <w:t>Sauvegardes</w:t>
            </w:r>
          </w:p>
        </w:tc>
        <w:tc>
          <w:tcPr>
            <w:tcW w:type="dxa" w:w="6803"/>
            <w:vAlign w:val="center"/>
          </w:tcPr>
          <w:p>
            <w:r/>
            <w:r>
              <w:rPr>
                <w:b w:val="0"/>
                <w:sz w:val="17"/>
              </w:rPr>
              <w:t>Exports ou sauvegardes selon droit.</w:t>
            </w:r>
          </w:p>
        </w:tc>
      </w:tr>
    </w:tbl>
    <w:p/>
    <w:p>
      <w:pPr>
        <w:pStyle w:val="Heading1"/>
      </w:pPr>
      <w:r>
        <w:t>10. Compte, déconnexion et bonnes pratiques</w:t>
      </w:r>
    </w:p>
    <w:p>
      <w:pPr>
        <w:jc w:val="center"/>
      </w:pPr>
      <w:r>
        <w:drawing>
          <wp:inline xmlns:a="http://schemas.openxmlformats.org/drawingml/2006/main" xmlns:pic="http://schemas.openxmlformats.org/drawingml/2006/picture">
            <wp:extent cx="2103120" cy="4556760"/>
            <wp:docPr id="5" name="Picture 5"/>
            <wp:cNvGraphicFramePr>
              <a:graphicFrameLocks noChangeAspect="1"/>
            </wp:cNvGraphicFramePr>
            <a:graphic>
              <a:graphicData uri="http://schemas.openxmlformats.org/drawingml/2006/picture">
                <pic:pic>
                  <pic:nvPicPr>
                    <pic:cNvPr id="0" name="7d6cdc70-61d1-4979-b303-f41bdf33c044.png"/>
                    <pic:cNvPicPr/>
                  </pic:nvPicPr>
                  <pic:blipFill>
                    <a:blip r:embed="rId15"/>
                    <a:stretch>
                      <a:fillRect/>
                    </a:stretch>
                  </pic:blipFill>
                  <pic:spPr>
                    <a:xfrm>
                      <a:off x="0" y="0"/>
                      <a:ext cx="2103120" cy="4556760"/>
                    </a:xfrm>
                    <a:prstGeom prst="rect"/>
                  </pic:spPr>
                </pic:pic>
              </a:graphicData>
            </a:graphic>
          </wp:inline>
        </w:drawing>
      </w:r>
    </w:p>
    <w:p>
      <w:pPr>
        <w:jc w:val="center"/>
      </w:pPr>
      <w:r>
        <w:rPr>
          <w:i/>
          <w:color w:val="64748B"/>
          <w:sz w:val="16"/>
        </w:rPr>
        <w:t>Écran Mon compte : changement de mot de passe.</w:t>
      </w:r>
    </w:p>
    <w:p>
      <w:pPr>
        <w:pStyle w:val="ListBullet"/>
        <w:spacing w:after="40"/>
      </w:pPr>
      <w:r>
        <w:rPr>
          <w:sz w:val="18"/>
        </w:rPr>
        <w:t>Changer le mot de passe temporaire dès la première connexion.</w:t>
      </w:r>
    </w:p>
    <w:p>
      <w:pPr>
        <w:pStyle w:val="ListBullet"/>
        <w:spacing w:after="40"/>
      </w:pPr>
      <w:r>
        <w:rPr>
          <w:sz w:val="18"/>
        </w:rPr>
        <w:t>Utiliser le bouton Sortir à la fin du service.</w:t>
      </w:r>
    </w:p>
    <w:p>
      <w:pPr>
        <w:pStyle w:val="ListBullet"/>
        <w:spacing w:after="40"/>
      </w:pPr>
      <w:r>
        <w:rPr>
          <w:sz w:val="18"/>
        </w:rPr>
        <w:t>Ne pas laisser un terminal connecté sans surveillance.</w:t>
      </w:r>
    </w:p>
    <w:p>
      <w:pPr>
        <w:pStyle w:val="ListBullet"/>
        <w:spacing w:after="40"/>
      </w:pPr>
      <w:r>
        <w:rPr>
          <w:sz w:val="18"/>
        </w:rPr>
        <w:t>Brancher/recharger le terminal chaque soir.</w:t>
      </w:r>
    </w:p>
    <w:p>
      <w:pPr>
        <w:pStyle w:val="ListBullet"/>
        <w:spacing w:after="40"/>
      </w:pPr>
      <w:r>
        <w:rPr>
          <w:sz w:val="18"/>
        </w:rPr>
        <w:t>Prévoir papier thermique de réserve.</w:t>
      </w:r>
    </w:p>
    <w:p>
      <w:pPr>
        <w:pStyle w:val="ListBullet"/>
        <w:spacing w:after="40"/>
      </w:pPr>
      <w:r>
        <w:rPr>
          <w:sz w:val="18"/>
        </w:rPr>
        <w:t>Vérifier la connexion internet avant le début de journée.</w:t>
      </w:r>
    </w:p>
    <w:p>
      <w:pPr>
        <w:pStyle w:val="ListBullet"/>
        <w:spacing w:after="40"/>
      </w:pPr>
      <w:r>
        <w:rPr>
          <w:sz w:val="18"/>
        </w:rPr>
        <w:t>Signaler toute erreur de stock, vente ou impression au responsable.</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2835"/>
            <w:shd w:fill="1D4ED8"/>
            <w:vAlign w:val="center"/>
          </w:tcPr>
          <w:p>
            <w:r/>
            <w:r>
              <w:rPr>
                <w:b/>
                <w:color w:val="FFFFFF"/>
                <w:sz w:val="17"/>
              </w:rPr>
              <w:t>Problème</w:t>
            </w:r>
          </w:p>
        </w:tc>
        <w:tc>
          <w:tcPr>
            <w:tcW w:type="dxa" w:w="6803"/>
            <w:shd w:fill="1D4ED8"/>
            <w:vAlign w:val="center"/>
          </w:tcPr>
          <w:p>
            <w:r/>
            <w:r>
              <w:rPr>
                <w:b/>
                <w:color w:val="FFFFFF"/>
                <w:sz w:val="17"/>
              </w:rPr>
              <w:t>Action utilisateur</w:t>
            </w:r>
          </w:p>
        </w:tc>
      </w:tr>
      <w:tr>
        <w:tc>
          <w:tcPr>
            <w:tcW w:type="dxa" w:w="2835"/>
            <w:vAlign w:val="center"/>
          </w:tcPr>
          <w:p>
            <w:r/>
            <w:r>
              <w:rPr>
                <w:b w:val="0"/>
                <w:sz w:val="17"/>
              </w:rPr>
              <w:t>Produit introuvable</w:t>
            </w:r>
          </w:p>
        </w:tc>
        <w:tc>
          <w:tcPr>
            <w:tcW w:type="dxa" w:w="6803"/>
            <w:vAlign w:val="center"/>
          </w:tcPr>
          <w:p>
            <w:r/>
            <w:r>
              <w:rPr>
                <w:b w:val="0"/>
                <w:sz w:val="17"/>
              </w:rPr>
              <w:t>Chercher par DCI ou ajouter manuellement si absent.</w:t>
            </w:r>
          </w:p>
        </w:tc>
      </w:tr>
      <w:tr>
        <w:tc>
          <w:tcPr>
            <w:tcW w:type="dxa" w:w="2835"/>
            <w:vAlign w:val="center"/>
          </w:tcPr>
          <w:p>
            <w:r/>
            <w:r>
              <w:rPr>
                <w:b w:val="0"/>
                <w:sz w:val="17"/>
              </w:rPr>
              <w:t>Produit déjà existant</w:t>
            </w:r>
          </w:p>
        </w:tc>
        <w:tc>
          <w:tcPr>
            <w:tcW w:type="dxa" w:w="6803"/>
            <w:vAlign w:val="center"/>
          </w:tcPr>
          <w:p>
            <w:r/>
            <w:r>
              <w:rPr>
                <w:b w:val="0"/>
                <w:sz w:val="17"/>
              </w:rPr>
              <w:t>Ajouter un lot au lieu de recréer le produit.</w:t>
            </w:r>
          </w:p>
        </w:tc>
      </w:tr>
      <w:tr>
        <w:tc>
          <w:tcPr>
            <w:tcW w:type="dxa" w:w="2835"/>
            <w:vAlign w:val="center"/>
          </w:tcPr>
          <w:p>
            <w:r/>
            <w:r>
              <w:rPr>
                <w:b w:val="0"/>
                <w:sz w:val="17"/>
              </w:rPr>
              <w:t>AMM expirée</w:t>
            </w:r>
          </w:p>
        </w:tc>
        <w:tc>
          <w:tcPr>
            <w:tcW w:type="dxa" w:w="6803"/>
            <w:vAlign w:val="center"/>
          </w:tcPr>
          <w:p>
            <w:r/>
            <w:r>
              <w:rPr>
                <w:b w:val="0"/>
                <w:sz w:val="17"/>
              </w:rPr>
              <w:t>Ne pas ajouter depuis catalogue ; signaler au responsable.</w:t>
            </w:r>
          </w:p>
        </w:tc>
      </w:tr>
      <w:tr>
        <w:tc>
          <w:tcPr>
            <w:tcW w:type="dxa" w:w="2835"/>
            <w:vAlign w:val="center"/>
          </w:tcPr>
          <w:p>
            <w:r/>
            <w:r>
              <w:rPr>
                <w:b w:val="0"/>
                <w:sz w:val="17"/>
              </w:rPr>
              <w:t>Facture non imprimée</w:t>
            </w:r>
          </w:p>
        </w:tc>
        <w:tc>
          <w:tcPr>
            <w:tcW w:type="dxa" w:w="6803"/>
            <w:vAlign w:val="center"/>
          </w:tcPr>
          <w:p>
            <w:r/>
            <w:r>
              <w:rPr>
                <w:b w:val="0"/>
                <w:sz w:val="17"/>
              </w:rPr>
              <w:t>Réessayer, vérifier papier, connexion imprimante et batterie.</w:t>
            </w:r>
          </w:p>
        </w:tc>
      </w:tr>
      <w:tr>
        <w:tc>
          <w:tcPr>
            <w:tcW w:type="dxa" w:w="2835"/>
            <w:vAlign w:val="center"/>
          </w:tcPr>
          <w:p>
            <w:r/>
            <w:r>
              <w:rPr>
                <w:b w:val="0"/>
                <w:sz w:val="17"/>
              </w:rPr>
              <w:t>Accès refusé</w:t>
            </w:r>
          </w:p>
        </w:tc>
        <w:tc>
          <w:tcPr>
            <w:tcW w:type="dxa" w:w="6803"/>
            <w:vAlign w:val="center"/>
          </w:tcPr>
          <w:p>
            <w:r/>
            <w:r>
              <w:rPr>
                <w:b w:val="0"/>
                <w:sz w:val="17"/>
              </w:rPr>
              <w:t>Vérifier le rôle auprès du owner.</w:t>
            </w:r>
          </w:p>
        </w:tc>
      </w:tr>
      <w:tr>
        <w:tc>
          <w:tcPr>
            <w:tcW w:type="dxa" w:w="2835"/>
            <w:vAlign w:val="center"/>
          </w:tcPr>
          <w:p>
            <w:r/>
            <w:r>
              <w:rPr>
                <w:b w:val="0"/>
                <w:sz w:val="17"/>
              </w:rPr>
              <w:t>Application ancienne</w:t>
            </w:r>
          </w:p>
        </w:tc>
        <w:tc>
          <w:tcPr>
            <w:tcW w:type="dxa" w:w="6803"/>
            <w:vAlign w:val="center"/>
          </w:tcPr>
          <w:p>
            <w:r/>
            <w:r>
              <w:rPr>
                <w:b w:val="0"/>
                <w:sz w:val="17"/>
              </w:rPr>
              <w:t>Vider cache PWA ou réinstaller après confirmation support.</w:t>
            </w:r>
          </w:p>
        </w:tc>
      </w:tr>
    </w:tbl>
    <w:p/>
    <w:sectPr w:rsidR="00FC693F" w:rsidRPr="0006063C" w:rsidSect="00034616">
      <w:headerReference w:type="default" r:id="rId10"/>
      <w:footerReference w:type="default" r:id="rId11"/>
      <w:pgSz w:w="12240" w:h="15840"/>
      <w:pgMar w:top="907"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Aksantic Technology - document de travail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Mpangi_Pharma | Guide utilisateur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F17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D4ED8"/>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F172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D4ED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F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Arial"/>
      <w:color w:val="0F172A"/>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