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F59E0B"/>
          <w:sz w:val="32"/>
        </w:rPr>
        <w:t>IMGC CORPORATION</w:t>
      </w:r>
    </w:p>
    <w:p>
      <w:pPr>
        <w:jc w:val="center"/>
      </w:pPr>
      <w:r>
        <w:rPr>
          <w:rFonts w:ascii="Calibri" w:hAnsi="Calibri"/>
          <w:b/>
          <w:color w:val="1E3A5F"/>
          <w:sz w:val="72"/>
        </w:rPr>
        <w:t>Policy Administration System</w:t>
      </w:r>
    </w:p>
    <w:p>
      <w:pPr>
        <w:jc w:val="center"/>
      </w:pPr>
      <w:r>
        <w:rPr>
          <w:rFonts w:ascii="Calibri" w:hAnsi="Calibri"/>
          <w:color w:val="F59E0B"/>
          <w:sz w:val="48"/>
        </w:rPr>
        <w:t>Application Guide</w:t>
      </w:r>
    </w:p>
    <w:p/>
    <w:p/>
    <w:p>
      <w:pPr>
        <w:jc w:val="center"/>
      </w:pPr>
      <w:r>
        <w:rPr>
          <w:rFonts w:ascii="Calibri" w:hAnsi="Calibri"/>
          <w:color w:val="64748B"/>
          <w:sz w:val="28"/>
        </w:rPr>
        <w:t>Enterprise Edition  |  Version 3.2.1</w:t>
      </w:r>
    </w:p>
    <w:p>
      <w:pPr>
        <w:jc w:val="center"/>
      </w:pPr>
      <w:r>
        <w:rPr>
          <w:rFonts w:ascii="Calibri" w:hAnsi="Calibri"/>
          <w:color w:val="64748B"/>
          <w:sz w:val="24"/>
        </w:rPr>
        <w:t>March 2026  |  Confidential</w:t>
      </w:r>
    </w:p>
    <w:p/>
    <w:p/>
    <w:p/>
    <w:p/>
    <w:p>
      <w:pPr>
        <w:jc w:val="center"/>
      </w:pPr>
      <w:r>
        <w:rPr>
          <w:rFonts w:ascii="Calibri" w:hAnsi="Calibri"/>
          <w:color w:val="94A3B8"/>
          <w:sz w:val="22"/>
        </w:rPr>
        <w:t>India Mortgage Guarantee Corporation</w:t>
      </w:r>
    </w:p>
    <w:p>
      <w:pPr>
        <w:jc w:val="center"/>
      </w:pPr>
      <w:r>
        <w:rPr>
          <w:rFonts w:ascii="Calibri" w:hAnsi="Calibri"/>
          <w:color w:val="94A3B8"/>
          <w:sz w:val="22"/>
        </w:rPr>
        <w:t>End-to-End Insurance Operations Management Platform</w:t>
      </w:r>
    </w:p>
    <w:p>
      <w:r>
        <w:br w:type="page"/>
      </w:r>
    </w:p>
    <w:p>
      <w:pPr>
        <w:pStyle w:val="Heading1"/>
      </w:pPr>
      <w:r>
        <w:t>Table of Contents</w:t>
      </w:r>
    </w:p>
    <w:p>
      <w:r>
        <w:rPr>
          <w:b/>
          <w:color w:val="F59E0B"/>
          <w:sz w:val="22"/>
        </w:rPr>
        <w:t xml:space="preserve">1.  </w:t>
      </w:r>
      <w:r>
        <w:rPr>
          <w:color w:val="1E3A5F"/>
          <w:sz w:val="22"/>
        </w:rPr>
        <w:t>Platform Overview</w:t>
      </w:r>
    </w:p>
    <w:p>
      <w:r>
        <w:rPr>
          <w:b/>
          <w:color w:val="F59E0B"/>
          <w:sz w:val="22"/>
        </w:rPr>
        <w:t xml:space="preserve">2.  </w:t>
      </w:r>
      <w:r>
        <w:rPr>
          <w:color w:val="1E3A5F"/>
          <w:sz w:val="22"/>
        </w:rPr>
        <w:t>Login &amp; Authentication</w:t>
      </w:r>
    </w:p>
    <w:p>
      <w:r>
        <w:rPr>
          <w:b/>
          <w:color w:val="F59E0B"/>
          <w:sz w:val="22"/>
        </w:rPr>
        <w:t xml:space="preserve">3.  </w:t>
      </w:r>
      <w:r>
        <w:rPr>
          <w:color w:val="1E3A5F"/>
          <w:sz w:val="22"/>
        </w:rPr>
        <w:t>Executive Dashboard</w:t>
      </w:r>
    </w:p>
    <w:p>
      <w:r>
        <w:rPr>
          <w:b/>
          <w:color w:val="F59E0B"/>
          <w:sz w:val="22"/>
        </w:rPr>
        <w:t xml:space="preserve">4.  </w:t>
      </w:r>
      <w:r>
        <w:rPr>
          <w:color w:val="1E3A5F"/>
          <w:sz w:val="22"/>
        </w:rPr>
        <w:t>Policy Management</w:t>
      </w:r>
    </w:p>
    <w:p>
      <w:r>
        <w:rPr>
          <w:b/>
          <w:color w:val="F59E0B"/>
          <w:sz w:val="22"/>
        </w:rPr>
        <w:t xml:space="preserve">5.  </w:t>
      </w:r>
      <w:r>
        <w:rPr>
          <w:color w:val="1E3A5F"/>
          <w:sz w:val="22"/>
        </w:rPr>
        <w:t>Policy Detail &amp; Lifecycle</w:t>
      </w:r>
    </w:p>
    <w:p>
      <w:r>
        <w:rPr>
          <w:b/>
          <w:color w:val="F59E0B"/>
          <w:sz w:val="22"/>
        </w:rPr>
        <w:t xml:space="preserve">6.  </w:t>
      </w:r>
      <w:r>
        <w:rPr>
          <w:color w:val="1E3A5F"/>
          <w:sz w:val="22"/>
        </w:rPr>
        <w:t>Customer Management</w:t>
      </w:r>
    </w:p>
    <w:p>
      <w:r>
        <w:rPr>
          <w:b/>
          <w:color w:val="F59E0B"/>
          <w:sz w:val="22"/>
        </w:rPr>
        <w:t xml:space="preserve">7.  </w:t>
      </w:r>
      <w:r>
        <w:rPr>
          <w:color w:val="1E3A5F"/>
          <w:sz w:val="22"/>
        </w:rPr>
        <w:t>Underwriting Engine</w:t>
      </w:r>
    </w:p>
    <w:p>
      <w:r>
        <w:rPr>
          <w:b/>
          <w:color w:val="F59E0B"/>
          <w:sz w:val="22"/>
        </w:rPr>
        <w:t xml:space="preserve">8.  </w:t>
      </w:r>
      <w:r>
        <w:rPr>
          <w:color w:val="1E3A5F"/>
          <w:sz w:val="22"/>
        </w:rPr>
        <w:t>Claims Management</w:t>
      </w:r>
    </w:p>
    <w:p>
      <w:r>
        <w:rPr>
          <w:b/>
          <w:color w:val="F59E0B"/>
          <w:sz w:val="22"/>
        </w:rPr>
        <w:t xml:space="preserve">9.  </w:t>
      </w:r>
      <w:r>
        <w:rPr>
          <w:color w:val="1E3A5F"/>
          <w:sz w:val="22"/>
        </w:rPr>
        <w:t>Billing &amp; Payments</w:t>
      </w:r>
    </w:p>
    <w:p>
      <w:r>
        <w:rPr>
          <w:b/>
          <w:color w:val="F59E0B"/>
          <w:sz w:val="22"/>
        </w:rPr>
        <w:t xml:space="preserve">10.  </w:t>
      </w:r>
      <w:r>
        <w:rPr>
          <w:color w:val="1E3A5F"/>
          <w:sz w:val="22"/>
        </w:rPr>
        <w:t>Task Management</w:t>
      </w:r>
    </w:p>
    <w:p>
      <w:r>
        <w:rPr>
          <w:b/>
          <w:color w:val="F59E0B"/>
          <w:sz w:val="22"/>
        </w:rPr>
        <w:t xml:space="preserve">11.  </w:t>
      </w:r>
      <w:r>
        <w:rPr>
          <w:color w:val="1E3A5F"/>
          <w:sz w:val="22"/>
        </w:rPr>
        <w:t>Document Management</w:t>
      </w:r>
    </w:p>
    <w:p>
      <w:r>
        <w:rPr>
          <w:b/>
          <w:color w:val="F59E0B"/>
          <w:sz w:val="22"/>
        </w:rPr>
        <w:t xml:space="preserve">12.  </w:t>
      </w:r>
      <w:r>
        <w:rPr>
          <w:color w:val="1E3A5F"/>
          <w:sz w:val="22"/>
        </w:rPr>
        <w:t>Reports &amp; Analytics</w:t>
      </w:r>
    </w:p>
    <w:p>
      <w:r>
        <w:rPr>
          <w:b/>
          <w:color w:val="F59E0B"/>
          <w:sz w:val="22"/>
        </w:rPr>
        <w:t xml:space="preserve">13.  </w:t>
      </w:r>
      <w:r>
        <w:rPr>
          <w:color w:val="1E3A5F"/>
          <w:sz w:val="22"/>
        </w:rPr>
        <w:t>Administration &amp; User Management</w:t>
      </w:r>
    </w:p>
    <w:p>
      <w:r>
        <w:rPr>
          <w:b/>
          <w:color w:val="F59E0B"/>
          <w:sz w:val="22"/>
        </w:rPr>
        <w:t xml:space="preserve">14.  </w:t>
      </w:r>
      <w:r>
        <w:rPr>
          <w:color w:val="1E3A5F"/>
          <w:sz w:val="22"/>
        </w:rPr>
        <w:t>Compliance Management</w:t>
      </w:r>
    </w:p>
    <w:p>
      <w:r>
        <w:rPr>
          <w:b/>
          <w:color w:val="F59E0B"/>
          <w:sz w:val="22"/>
        </w:rPr>
        <w:t xml:space="preserve">15.  Service Desk (QDE)</w:t>
      </w:r>
    </w:p>
    <w:p>
      <w:r>
        <w:rPr>
          <w:b/>
          <w:color w:val="F59E0B"/>
          <w:sz w:val="22"/>
        </w:rPr>
        <w:t xml:space="preserve">16.  DDE (Detailed Data Entry)</w:t>
      </w:r>
    </w:p>
    <w:p>
      <w:r>
        <w:rPr>
          <w:b/>
          <w:color w:val="F59E0B"/>
          <w:sz w:val="22"/>
        </w:rPr>
        <w:t xml:space="preserve">17.  Finance</w:t>
      </w:r>
    </w:p>
    <w:p>
      <w:r>
        <w:rPr>
          <w:b/>
          <w:color w:val="F59E0B"/>
          <w:sz w:val="22"/>
        </w:rPr>
        <w:t xml:space="preserve">18.  Servicing</w:t>
      </w:r>
    </w:p>
    <w:p>
      <w:r>
        <w:rPr>
          <w:b/>
          <w:color w:val="F59E0B"/>
          <w:sz w:val="22"/>
        </w:rPr>
        <w:t xml:space="preserve">19.  Master Setup</w:t>
      </w:r>
    </w:p>
    <w:p>
      <w:r>
        <w:rPr>
          <w:b/>
          <w:color w:val="F59E0B"/>
          <w:sz w:val="22"/>
        </w:rPr>
        <w:t xml:space="preserve">20.  Audit Logs</w:t>
      </w:r>
    </w:p>
    <w:p>
      <w:r>
        <w:rPr>
          <w:b/>
          <w:color w:val="F59E0B"/>
          <w:sz w:val="22"/>
        </w:rPr>
        <w:t xml:space="preserve">21.  </w:t>
      </w:r>
      <w:r>
        <w:rPr>
          <w:color w:val="1E3A5F"/>
          <w:sz w:val="22"/>
        </w:rPr>
        <w:t>Technology Stack &amp; Architecture</w:t>
      </w:r>
    </w:p>
    <w:p>
      <w:r>
        <w:rPr>
          <w:b/>
          <w:color w:val="F59E0B"/>
          <w:sz w:val="22"/>
        </w:rPr>
        <w:t xml:space="preserve">22.  </w:t>
      </w:r>
      <w:r>
        <w:rPr>
          <w:color w:val="1E3A5F"/>
          <w:sz w:val="22"/>
        </w:rPr>
        <w:t>User Roles &amp; Permissions</w:t>
      </w:r>
    </w:p>
    <w:p>
      <w:r>
        <w:rPr>
          <w:b/>
          <w:color w:val="F59E0B"/>
          <w:sz w:val="22"/>
        </w:rPr>
        <w:t xml:space="preserve">23.  </w:t>
      </w:r>
      <w:r>
        <w:rPr>
          <w:color w:val="1E3A5F"/>
          <w:sz w:val="22"/>
        </w:rPr>
        <w:t>Navigation Reference</w:t>
      </w:r>
    </w:p>
    <w:p>
      <w:r>
        <w:rPr>
          <w:b/>
          <w:color w:val="F59E0B"/>
          <w:sz w:val="22"/>
        </w:rPr>
        <w:t xml:space="preserve">24.  </w:t>
      </w:r>
      <w:r>
        <w:rPr>
          <w:color w:val="1E3A5F"/>
          <w:sz w:val="22"/>
        </w:rPr>
        <w:t>API Endpoints Reference</w:t>
      </w:r>
    </w:p>
    <w:p>
      <w:r>
        <w:br w:type="page"/>
      </w:r>
    </w:p>
    <w:p>
      <w:pPr>
        <w:pStyle w:val="Heading1"/>
      </w:pPr>
      <w:r>
        <w:t>1. Platform Overview</w:t>
      </w:r>
    </w:p>
    <w:p>
      <w:r>
        <w:t>The IMGC Policy Administration System (PAS) is an enterprise-grade insurance operations management platform developed for India Mortgage Guarantee Corporation. It provides end-to-end policy lifecycle management, claims processing, underwriting, billing, compliance tracking, and comprehensive reporting capabilities.</w:t>
      </w:r>
    </w:p>
    <w:p>
      <w:pPr>
        <w:pStyle w:val="Heading2"/>
      </w:pPr>
      <w:r>
        <w:t>Platform Highlights</w:t>
      </w:r>
    </w:p>
    <w:tbl>
      <w:tblPr>
        <w:tblStyle w:val="TableGrid"/>
        <w:tblW w:type="auto" w:w="0"/>
        <w:jc w:val="center"/>
        <w:tblLook w:firstColumn="1" w:firstRow="1" w:lastColumn="0" w:lastRow="0" w:noHBand="0" w:noVBand="1" w:val="04A0"/>
      </w:tblPr>
      <w:tblGrid>
        <w:gridCol w:w="4320"/>
        <w:gridCol w:w="4320"/>
      </w:tblGrid>
      <w:tr>
        <w:tc>
          <w:tcPr>
            <w:tcW w:type="dxa" w:w="2880"/>
            <w:shd w:fill="1E3A5F"/>
          </w:tcPr>
          <w:p>
            <w:pPr>
              <w:jc w:val="left"/>
            </w:pPr>
            <w:r>
              <w:rPr>
                <w:rFonts w:ascii="Calibri" w:hAnsi="Calibri"/>
                <w:b/>
                <w:color w:val="FFFFFF"/>
                <w:sz w:val="20"/>
              </w:rPr>
              <w:t>Feature</w:t>
            </w:r>
          </w:p>
        </w:tc>
        <w:tc>
          <w:tcPr>
            <w:tcW w:type="dxa" w:w="6480"/>
            <w:shd w:fill="1E3A5F"/>
          </w:tcPr>
          <w:p>
            <w:pPr>
              <w:jc w:val="left"/>
            </w:pPr>
            <w:r>
              <w:rPr>
                <w:rFonts w:ascii="Calibri" w:hAnsi="Calibri"/>
                <w:b/>
                <w:color w:val="FFFFFF"/>
                <w:sz w:val="20"/>
              </w:rPr>
              <w:t>Details</w:t>
            </w:r>
          </w:p>
        </w:tc>
      </w:tr>
      <w:tr>
        <w:tc>
          <w:tcPr>
            <w:tcW w:type="dxa" w:w="2880"/>
            <w:shd w:fill="FFF7ED"/>
          </w:tcPr>
          <w:p>
            <w:r>
              <w:rPr>
                <w:rFonts w:ascii="Calibri" w:hAnsi="Calibri"/>
                <w:sz w:val="20"/>
              </w:rPr>
              <w:t>Modules</w:t>
            </w:r>
          </w:p>
        </w:tc>
        <w:tc>
          <w:tcPr>
            <w:tcW w:type="dxa" w:w="6480"/>
            <w:shd w:fill="FFF7ED"/>
          </w:tcPr>
          <w:p>
            <w:r>
              <w:rPr>
                <w:rFonts w:ascii="Calibri" w:hAnsi="Calibri"/>
                <w:sz w:val="20"/>
              </w:rPr>
              <w:t>14+ Enterprise Modules</w:t>
            </w:r>
          </w:p>
        </w:tc>
      </w:tr>
      <w:tr>
        <w:tc>
          <w:tcPr>
            <w:tcW w:type="dxa" w:w="2880"/>
            <w:shd w:fill="FFFFFF"/>
          </w:tcPr>
          <w:p>
            <w:r>
              <w:rPr>
                <w:rFonts w:ascii="Calibri" w:hAnsi="Calibri"/>
                <w:sz w:val="20"/>
              </w:rPr>
              <w:t>API Endpoints</w:t>
            </w:r>
          </w:p>
        </w:tc>
        <w:tc>
          <w:tcPr>
            <w:tcW w:type="dxa" w:w="6480"/>
            <w:shd w:fill="FFFFFF"/>
          </w:tcPr>
          <w:p>
            <w:r>
              <w:rPr>
                <w:rFonts w:ascii="Calibri" w:hAnsi="Calibri"/>
                <w:sz w:val="20"/>
              </w:rPr>
              <w:t>150+ RESTful APIs with JWT Authentication</w:t>
            </w:r>
          </w:p>
        </w:tc>
      </w:tr>
      <w:tr>
        <w:tc>
          <w:tcPr>
            <w:tcW w:type="dxa" w:w="2880"/>
            <w:shd w:fill="FFF7ED"/>
          </w:tcPr>
          <w:p>
            <w:r>
              <w:rPr>
                <w:rFonts w:ascii="Calibri" w:hAnsi="Calibri"/>
                <w:sz w:val="20"/>
              </w:rPr>
              <w:t>User Roles</w:t>
            </w:r>
          </w:p>
        </w:tc>
        <w:tc>
          <w:tcPr>
            <w:tcW w:type="dxa" w:w="6480"/>
            <w:shd w:fill="FFF7ED"/>
          </w:tcPr>
          <w:p>
            <w:r>
              <w:rPr>
                <w:rFonts w:ascii="Calibri" w:hAnsi="Calibri"/>
                <w:sz w:val="20"/>
              </w:rPr>
              <w:t>5 Role-Based Access Levels (Admin, Underwriter, Claims, Opert, Auditor)</w:t>
            </w:r>
          </w:p>
        </w:tc>
      </w:tr>
      <w:tr>
        <w:tc>
          <w:tcPr>
            <w:tcW w:type="dxa" w:w="2880"/>
            <w:shd w:fill="FFFFFF"/>
          </w:tcPr>
          <w:p>
            <w:r>
              <w:rPr>
                <w:rFonts w:ascii="Calibri" w:hAnsi="Calibri"/>
                <w:sz w:val="20"/>
              </w:rPr>
              <w:t>Security</w:t>
            </w:r>
          </w:p>
        </w:tc>
        <w:tc>
          <w:tcPr>
            <w:tcW w:type="dxa" w:w="6480"/>
            <w:shd w:fill="FFFFFF"/>
          </w:tcPr>
          <w:p>
            <w:r>
              <w:rPr>
                <w:rFonts w:ascii="Calibri" w:hAnsi="Calibri"/>
                <w:sz w:val="20"/>
              </w:rPr>
              <w:t>256-bit Encryption, SOC 2 Compliant, IRDAI Regulated</w:t>
            </w:r>
          </w:p>
        </w:tc>
      </w:tr>
      <w:tr>
        <w:tc>
          <w:tcPr>
            <w:tcW w:type="dxa" w:w="2880"/>
            <w:shd w:fill="FFF7ED"/>
          </w:tcPr>
          <w:p>
            <w:r>
              <w:rPr>
                <w:rFonts w:ascii="Calibri" w:hAnsi="Calibri"/>
                <w:sz w:val="20"/>
              </w:rPr>
              <w:t>Frontend</w:t>
            </w:r>
          </w:p>
        </w:tc>
        <w:tc>
          <w:tcPr>
            <w:tcW w:type="dxa" w:w="6480"/>
            <w:shd w:fill="FFF7ED"/>
          </w:tcPr>
          <w:p>
            <w:r>
              <w:rPr>
                <w:rFonts w:ascii="Calibri" w:hAnsi="Calibri"/>
                <w:sz w:val="20"/>
              </w:rPr>
              <w:t>Next.js 14, React 18, TypeScript, Tailwind CSS</w:t>
            </w:r>
          </w:p>
        </w:tc>
      </w:tr>
      <w:tr>
        <w:tc>
          <w:tcPr>
            <w:tcW w:type="dxa" w:w="2880"/>
            <w:shd w:fill="FFFFFF"/>
          </w:tcPr>
          <w:p>
            <w:r>
              <w:rPr>
                <w:rFonts w:ascii="Calibri" w:hAnsi="Calibri"/>
                <w:sz w:val="20"/>
              </w:rPr>
              <w:t>Backend</w:t>
            </w:r>
          </w:p>
        </w:tc>
        <w:tc>
          <w:tcPr>
            <w:tcW w:type="dxa" w:w="6480"/>
            <w:shd w:fill="FFFFFF"/>
          </w:tcPr>
          <w:p>
            <w:r>
              <w:rPr>
                <w:rFonts w:ascii="Calibri" w:hAnsi="Calibri"/>
                <w:sz w:val="20"/>
              </w:rPr>
              <w:t>Express.js, TypeScript, JWT Auth with Refresh Tokens</w:t>
            </w:r>
          </w:p>
        </w:tc>
      </w:tr>
      <w:tr>
        <w:tc>
          <w:tcPr>
            <w:tcW w:type="dxa" w:w="2880"/>
            <w:shd w:fill="FFF7ED"/>
          </w:tcPr>
          <w:p>
            <w:r>
              <w:rPr>
                <w:rFonts w:ascii="Calibri" w:hAnsi="Calibri"/>
                <w:sz w:val="20"/>
              </w:rPr>
              <w:t>Charts</w:t>
            </w:r>
          </w:p>
        </w:tc>
        <w:tc>
          <w:tcPr>
            <w:tcW w:type="dxa" w:w="6480"/>
            <w:shd w:fill="FFF7ED"/>
          </w:tcPr>
          <w:p>
            <w:r>
              <w:rPr>
                <w:rFonts w:ascii="Calibri" w:hAnsi="Calibri"/>
                <w:sz w:val="20"/>
              </w:rPr>
              <w:t>Recharts — Interactive bar, pie, donut, horizontal bar charts</w:t>
            </w:r>
          </w:p>
        </w:tc>
      </w:tr>
      <w:tr>
        <w:tc>
          <w:tcPr>
            <w:tcW w:type="dxa" w:w="2880"/>
            <w:shd w:fill="FFFFFF"/>
          </w:tcPr>
          <w:p>
            <w:r>
              <w:rPr>
                <w:rFonts w:ascii="Calibri" w:hAnsi="Calibri"/>
                <w:sz w:val="20"/>
              </w:rPr>
              <w:t>Design</w:t>
            </w:r>
          </w:p>
        </w:tc>
        <w:tc>
          <w:tcPr>
            <w:tcW w:type="dxa" w:w="6480"/>
            <w:shd w:fill="FFFFFF"/>
          </w:tcPr>
          <w:p>
            <w:r>
              <w:rPr>
                <w:rFonts w:ascii="Calibri" w:hAnsi="Calibri"/>
                <w:sz w:val="20"/>
              </w:rPr>
              <w:t>Enterprise orange accent theme (30% coverage), responsive design</w:t>
            </w:r>
          </w:p>
        </w:tc>
      </w:tr>
    </w:tbl>
    <w:p>
      <w:pPr>
        <w:pStyle w:val="Heading2"/>
      </w:pPr>
      <w:r>
        <w:t>Core Capabilities</w:t>
      </w:r>
    </w:p>
    <w:p>
      <w:pPr>
        <w:pStyle w:val="ListBullet"/>
        <w:spacing w:after="60"/>
      </w:pPr>
      <w:r>
        <w:rPr>
          <w:rFonts w:ascii="Calibri" w:hAnsi="Calibri"/>
          <w:sz w:val="20"/>
        </w:rPr>
        <w:t>Policy Lifecycle Management — Quote to issuance, endorsement, renewal, and cancellation</w:t>
      </w:r>
    </w:p>
    <w:p>
      <w:pPr>
        <w:pStyle w:val="ListBullet"/>
        <w:spacing w:after="60"/>
      </w:pPr>
      <w:r>
        <w:rPr>
          <w:rFonts w:ascii="Calibri" w:hAnsi="Calibri"/>
          <w:sz w:val="20"/>
        </w:rPr>
        <w:t>Claims Automation — FNOL intake through settlement tracking with reserve management</w:t>
      </w:r>
    </w:p>
    <w:p>
      <w:pPr>
        <w:pStyle w:val="ListBullet"/>
        <w:spacing w:after="60"/>
      </w:pPr>
      <w:r>
        <w:rPr>
          <w:rFonts w:ascii="Calibri" w:hAnsi="Calibri"/>
          <w:sz w:val="20"/>
        </w:rPr>
        <w:t>Risk Intelligence — Real-time underwriting scoring with configurable rules engine</w:t>
      </w:r>
    </w:p>
    <w:p>
      <w:pPr>
        <w:pStyle w:val="ListBullet"/>
        <w:spacing w:after="60"/>
      </w:pPr>
      <w:r>
        <w:rPr>
          <w:rFonts w:ascii="Calibri" w:hAnsi="Calibri"/>
          <w:sz w:val="20"/>
        </w:rPr>
        <w:t>Billing &amp; Payments — Full invoicing, installment plans, receivables aging, and ledger</w:t>
      </w:r>
    </w:p>
    <w:p>
      <w:pPr>
        <w:pStyle w:val="ListBullet"/>
        <w:spacing w:after="60"/>
      </w:pPr>
      <w:r>
        <w:rPr>
          <w:rFonts w:ascii="Calibri" w:hAnsi="Calibri"/>
          <w:sz w:val="20"/>
        </w:rPr>
        <w:t>Task Management — SLA-tracked task queues with workflow-driven auto-assignment</w:t>
      </w:r>
    </w:p>
    <w:p>
      <w:pPr>
        <w:pStyle w:val="ListBullet"/>
        <w:spacing w:after="60"/>
      </w:pPr>
      <w:r>
        <w:rPr>
          <w:rFonts w:ascii="Calibri" w:hAnsi="Calibri"/>
          <w:sz w:val="20"/>
        </w:rPr>
        <w:t>Document Management — Upload, template-based generation, categorization, versioning</w:t>
      </w:r>
    </w:p>
    <w:p>
      <w:pPr>
        <w:pStyle w:val="ListBullet"/>
        <w:spacing w:after="60"/>
      </w:pPr>
      <w:r>
        <w:rPr>
          <w:rFonts w:ascii="Calibri" w:hAnsi="Calibri"/>
          <w:sz w:val="20"/>
        </w:rPr>
        <w:t>Compliance &amp; Audit — Regulatory requirement tracking with complete audit trails</w:t>
      </w:r>
    </w:p>
    <w:p>
      <w:pPr>
        <w:pStyle w:val="ListBullet"/>
        <w:spacing w:after="60"/>
      </w:pPr>
      <w:r>
        <w:rPr>
          <w:rFonts w:ascii="Calibri" w:hAnsi="Calibri"/>
          <w:sz w:val="20"/>
        </w:rPr>
        <w:t>Executive Analytics — 7 KPIs, 5+ chart types, role-based dashboards, date-filtered reports</w:t>
      </w:r>
    </w:p>
    <w:p>
      <w:r>
        <w:br w:type="page"/>
      </w:r>
    </w:p>
    <w:p>
      <w:pPr>
        <w:pStyle w:val="Heading1"/>
      </w:pPr>
      <w:r>
        <w:t>2. Login &amp; Authentication</w:t>
      </w:r>
    </w:p>
    <w:p>
      <w:pPr>
        <w:jc w:val="center"/>
      </w:pPr>
      <w:r>
        <w:drawing>
          <wp:inline xmlns:a="http://schemas.openxmlformats.org/drawingml/2006/main" xmlns:pic="http://schemas.openxmlformats.org/drawingml/2006/picture">
            <wp:extent cx="5669280" cy="3143472"/>
            <wp:docPr id="1" name="Picture 1"/>
            <wp:cNvGraphicFramePr>
              <a:graphicFrameLocks noChangeAspect="1"/>
            </wp:cNvGraphicFramePr>
            <a:graphic>
              <a:graphicData uri="http://schemas.openxmlformats.org/drawingml/2006/picture">
                <pic:pic>
                  <pic:nvPicPr>
                    <pic:cNvPr id="0" name="01-login.png"/>
                    <pic:cNvPicPr/>
                  </pic:nvPicPr>
                  <pic:blipFill>
                    <a:blip r:embed="rId9"/>
                    <a:stretch>
                      <a:fillRect/>
                    </a:stretch>
                  </pic:blipFill>
                  <pic:spPr>
                    <a:xfrm>
                      <a:off x="0" y="0"/>
                      <a:ext cx="5669280" cy="3143472"/>
                    </a:xfrm>
                    <a:prstGeom prst="rect"/>
                  </pic:spPr>
                </pic:pic>
              </a:graphicData>
            </a:graphic>
          </wp:inline>
        </w:drawing>
      </w:r>
    </w:p>
    <w:p>
      <w:pPr>
        <w:pStyle w:val="Heading2"/>
      </w:pPr>
      <w:r>
        <w:t>Overview</w:t>
      </w:r>
    </w:p>
    <w:p>
      <w:r>
        <w:t>The login page features a split-screen enterprise design. The left panel showcases the IMGC brand with platform capabilities (Policy Lifecycle, Claims Automation, Risk Intelligence, Compliance Ready). The right panel provides a clean login form with email and password fields.</w:t>
      </w:r>
    </w:p>
    <w:p>
      <w:pPr>
        <w:pStyle w:val="Heading3"/>
      </w:pPr>
      <w:r>
        <w:t>Authentication Features</w:t>
      </w:r>
    </w:p>
    <w:p>
      <w:pPr>
        <w:pStyle w:val="ListBullet"/>
        <w:spacing w:after="60"/>
      </w:pPr>
      <w:r>
        <w:rPr>
          <w:rFonts w:ascii="Calibri" w:hAnsi="Calibri"/>
          <w:sz w:val="20"/>
        </w:rPr>
        <w:t>JWT-based authentication with access and refresh token mechanism</w:t>
      </w:r>
    </w:p>
    <w:p>
      <w:pPr>
        <w:pStyle w:val="ListBullet"/>
        <w:spacing w:after="60"/>
      </w:pPr>
      <w:r>
        <w:rPr>
          <w:rFonts w:ascii="Calibri" w:hAnsi="Calibri"/>
          <w:sz w:val="20"/>
        </w:rPr>
        <w:t>Encrypted password storage using bcrypt hashing algorithm</w:t>
      </w:r>
    </w:p>
    <w:p>
      <w:pPr>
        <w:pStyle w:val="ListBullet"/>
        <w:spacing w:after="60"/>
      </w:pPr>
      <w:r>
        <w:rPr>
          <w:rFonts w:ascii="Calibri" w:hAnsi="Calibri"/>
          <w:sz w:val="20"/>
        </w:rPr>
        <w:t>Automatic session management with configurable token expiry</w:t>
      </w:r>
    </w:p>
    <w:p>
      <w:pPr>
        <w:pStyle w:val="ListBullet"/>
        <w:spacing w:after="60"/>
      </w:pPr>
      <w:r>
        <w:rPr>
          <w:rFonts w:ascii="Calibri" w:hAnsi="Calibri"/>
          <w:sz w:val="20"/>
        </w:rPr>
        <w:t>Role-based access control (RBAC) — permissions enforced from login onward</w:t>
      </w:r>
    </w:p>
    <w:p>
      <w:pPr>
        <w:pStyle w:val="ListBullet"/>
        <w:spacing w:after="60"/>
      </w:pPr>
      <w:r>
        <w:rPr>
          <w:rFonts w:ascii="Calibri" w:hAnsi="Calibri"/>
          <w:sz w:val="20"/>
        </w:rPr>
        <w:t>256-bit end-to-end encryption for all data in transit</w:t>
      </w:r>
    </w:p>
    <w:p>
      <w:pPr>
        <w:pStyle w:val="ListBullet"/>
        <w:spacing w:after="60"/>
      </w:pPr>
      <w:r>
        <w:rPr>
          <w:rFonts w:ascii="Calibri" w:hAnsi="Calibri"/>
          <w:sz w:val="20"/>
        </w:rPr>
        <w:t>SOC 2 compliance badge and IRDAI regulatory compliance indicators on login</w:t>
      </w:r>
    </w:p>
    <w:p>
      <w:pPr>
        <w:pStyle w:val="Heading3"/>
      </w:pPr>
      <w:r>
        <w:t>Security Badges</w:t>
      </w:r>
    </w:p>
    <w:p>
      <w:r>
        <w:t>The login page displays three compliance indicators: 256-bit encrypted, SOC 2 compliant, and IRDAI regulated. Platform statistics are shown — 20+ Modules, 150+ API Endpoints, and 5 User Roles.</w:t>
      </w:r>
    </w:p>
    <w:p>
      <w:pPr>
        <w:pStyle w:val="Heading3"/>
      </w:pPr>
      <w:r>
        <w:t>Login Credentials (Demo)</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1E3A5F"/>
          </w:tcPr>
          <w:p>
            <w:pPr>
              <w:jc w:val="left"/>
            </w:pPr>
            <w:r>
              <w:rPr>
                <w:rFonts w:ascii="Calibri" w:hAnsi="Calibri"/>
                <w:b/>
                <w:color w:val="FFFFFF"/>
                <w:sz w:val="20"/>
              </w:rPr>
              <w:t>Role</w:t>
            </w:r>
          </w:p>
        </w:tc>
        <w:tc>
          <w:tcPr>
            <w:tcW w:type="dxa" w:w="3600"/>
            <w:shd w:fill="1E3A5F"/>
          </w:tcPr>
          <w:p>
            <w:pPr>
              <w:jc w:val="left"/>
            </w:pPr>
            <w:r>
              <w:rPr>
                <w:rFonts w:ascii="Calibri" w:hAnsi="Calibri"/>
                <w:b/>
                <w:color w:val="FFFFFF"/>
                <w:sz w:val="20"/>
              </w:rPr>
              <w:t>Email</w:t>
            </w:r>
          </w:p>
        </w:tc>
        <w:tc>
          <w:tcPr>
            <w:tcW w:type="dxa" w:w="2160"/>
            <w:shd w:fill="1E3A5F"/>
          </w:tcPr>
          <w:p>
            <w:pPr>
              <w:jc w:val="left"/>
            </w:pPr>
            <w:r>
              <w:rPr>
                <w:rFonts w:ascii="Calibri" w:hAnsi="Calibri"/>
                <w:b/>
                <w:color w:val="FFFFFF"/>
                <w:sz w:val="20"/>
              </w:rPr>
              <w:t>Password</w:t>
            </w:r>
          </w:p>
        </w:tc>
      </w:tr>
      <w:tr>
        <w:tc>
          <w:tcPr>
            <w:tcW w:type="dxa" w:w="2160"/>
            <w:shd w:fill="FFF7ED"/>
          </w:tcPr>
          <w:p>
            <w:r>
              <w:rPr>
                <w:rFonts w:ascii="Calibri" w:hAnsi="Calibri"/>
                <w:sz w:val="20"/>
              </w:rPr>
              <w:t>Admin</w:t>
            </w:r>
          </w:p>
        </w:tc>
        <w:tc>
          <w:tcPr>
            <w:tcW w:type="dxa" w:w="3600"/>
            <w:shd w:fill="FFF7ED"/>
          </w:tcPr>
          <w:p>
            <w:r>
              <w:rPr>
                <w:rFonts w:ascii="Calibri" w:hAnsi="Calibri"/>
                <w:sz w:val="20"/>
              </w:rPr>
              <w:t>admin@imgc.com</w:t>
            </w:r>
          </w:p>
        </w:tc>
        <w:tc>
          <w:tcPr>
            <w:tcW w:type="dxa" w:w="2160"/>
            <w:shd w:fill="FFF7ED"/>
          </w:tcPr>
          <w:p>
            <w:r>
              <w:rPr>
                <w:rFonts w:ascii="Calibri" w:hAnsi="Calibri"/>
                <w:sz w:val="20"/>
              </w:rPr>
              <w:t>demo123</w:t>
            </w:r>
          </w:p>
        </w:tc>
      </w:tr>
      <w:tr>
        <w:tc>
          <w:tcPr>
            <w:tcW w:type="dxa" w:w="2160"/>
            <w:shd w:fill="FFFFFF"/>
          </w:tcPr>
          <w:p>
            <w:r>
              <w:rPr>
                <w:rFonts w:ascii="Calibri" w:hAnsi="Calibri"/>
                <w:sz w:val="20"/>
              </w:rPr>
              <w:t>Underwriter</w:t>
            </w:r>
          </w:p>
        </w:tc>
        <w:tc>
          <w:tcPr>
            <w:tcW w:type="dxa" w:w="3600"/>
            <w:shd w:fill="FFFFFF"/>
          </w:tcPr>
          <w:p>
            <w:r>
              <w:rPr>
                <w:rFonts w:ascii="Calibri" w:hAnsi="Calibri"/>
                <w:sz w:val="20"/>
              </w:rPr>
              <w:t>underwriter@imgc.com</w:t>
            </w:r>
          </w:p>
        </w:tc>
        <w:tc>
          <w:tcPr>
            <w:tcW w:type="dxa" w:w="2160"/>
            <w:shd w:fill="FFFFFF"/>
          </w:tcPr>
          <w:p>
            <w:r>
              <w:rPr>
                <w:rFonts w:ascii="Calibri" w:hAnsi="Calibri"/>
                <w:sz w:val="20"/>
              </w:rPr>
              <w:t>demo123</w:t>
            </w:r>
          </w:p>
        </w:tc>
      </w:tr>
      <w:tr>
        <w:tc>
          <w:tcPr>
            <w:tcW w:type="dxa" w:w="2160"/>
            <w:shd w:fill="FFF7ED"/>
          </w:tcPr>
          <w:p>
            <w:r>
              <w:rPr>
                <w:rFonts w:ascii="Calibri" w:hAnsi="Calibri"/>
                <w:sz w:val="20"/>
              </w:rPr>
              <w:t>Claims</w:t>
            </w:r>
          </w:p>
        </w:tc>
        <w:tc>
          <w:tcPr>
            <w:tcW w:type="dxa" w:w="3600"/>
            <w:shd w:fill="FFF7ED"/>
          </w:tcPr>
          <w:p>
            <w:r>
              <w:rPr>
                <w:rFonts w:ascii="Calibri" w:hAnsi="Calibri"/>
                <w:sz w:val="20"/>
              </w:rPr>
              <w:t>claims@imgc.com</w:t>
            </w:r>
          </w:p>
        </w:tc>
        <w:tc>
          <w:tcPr>
            <w:tcW w:type="dxa" w:w="2160"/>
            <w:shd w:fill="FFF7ED"/>
          </w:tcPr>
          <w:p>
            <w:r>
              <w:rPr>
                <w:rFonts w:ascii="Calibri" w:hAnsi="Calibri"/>
                <w:sz w:val="20"/>
              </w:rPr>
              <w:t>demo123</w:t>
            </w:r>
          </w:p>
        </w:tc>
      </w:tr>
      <w:tr>
        <w:tc>
          <w:tcPr>
            <w:tcW w:type="dxa" w:w="2160"/>
            <w:shd w:fill="FFFFFF"/>
          </w:tcPr>
          <w:p>
            <w:r>
              <w:rPr>
                <w:rFonts w:ascii="Calibri" w:hAnsi="Calibri"/>
                <w:sz w:val="20"/>
              </w:rPr>
              <w:t>Operations</w:t>
            </w:r>
          </w:p>
        </w:tc>
        <w:tc>
          <w:tcPr>
            <w:tcW w:type="dxa" w:w="3600"/>
            <w:shd w:fill="FFFFFF"/>
          </w:tcPr>
          <w:p>
            <w:r>
              <w:rPr>
                <w:rFonts w:ascii="Calibri" w:hAnsi="Calibri"/>
                <w:sz w:val="20"/>
              </w:rPr>
              <w:t>ops@imgc.com</w:t>
            </w:r>
          </w:p>
        </w:tc>
        <w:tc>
          <w:tcPr>
            <w:tcW w:type="dxa" w:w="2160"/>
            <w:shd w:fill="FFFFFF"/>
          </w:tcPr>
          <w:p>
            <w:r>
              <w:rPr>
                <w:rFonts w:ascii="Calibri" w:hAnsi="Calibri"/>
                <w:sz w:val="20"/>
              </w:rPr>
              <w:t>demo123</w:t>
            </w:r>
          </w:p>
        </w:tc>
      </w:tr>
      <w:tr>
        <w:tc>
          <w:tcPr>
            <w:tcW w:type="dxa" w:w="2160"/>
            <w:shd w:fill="FFF7ED"/>
          </w:tcPr>
          <w:p>
            <w:r>
              <w:rPr>
                <w:rFonts w:ascii="Calibri" w:hAnsi="Calibri"/>
                <w:sz w:val="20"/>
              </w:rPr>
              <w:t>Viewer</w:t>
            </w:r>
          </w:p>
        </w:tc>
        <w:tc>
          <w:tcPr>
            <w:tcW w:type="dxa" w:w="3600"/>
            <w:shd w:fill="FFF7ED"/>
          </w:tcPr>
          <w:p>
            <w:r>
              <w:rPr>
                <w:rFonts w:ascii="Calibri" w:hAnsi="Calibri"/>
                <w:sz w:val="20"/>
              </w:rPr>
              <w:t>viewer@imgc.com</w:t>
            </w:r>
          </w:p>
        </w:tc>
        <w:tc>
          <w:tcPr>
            <w:tcW w:type="dxa" w:w="2160"/>
            <w:shd w:fill="FFF7ED"/>
          </w:tcPr>
          <w:p>
            <w:r>
              <w:rPr>
                <w:rFonts w:ascii="Calibri" w:hAnsi="Calibri"/>
                <w:sz w:val="20"/>
              </w:rPr>
              <w:t>demo123</w:t>
            </w:r>
          </w:p>
        </w:tc>
      </w:tr>
    </w:tbl>
    <w:p>
      <w:r>
        <w:br w:type="page"/>
      </w:r>
    </w:p>
    <w:p>
      <w:pPr>
        <w:pStyle w:val="Heading1"/>
      </w:pPr>
      <w:r>
        <w:t>3. Executive Dashboard</w:t>
      </w:r>
    </w:p>
    <w:p>
      <w:pPr>
        <w:jc w:val="center"/>
      </w:pPr>
      <w:r>
        <w:drawing>
          <wp:inline xmlns:a="http://schemas.openxmlformats.org/drawingml/2006/main" xmlns:pic="http://schemas.openxmlformats.org/drawingml/2006/picture">
            <wp:extent cx="5669280" cy="3143472"/>
            <wp:docPr id="2" name="Picture 2"/>
            <wp:cNvGraphicFramePr>
              <a:graphicFrameLocks noChangeAspect="1"/>
            </wp:cNvGraphicFramePr>
            <a:graphic>
              <a:graphicData uri="http://schemas.openxmlformats.org/drawingml/2006/picture">
                <pic:pic>
                  <pic:nvPicPr>
                    <pic:cNvPr id="0" name="02-dashboard-top.png"/>
                    <pic:cNvPicPr/>
                  </pic:nvPicPr>
                  <pic:blipFill>
                    <a:blip r:embed="rId10"/>
                    <a:stretch>
                      <a:fillRect/>
                    </a:stretch>
                  </pic:blipFill>
                  <pic:spPr>
                    <a:xfrm>
                      <a:off x="0" y="0"/>
                      <a:ext cx="5669280" cy="3143472"/>
                    </a:xfrm>
                    <a:prstGeom prst="rect"/>
                  </pic:spPr>
                </pic:pic>
              </a:graphicData>
            </a:graphic>
          </wp:inline>
        </w:drawing>
      </w:r>
    </w:p>
    <w:p>
      <w:pPr>
        <w:pStyle w:val="Heading2"/>
      </w:pPr>
      <w:r>
        <w:t>Overview</w:t>
      </w:r>
    </w:p>
    <w:p>
      <w:r>
        <w:t>The Executive Dashboard provides a comprehensive real-time overview of the entire insurance operation. It features role-based views that adapt based on the logged-in user's role. The default Executive View displays 7 KPIs with target tracking, 4 summary cards, and 5+ analytics charts.</w:t>
      </w:r>
    </w:p>
    <w:p>
      <w:pPr>
        <w:pStyle w:val="Heading3"/>
      </w:pPr>
      <w:r>
        <w:t>Executive KPIs</w:t>
      </w:r>
    </w:p>
    <w:p>
      <w:r>
        <w:t>Seven key performance indicators are displayed at the top with progress bars and color-coded status (green for on-target, red for off-target):</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1E3A5F"/>
          </w:tcPr>
          <w:p>
            <w:pPr>
              <w:jc w:val="left"/>
            </w:pPr>
            <w:r>
              <w:rPr>
                <w:rFonts w:ascii="Calibri" w:hAnsi="Calibri"/>
                <w:b/>
                <w:color w:val="FFFFFF"/>
                <w:sz w:val="20"/>
              </w:rPr>
              <w:t>KPI</w:t>
            </w:r>
          </w:p>
        </w:tc>
        <w:tc>
          <w:tcPr>
            <w:tcW w:type="dxa" w:w="1440"/>
            <w:shd w:fill="1E3A5F"/>
          </w:tcPr>
          <w:p>
            <w:pPr>
              <w:jc w:val="left"/>
            </w:pPr>
            <w:r>
              <w:rPr>
                <w:rFonts w:ascii="Calibri" w:hAnsi="Calibri"/>
                <w:b/>
                <w:color w:val="FFFFFF"/>
                <w:sz w:val="20"/>
              </w:rPr>
              <w:t>Target</w:t>
            </w:r>
          </w:p>
        </w:tc>
        <w:tc>
          <w:tcPr>
            <w:tcW w:type="dxa" w:w="5760"/>
            <w:shd w:fill="1E3A5F"/>
          </w:tcPr>
          <w:p>
            <w:pPr>
              <w:jc w:val="left"/>
            </w:pPr>
            <w:r>
              <w:rPr>
                <w:rFonts w:ascii="Calibri" w:hAnsi="Calibri"/>
                <w:b/>
                <w:color w:val="FFFFFF"/>
                <w:sz w:val="20"/>
              </w:rPr>
              <w:t>Description</w:t>
            </w:r>
          </w:p>
        </w:tc>
      </w:tr>
      <w:tr>
        <w:tc>
          <w:tcPr>
            <w:tcW w:type="dxa" w:w="2160"/>
            <w:shd w:fill="FFF7ED"/>
          </w:tcPr>
          <w:p>
            <w:r>
              <w:rPr>
                <w:rFonts w:ascii="Calibri" w:hAnsi="Calibri"/>
                <w:sz w:val="20"/>
              </w:rPr>
              <w:t>Loss Ratio</w:t>
            </w:r>
          </w:p>
        </w:tc>
        <w:tc>
          <w:tcPr>
            <w:tcW w:type="dxa" w:w="1440"/>
            <w:shd w:fill="FFF7ED"/>
          </w:tcPr>
          <w:p>
            <w:r>
              <w:rPr>
                <w:rFonts w:ascii="Calibri" w:hAnsi="Calibri"/>
                <w:sz w:val="20"/>
              </w:rPr>
              <w:t>65%</w:t>
            </w:r>
          </w:p>
        </w:tc>
        <w:tc>
          <w:tcPr>
            <w:tcW w:type="dxa" w:w="5760"/>
            <w:shd w:fill="FFF7ED"/>
          </w:tcPr>
          <w:p>
            <w:r>
              <w:rPr>
                <w:rFonts w:ascii="Calibri" w:hAnsi="Calibri"/>
                <w:sz w:val="20"/>
              </w:rPr>
              <w:t>Claims paid as percentage of premiums earned</w:t>
            </w:r>
          </w:p>
        </w:tc>
      </w:tr>
      <w:tr>
        <w:tc>
          <w:tcPr>
            <w:tcW w:type="dxa" w:w="2160"/>
            <w:shd w:fill="FFFFFF"/>
          </w:tcPr>
          <w:p>
            <w:r>
              <w:rPr>
                <w:rFonts w:ascii="Calibri" w:hAnsi="Calibri"/>
                <w:sz w:val="20"/>
              </w:rPr>
              <w:t>Expense Ratio</w:t>
            </w:r>
          </w:p>
        </w:tc>
        <w:tc>
          <w:tcPr>
            <w:tcW w:type="dxa" w:w="1440"/>
            <w:shd w:fill="FFFFFF"/>
          </w:tcPr>
          <w:p>
            <w:r>
              <w:rPr>
                <w:rFonts w:ascii="Calibri" w:hAnsi="Calibri"/>
                <w:sz w:val="20"/>
              </w:rPr>
              <w:t>35%</w:t>
            </w:r>
          </w:p>
        </w:tc>
        <w:tc>
          <w:tcPr>
            <w:tcW w:type="dxa" w:w="5760"/>
            <w:shd w:fill="FFFFFF"/>
          </w:tcPr>
          <w:p>
            <w:r>
              <w:rPr>
                <w:rFonts w:ascii="Calibri" w:hAnsi="Calibri"/>
                <w:sz w:val="20"/>
              </w:rPr>
              <w:t>Operating costs as percentage of premium income</w:t>
            </w:r>
          </w:p>
        </w:tc>
      </w:tr>
      <w:tr>
        <w:tc>
          <w:tcPr>
            <w:tcW w:type="dxa" w:w="2160"/>
            <w:shd w:fill="FFF7ED"/>
          </w:tcPr>
          <w:p>
            <w:r>
              <w:rPr>
                <w:rFonts w:ascii="Calibri" w:hAnsi="Calibri"/>
                <w:sz w:val="20"/>
              </w:rPr>
              <w:t>Combined Ratio</w:t>
            </w:r>
          </w:p>
        </w:tc>
        <w:tc>
          <w:tcPr>
            <w:tcW w:type="dxa" w:w="1440"/>
            <w:shd w:fill="FFF7ED"/>
          </w:tcPr>
          <w:p>
            <w:r>
              <w:rPr>
                <w:rFonts w:ascii="Calibri" w:hAnsi="Calibri"/>
                <w:sz w:val="20"/>
              </w:rPr>
              <w:t>100%</w:t>
            </w:r>
          </w:p>
        </w:tc>
        <w:tc>
          <w:tcPr>
            <w:tcW w:type="dxa" w:w="5760"/>
            <w:shd w:fill="FFF7ED"/>
          </w:tcPr>
          <w:p>
            <w:r>
              <w:rPr>
                <w:rFonts w:ascii="Calibri" w:hAnsi="Calibri"/>
                <w:sz w:val="20"/>
              </w:rPr>
              <w:t>Sum of loss and expense ratios — overall efficiency</w:t>
            </w:r>
          </w:p>
        </w:tc>
      </w:tr>
      <w:tr>
        <w:tc>
          <w:tcPr>
            <w:tcW w:type="dxa" w:w="2160"/>
            <w:shd w:fill="FFFFFF"/>
          </w:tcPr>
          <w:p>
            <w:r>
              <w:rPr>
                <w:rFonts w:ascii="Calibri" w:hAnsi="Calibri"/>
                <w:sz w:val="20"/>
              </w:rPr>
              <w:t>Retention Rate</w:t>
            </w:r>
          </w:p>
        </w:tc>
        <w:tc>
          <w:tcPr>
            <w:tcW w:type="dxa" w:w="1440"/>
            <w:shd w:fill="FFFFFF"/>
          </w:tcPr>
          <w:p>
            <w:r>
              <w:rPr>
                <w:rFonts w:ascii="Calibri" w:hAnsi="Calibri"/>
                <w:sz w:val="20"/>
              </w:rPr>
              <w:t>85%</w:t>
            </w:r>
          </w:p>
        </w:tc>
        <w:tc>
          <w:tcPr>
            <w:tcW w:type="dxa" w:w="5760"/>
            <w:shd w:fill="FFFFFF"/>
          </w:tcPr>
          <w:p>
            <w:r>
              <w:rPr>
                <w:rFonts w:ascii="Calibri" w:hAnsi="Calibri"/>
                <w:sz w:val="20"/>
              </w:rPr>
              <w:t>Percentage of policies renewed at expiry</w:t>
            </w:r>
          </w:p>
        </w:tc>
      </w:tr>
      <w:tr>
        <w:tc>
          <w:tcPr>
            <w:tcW w:type="dxa" w:w="2160"/>
            <w:shd w:fill="FFF7ED"/>
          </w:tcPr>
          <w:p>
            <w:r>
              <w:rPr>
                <w:rFonts w:ascii="Calibri" w:hAnsi="Calibri"/>
                <w:sz w:val="20"/>
              </w:rPr>
              <w:t>Collection Rate</w:t>
            </w:r>
          </w:p>
        </w:tc>
        <w:tc>
          <w:tcPr>
            <w:tcW w:type="dxa" w:w="1440"/>
            <w:shd w:fill="FFF7ED"/>
          </w:tcPr>
          <w:p>
            <w:r>
              <w:rPr>
                <w:rFonts w:ascii="Calibri" w:hAnsi="Calibri"/>
                <w:sz w:val="20"/>
              </w:rPr>
              <w:t>90%</w:t>
            </w:r>
          </w:p>
        </w:tc>
        <w:tc>
          <w:tcPr>
            <w:tcW w:type="dxa" w:w="5760"/>
            <w:shd w:fill="FFF7ED"/>
          </w:tcPr>
          <w:p>
            <w:r>
              <w:rPr>
                <w:rFonts w:ascii="Calibri" w:hAnsi="Calibri"/>
                <w:sz w:val="20"/>
              </w:rPr>
              <w:t>Premium collection efficiency against invoiced amount</w:t>
            </w:r>
          </w:p>
        </w:tc>
      </w:tr>
      <w:tr>
        <w:tc>
          <w:tcPr>
            <w:tcW w:type="dxa" w:w="2160"/>
            <w:shd w:fill="FFFFFF"/>
          </w:tcPr>
          <w:p>
            <w:r>
              <w:rPr>
                <w:rFonts w:ascii="Calibri" w:hAnsi="Calibri"/>
                <w:sz w:val="20"/>
              </w:rPr>
              <w:t>Avg Cycle Time</w:t>
            </w:r>
          </w:p>
        </w:tc>
        <w:tc>
          <w:tcPr>
            <w:tcW w:type="dxa" w:w="1440"/>
            <w:shd w:fill="FFFFFF"/>
          </w:tcPr>
          <w:p>
            <w:r>
              <w:rPr>
                <w:rFonts w:ascii="Calibri" w:hAnsi="Calibri"/>
                <w:sz w:val="20"/>
              </w:rPr>
              <w:t>30 days</w:t>
            </w:r>
          </w:p>
        </w:tc>
        <w:tc>
          <w:tcPr>
            <w:tcW w:type="dxa" w:w="5760"/>
            <w:shd w:fill="FFFFFF"/>
          </w:tcPr>
          <w:p>
            <w:r>
              <w:rPr>
                <w:rFonts w:ascii="Calibri" w:hAnsi="Calibri"/>
                <w:sz w:val="20"/>
              </w:rPr>
              <w:t>Average time from claim filing to settlement</w:t>
            </w:r>
          </w:p>
        </w:tc>
      </w:tr>
      <w:tr>
        <w:tc>
          <w:tcPr>
            <w:tcW w:type="dxa" w:w="2160"/>
            <w:shd w:fill="FFF7ED"/>
          </w:tcPr>
          <w:p>
            <w:r>
              <w:rPr>
                <w:rFonts w:ascii="Calibri" w:hAnsi="Calibri"/>
                <w:sz w:val="20"/>
              </w:rPr>
              <w:t>Avg Severity</w:t>
            </w:r>
          </w:p>
        </w:tc>
        <w:tc>
          <w:tcPr>
            <w:tcW w:type="dxa" w:w="1440"/>
            <w:shd w:fill="FFF7ED"/>
          </w:tcPr>
          <w:p>
            <w:r>
              <w:rPr>
                <w:rFonts w:ascii="Calibri" w:hAnsi="Calibri"/>
                <w:sz w:val="20"/>
              </w:rPr>
              <w:t>50,000</w:t>
            </w:r>
          </w:p>
        </w:tc>
        <w:tc>
          <w:tcPr>
            <w:tcW w:type="dxa" w:w="5760"/>
            <w:shd w:fill="FFF7ED"/>
          </w:tcPr>
          <w:p>
            <w:r>
              <w:rPr>
                <w:rFonts w:ascii="Calibri" w:hAnsi="Calibri"/>
                <w:sz w:val="20"/>
              </w:rPr>
              <w:t>Average claim payout amount in INR</w:t>
            </w:r>
          </w:p>
        </w:tc>
      </w:tr>
    </w:tbl>
    <w:p>
      <w:pPr>
        <w:pStyle w:val="Heading3"/>
      </w:pPr>
      <w:r>
        <w:t>KPI Summary Cards</w:t>
      </w:r>
    </w:p>
    <w:p>
      <w:pPr>
        <w:pStyle w:val="ListBullet"/>
        <w:spacing w:after="60"/>
      </w:pPr>
      <w:r>
        <w:rPr>
          <w:rFonts w:ascii="Calibri" w:hAnsi="Calibri"/>
          <w:sz w:val="20"/>
        </w:rPr>
        <w:t>Total Policies: 52 (23 active) — with orange document icon</w:t>
      </w:r>
    </w:p>
    <w:p>
      <w:pPr>
        <w:pStyle w:val="ListBullet"/>
        <w:spacing w:after="60"/>
      </w:pPr>
      <w:r>
        <w:rPr>
          <w:rFonts w:ascii="Calibri" w:hAnsi="Calibri"/>
          <w:sz w:val="20"/>
        </w:rPr>
        <w:t>Total Premium: Rs.43,87,475 — with orange currency icon</w:t>
      </w:r>
    </w:p>
    <w:p>
      <w:pPr>
        <w:pStyle w:val="ListBullet"/>
        <w:spacing w:after="60"/>
      </w:pPr>
      <w:r>
        <w:rPr>
          <w:rFonts w:ascii="Calibri" w:hAnsi="Calibri"/>
          <w:sz w:val="20"/>
        </w:rPr>
        <w:t>Total Coverage: Rs.13,73,00,324 — with orange trend icon</w:t>
      </w:r>
    </w:p>
    <w:p>
      <w:pPr>
        <w:pStyle w:val="ListBullet"/>
        <w:spacing w:after="60"/>
      </w:pPr>
      <w:r>
        <w:rPr>
          <w:rFonts w:ascii="Calibri" w:hAnsi="Calibri"/>
          <w:sz w:val="20"/>
        </w:rPr>
        <w:t>Total Claims: 23 (Rs.1,00,64,301 total) — with orange alert icon</w:t>
      </w:r>
    </w:p>
    <w:p/>
    <w:p>
      <w:pPr>
        <w:jc w:val="center"/>
      </w:pPr>
      <w:r>
        <w:drawing>
          <wp:inline xmlns:a="http://schemas.openxmlformats.org/drawingml/2006/main" xmlns:pic="http://schemas.openxmlformats.org/drawingml/2006/picture">
            <wp:extent cx="5669280" cy="3143472"/>
            <wp:docPr id="3" name="Picture 3"/>
            <wp:cNvGraphicFramePr>
              <a:graphicFrameLocks noChangeAspect="1"/>
            </wp:cNvGraphicFramePr>
            <a:graphic>
              <a:graphicData uri="http://schemas.openxmlformats.org/drawingml/2006/picture">
                <pic:pic>
                  <pic:nvPicPr>
                    <pic:cNvPr id="0" name="03-dashboard-bottom.png"/>
                    <pic:cNvPicPr/>
                  </pic:nvPicPr>
                  <pic:blipFill>
                    <a:blip r:embed="rId11"/>
                    <a:stretch>
                      <a:fillRect/>
                    </a:stretch>
                  </pic:blipFill>
                  <pic:spPr>
                    <a:xfrm>
                      <a:off x="0" y="0"/>
                      <a:ext cx="5669280" cy="3143472"/>
                    </a:xfrm>
                    <a:prstGeom prst="rect"/>
                  </pic:spPr>
                </pic:pic>
              </a:graphicData>
            </a:graphic>
          </wp:inline>
        </w:drawing>
      </w:r>
    </w:p>
    <w:p>
      <w:pPr>
        <w:pStyle w:val="Heading3"/>
      </w:pPr>
      <w:r>
        <w:t>Analytics Charts</w:t>
      </w:r>
    </w:p>
    <w:p>
      <w:pPr>
        <w:pStyle w:val="ListBullet"/>
        <w:spacing w:after="60"/>
      </w:pPr>
      <w:r>
        <w:rPr>
          <w:rFonts w:ascii="Calibri" w:hAnsi="Calibri"/>
          <w:sz w:val="20"/>
        </w:rPr>
        <w:t>Policies by Status — Vertical bar chart showing Active (24), Endorsed, Draft, Lapsed, Cancelled, Expired, Quoted</w:t>
      </w:r>
    </w:p>
    <w:p>
      <w:pPr>
        <w:pStyle w:val="ListBullet"/>
        <w:spacing w:after="60"/>
      </w:pPr>
      <w:r>
        <w:rPr>
          <w:rFonts w:ascii="Calibri" w:hAnsi="Calibri"/>
          <w:sz w:val="20"/>
        </w:rPr>
        <w:t>Policy Type Distribution — Donut chart: Mortgage Guarantee (35%), Credit Protection (33%), Coverage Plus (33%)</w:t>
      </w:r>
    </w:p>
    <w:p>
      <w:pPr>
        <w:pStyle w:val="ListBullet"/>
        <w:spacing w:after="60"/>
      </w:pPr>
      <w:r>
        <w:rPr>
          <w:rFonts w:ascii="Calibri" w:hAnsi="Calibri"/>
          <w:sz w:val="20"/>
        </w:rPr>
        <w:t>Risk Distribution — Pie chart: Low (24), Medium (16), High (10)</w:t>
      </w:r>
    </w:p>
    <w:p>
      <w:pPr>
        <w:pStyle w:val="ListBullet"/>
        <w:spacing w:after="60"/>
      </w:pPr>
      <w:r>
        <w:rPr>
          <w:rFonts w:ascii="Calibri" w:hAnsi="Calibri"/>
          <w:sz w:val="20"/>
        </w:rPr>
        <w:t>Claims by Status — Horizontal bar chart: Approved, Filed, Under Review, Rejected, Settled</w:t>
      </w:r>
    </w:p>
    <w:p>
      <w:pPr>
        <w:pStyle w:val="ListBullet"/>
        <w:spacing w:after="60"/>
      </w:pPr>
      <w:r>
        <w:rPr>
          <w:rFonts w:ascii="Calibri" w:hAnsi="Calibri"/>
          <w:sz w:val="20"/>
        </w:rPr>
        <w:t>Underwriting Decisions — Donut chart: Auto-Approve (28), Refer (12), Reject (10)</w:t>
      </w:r>
    </w:p>
    <w:p>
      <w:pPr>
        <w:pStyle w:val="Heading3"/>
      </w:pPr>
      <w:r>
        <w:t>Dashboard Widgets</w:t>
      </w:r>
    </w:p>
    <w:p>
      <w:pPr>
        <w:pStyle w:val="ListBullet"/>
        <w:spacing w:after="60"/>
      </w:pPr>
      <w:r>
        <w:rPr>
          <w:rFonts w:ascii="Calibri" w:hAnsi="Calibri"/>
          <w:sz w:val="20"/>
        </w:rPr>
        <w:t>My Tasks — Shows assigned tasks with SLA deadlines and "Open" status badge</w:t>
      </w:r>
    </w:p>
    <w:p>
      <w:pPr>
        <w:pStyle w:val="ListBullet"/>
        <w:spacing w:after="60"/>
      </w:pPr>
      <w:r>
        <w:rPr>
          <w:rFonts w:ascii="Calibri" w:hAnsi="Calibri"/>
          <w:sz w:val="20"/>
        </w:rPr>
        <w:t>Underwriting Overview — Total Evaluations (50) and Average Risk Score (41.5)</w:t>
      </w:r>
    </w:p>
    <w:p>
      <w:pPr>
        <w:pStyle w:val="ListBullet"/>
        <w:spacing w:after="60"/>
      </w:pPr>
      <w:r>
        <w:rPr>
          <w:rFonts w:ascii="Calibri" w:hAnsi="Calibri"/>
          <w:sz w:val="20"/>
        </w:rPr>
        <w:t>Billing Overview — Total Accounts (10), Active (7), Outstanding (Rs.13,058), Collected (Rs.10,033)</w:t>
      </w:r>
    </w:p>
    <w:p>
      <w:pPr>
        <w:pStyle w:val="ListBullet"/>
        <w:spacing w:after="60"/>
      </w:pPr>
      <w:r>
        <w:rPr>
          <w:rFonts w:ascii="Calibri" w:hAnsi="Calibri"/>
          <w:sz w:val="20"/>
        </w:rPr>
        <w:t>Overdue Accounts — Alert widget showing 5 overdue accounts with total overdue Rs.2,950</w:t>
      </w:r>
    </w:p>
    <w:p>
      <w:r>
        <w:br w:type="page"/>
      </w:r>
    </w:p>
    <w:p>
      <w:pPr>
        <w:pStyle w:val="Heading1"/>
      </w:pPr>
      <w:r>
        <w:t>4. Policy Management</w:t>
      </w:r>
    </w:p>
    <w:p>
      <w:pPr>
        <w:jc w:val="center"/>
      </w:pPr>
      <w:r>
        <w:drawing>
          <wp:inline xmlns:a="http://schemas.openxmlformats.org/drawingml/2006/main" xmlns:pic="http://schemas.openxmlformats.org/drawingml/2006/picture">
            <wp:extent cx="5669280" cy="3143472"/>
            <wp:docPr id="4" name="Picture 4"/>
            <wp:cNvGraphicFramePr>
              <a:graphicFrameLocks noChangeAspect="1"/>
            </wp:cNvGraphicFramePr>
            <a:graphic>
              <a:graphicData uri="http://schemas.openxmlformats.org/drawingml/2006/picture">
                <pic:pic>
                  <pic:nvPicPr>
                    <pic:cNvPr id="0" name="04-policies.png"/>
                    <pic:cNvPicPr/>
                  </pic:nvPicPr>
                  <pic:blipFill>
                    <a:blip r:embed="rId12"/>
                    <a:stretch>
                      <a:fillRect/>
                    </a:stretch>
                  </pic:blipFill>
                  <pic:spPr>
                    <a:xfrm>
                      <a:off x="0" y="0"/>
                      <a:ext cx="5669280" cy="3143472"/>
                    </a:xfrm>
                    <a:prstGeom prst="rect"/>
                  </pic:spPr>
                </pic:pic>
              </a:graphicData>
            </a:graphic>
          </wp:inline>
        </w:drawing>
      </w:r>
    </w:p>
    <w:p>
      <w:pPr>
        <w:pStyle w:val="Heading2"/>
      </w:pPr>
      <w:r>
        <w:t>Overview</w:t>
      </w:r>
    </w:p>
    <w:p>
      <w:r>
        <w:t>The Policy Management module is the core of the PAS platform. It provides comprehensive policy listing, creation, filtering, and lifecycle management. Users can create new policies, generate quotes, and manage the entire policy lifecycle from a single interface.</w:t>
      </w:r>
    </w:p>
    <w:p>
      <w:pPr>
        <w:pStyle w:val="Heading3"/>
      </w:pPr>
      <w:r>
        <w:t>Policy List Features</w:t>
      </w:r>
    </w:p>
    <w:p>
      <w:pPr>
        <w:pStyle w:val="ListBullet"/>
        <w:spacing w:after="60"/>
      </w:pPr>
      <w:r>
        <w:rPr>
          <w:rFonts w:ascii="Calibri" w:hAnsi="Calibri"/>
          <w:sz w:val="20"/>
        </w:rPr>
        <w:t>Comprehensive data table with 8 columns: Policy ID, Type, Status, Premium, Coverage, Risk, Start Date, Version</w:t>
      </w:r>
    </w:p>
    <w:p>
      <w:pPr>
        <w:pStyle w:val="ListBullet"/>
        <w:spacing w:after="60"/>
      </w:pPr>
      <w:r>
        <w:rPr>
          <w:rFonts w:ascii="Calibri" w:hAnsi="Calibri"/>
          <w:sz w:val="20"/>
        </w:rPr>
        <w:t>Advanced filtering by 12 statuses: Draft, Quoted, Bound, Issued, Active, Endorsed, Renewal Pending, Reinstated, Lapsed, Cancelled, Expired</w:t>
      </w:r>
    </w:p>
    <w:p>
      <w:pPr>
        <w:pStyle w:val="ListBullet"/>
        <w:spacing w:after="60"/>
      </w:pPr>
      <w:r>
        <w:rPr>
          <w:rFonts w:ascii="Calibri" w:hAnsi="Calibri"/>
          <w:sz w:val="20"/>
        </w:rPr>
        <w:t>Filter by policy type: Mortgage Guarantee, Credit Protection, Coverage Plus</w:t>
      </w:r>
    </w:p>
    <w:p>
      <w:pPr>
        <w:pStyle w:val="ListBullet"/>
        <w:spacing w:after="60"/>
      </w:pPr>
      <w:r>
        <w:rPr>
          <w:rFonts w:ascii="Calibri" w:hAnsi="Calibri"/>
          <w:sz w:val="20"/>
        </w:rPr>
        <w:t>Real-time search across all fields with instant results</w:t>
      </w:r>
    </w:p>
    <w:p>
      <w:pPr>
        <w:pStyle w:val="ListBullet"/>
        <w:spacing w:after="60"/>
      </w:pPr>
      <w:r>
        <w:rPr>
          <w:rFonts w:ascii="Calibri" w:hAnsi="Calibri"/>
          <w:sz w:val="20"/>
        </w:rPr>
        <w:t>Sortable columns — click any header to sort ascending/descending</w:t>
      </w:r>
    </w:p>
    <w:p>
      <w:pPr>
        <w:pStyle w:val="ListBullet"/>
        <w:spacing w:after="60"/>
      </w:pPr>
      <w:r>
        <w:rPr>
          <w:rFonts w:ascii="Calibri" w:hAnsi="Calibri"/>
          <w:sz w:val="20"/>
        </w:rPr>
        <w:t>Pagination with 10 records per page and full navigation controls (first, prev, next, last)</w:t>
      </w:r>
    </w:p>
    <w:p>
      <w:pPr>
        <w:pStyle w:val="ListBullet"/>
        <w:spacing w:after="60"/>
      </w:pPr>
      <w:r>
        <w:rPr>
          <w:rFonts w:ascii="Calibri" w:hAnsi="Calibri"/>
          <w:sz w:val="20"/>
        </w:rPr>
        <w:t>Record count display: "Showing 1-10 of 20 records"</w:t>
      </w:r>
    </w:p>
    <w:p>
      <w:pPr>
        <w:pStyle w:val="Heading3"/>
      </w:pPr>
      <w:r>
        <w:t>Quick Actions</w:t>
      </w:r>
    </w:p>
    <w:p>
      <w:pPr>
        <w:pStyle w:val="ListBullet"/>
        <w:spacing w:after="60"/>
      </w:pPr>
      <w:r>
        <w:rPr>
          <w:rFonts w:ascii="Calibri" w:hAnsi="Calibri"/>
          <w:sz w:val="20"/>
        </w:rPr>
        <w:t>New Quote — Opens the multi-step quoting wizard (Customer Select -&gt; Coverage Config -&gt; Premium Review -&gt; Bind)</w:t>
      </w:r>
    </w:p>
    <w:p>
      <w:pPr>
        <w:pStyle w:val="ListBullet"/>
        <w:spacing w:after="60"/>
      </w:pPr>
      <w:r>
        <w:rPr>
          <w:rFonts w:ascii="Calibri" w:hAnsi="Calibri"/>
          <w:sz w:val="20"/>
        </w:rPr>
        <w:t>New Policy — Creates a new policy directly with full form</w:t>
      </w:r>
    </w:p>
    <w:p>
      <w:pPr>
        <w:pStyle w:val="Heading3"/>
      </w:pPr>
      <w:r>
        <w:t>Policy Status Badges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1E3A5F"/>
          </w:tcPr>
          <w:p>
            <w:pPr>
              <w:jc w:val="left"/>
            </w:pPr>
            <w:r>
              <w:rPr>
                <w:rFonts w:ascii="Calibri" w:hAnsi="Calibri"/>
                <w:b/>
                <w:color w:val="FFFFFF"/>
                <w:sz w:val="20"/>
              </w:rPr>
              <w:t>Status</w:t>
            </w:r>
          </w:p>
        </w:tc>
        <w:tc>
          <w:tcPr>
            <w:tcW w:type="dxa" w:w="1728"/>
            <w:shd w:fill="1E3A5F"/>
          </w:tcPr>
          <w:p>
            <w:pPr>
              <w:jc w:val="left"/>
            </w:pPr>
            <w:r>
              <w:rPr>
                <w:rFonts w:ascii="Calibri" w:hAnsi="Calibri"/>
                <w:b/>
                <w:color w:val="FFFFFF"/>
                <w:sz w:val="20"/>
              </w:rPr>
              <w:t>Badge Color</w:t>
            </w:r>
          </w:p>
        </w:tc>
        <w:tc>
          <w:tcPr>
            <w:tcW w:type="dxa" w:w="5472"/>
            <w:shd w:fill="1E3A5F"/>
          </w:tcPr>
          <w:p>
            <w:pPr>
              <w:jc w:val="left"/>
            </w:pPr>
            <w:r>
              <w:rPr>
                <w:rFonts w:ascii="Calibri" w:hAnsi="Calibri"/>
                <w:b/>
                <w:color w:val="FFFFFF"/>
                <w:sz w:val="20"/>
              </w:rPr>
              <w:t>Description</w:t>
            </w:r>
          </w:p>
        </w:tc>
      </w:tr>
      <w:tr>
        <w:tc>
          <w:tcPr>
            <w:tcW w:type="dxa" w:w="2160"/>
            <w:shd w:fill="FFF7ED"/>
          </w:tcPr>
          <w:p>
            <w:r>
              <w:rPr>
                <w:rFonts w:ascii="Calibri" w:hAnsi="Calibri"/>
                <w:sz w:val="20"/>
              </w:rPr>
              <w:t>Active</w:t>
            </w:r>
          </w:p>
        </w:tc>
        <w:tc>
          <w:tcPr>
            <w:tcW w:type="dxa" w:w="1728"/>
            <w:shd w:fill="FFF7ED"/>
          </w:tcPr>
          <w:p>
            <w:r>
              <w:rPr>
                <w:rFonts w:ascii="Calibri" w:hAnsi="Calibri"/>
                <w:sz w:val="20"/>
              </w:rPr>
              <w:t>Green</w:t>
            </w:r>
          </w:p>
        </w:tc>
        <w:tc>
          <w:tcPr>
            <w:tcW w:type="dxa" w:w="5472"/>
            <w:shd w:fill="FFF7ED"/>
          </w:tcPr>
          <w:p>
            <w:r>
              <w:rPr>
                <w:rFonts w:ascii="Calibri" w:hAnsi="Calibri"/>
                <w:sz w:val="20"/>
              </w:rPr>
              <w:t>Policy is in force, coverage is active</w:t>
            </w:r>
          </w:p>
        </w:tc>
      </w:tr>
      <w:tr>
        <w:tc>
          <w:tcPr>
            <w:tcW w:type="dxa" w:w="2160"/>
            <w:shd w:fill="FFFFFF"/>
          </w:tcPr>
          <w:p>
            <w:r>
              <w:rPr>
                <w:rFonts w:ascii="Calibri" w:hAnsi="Calibri"/>
                <w:sz w:val="20"/>
              </w:rPr>
              <w:t>Endorsed</w:t>
            </w:r>
          </w:p>
        </w:tc>
        <w:tc>
          <w:tcPr>
            <w:tcW w:type="dxa" w:w="1728"/>
            <w:shd w:fill="FFFFFF"/>
          </w:tcPr>
          <w:p>
            <w:r>
              <w:rPr>
                <w:rFonts w:ascii="Calibri" w:hAnsi="Calibri"/>
                <w:sz w:val="20"/>
              </w:rPr>
              <w:t>Blue</w:t>
            </w:r>
          </w:p>
        </w:tc>
        <w:tc>
          <w:tcPr>
            <w:tcW w:type="dxa" w:w="5472"/>
            <w:shd w:fill="FFFFFF"/>
          </w:tcPr>
          <w:p>
            <w:r>
              <w:rPr>
                <w:rFonts w:ascii="Calibri" w:hAnsi="Calibri"/>
                <w:sz w:val="20"/>
              </w:rPr>
              <w:t>Policy has been modified mid-term (endorsement applied)</w:t>
            </w:r>
          </w:p>
        </w:tc>
      </w:tr>
      <w:tr>
        <w:tc>
          <w:tcPr>
            <w:tcW w:type="dxa" w:w="2160"/>
            <w:shd w:fill="FFF7ED"/>
          </w:tcPr>
          <w:p>
            <w:r>
              <w:rPr>
                <w:rFonts w:ascii="Calibri" w:hAnsi="Calibri"/>
                <w:sz w:val="20"/>
              </w:rPr>
              <w:t>Draft</w:t>
            </w:r>
          </w:p>
        </w:tc>
        <w:tc>
          <w:tcPr>
            <w:tcW w:type="dxa" w:w="1728"/>
            <w:shd w:fill="FFF7ED"/>
          </w:tcPr>
          <w:p>
            <w:r>
              <w:rPr>
                <w:rFonts w:ascii="Calibri" w:hAnsi="Calibri"/>
                <w:sz w:val="20"/>
              </w:rPr>
              <w:t>Gray</w:t>
            </w:r>
          </w:p>
        </w:tc>
        <w:tc>
          <w:tcPr>
            <w:tcW w:type="dxa" w:w="5472"/>
            <w:shd w:fill="FFF7ED"/>
          </w:tcPr>
          <w:p>
            <w:r>
              <w:rPr>
                <w:rFonts w:ascii="Calibri" w:hAnsi="Calibri"/>
                <w:sz w:val="20"/>
              </w:rPr>
              <w:t>Initial creation, not yet submitted for quoting</w:t>
            </w:r>
          </w:p>
        </w:tc>
      </w:tr>
      <w:tr>
        <w:tc>
          <w:tcPr>
            <w:tcW w:type="dxa" w:w="2160"/>
            <w:shd w:fill="FFFFFF"/>
          </w:tcPr>
          <w:p>
            <w:r>
              <w:rPr>
                <w:rFonts w:ascii="Calibri" w:hAnsi="Calibri"/>
                <w:sz w:val="20"/>
              </w:rPr>
              <w:t>Quoted</w:t>
            </w:r>
          </w:p>
        </w:tc>
        <w:tc>
          <w:tcPr>
            <w:tcW w:type="dxa" w:w="1728"/>
            <w:shd w:fill="FFFFFF"/>
          </w:tcPr>
          <w:p>
            <w:r>
              <w:rPr>
                <w:rFonts w:ascii="Calibri" w:hAnsi="Calibri"/>
                <w:sz w:val="20"/>
              </w:rPr>
              <w:t>Orange</w:t>
            </w:r>
          </w:p>
        </w:tc>
        <w:tc>
          <w:tcPr>
            <w:tcW w:type="dxa" w:w="5472"/>
            <w:shd w:fill="FFFFFF"/>
          </w:tcPr>
          <w:p>
            <w:r>
              <w:rPr>
                <w:rFonts w:ascii="Calibri" w:hAnsi="Calibri"/>
                <w:sz w:val="20"/>
              </w:rPr>
              <w:t>Premium has been calculated, awaiting binding</w:t>
            </w:r>
          </w:p>
        </w:tc>
      </w:tr>
      <w:tr>
        <w:tc>
          <w:tcPr>
            <w:tcW w:type="dxa" w:w="2160"/>
            <w:shd w:fill="FFF7ED"/>
          </w:tcPr>
          <w:p>
            <w:r>
              <w:rPr>
                <w:rFonts w:ascii="Calibri" w:hAnsi="Calibri"/>
                <w:sz w:val="20"/>
              </w:rPr>
              <w:t>Bound</w:t>
            </w:r>
          </w:p>
        </w:tc>
        <w:tc>
          <w:tcPr>
            <w:tcW w:type="dxa" w:w="1728"/>
            <w:shd w:fill="FFF7ED"/>
          </w:tcPr>
          <w:p>
            <w:r>
              <w:rPr>
                <w:rFonts w:ascii="Calibri" w:hAnsi="Calibri"/>
                <w:sz w:val="20"/>
              </w:rPr>
              <w:t>Indigo</w:t>
            </w:r>
          </w:p>
        </w:tc>
        <w:tc>
          <w:tcPr>
            <w:tcW w:type="dxa" w:w="5472"/>
            <w:shd w:fill="FFF7ED"/>
          </w:tcPr>
          <w:p>
            <w:r>
              <w:rPr>
                <w:rFonts w:ascii="Calibri" w:hAnsi="Calibri"/>
                <w:sz w:val="20"/>
              </w:rPr>
              <w:t>Quote accepted, awaiting issuance</w:t>
            </w:r>
          </w:p>
        </w:tc>
      </w:tr>
      <w:tr>
        <w:tc>
          <w:tcPr>
            <w:tcW w:type="dxa" w:w="2160"/>
            <w:shd w:fill="FFFFFF"/>
          </w:tcPr>
          <w:p>
            <w:r>
              <w:rPr>
                <w:rFonts w:ascii="Calibri" w:hAnsi="Calibri"/>
                <w:sz w:val="20"/>
              </w:rPr>
              <w:t>Issued</w:t>
            </w:r>
          </w:p>
        </w:tc>
        <w:tc>
          <w:tcPr>
            <w:tcW w:type="dxa" w:w="1728"/>
            <w:shd w:fill="FFFFFF"/>
          </w:tcPr>
          <w:p>
            <w:r>
              <w:rPr>
                <w:rFonts w:ascii="Calibri" w:hAnsi="Calibri"/>
                <w:sz w:val="20"/>
              </w:rPr>
              <w:t>Teal</w:t>
            </w:r>
          </w:p>
        </w:tc>
        <w:tc>
          <w:tcPr>
            <w:tcW w:type="dxa" w:w="5472"/>
            <w:shd w:fill="FFFFFF"/>
          </w:tcPr>
          <w:p>
            <w:r>
              <w:rPr>
                <w:rFonts w:ascii="Calibri" w:hAnsi="Calibri"/>
                <w:sz w:val="20"/>
              </w:rPr>
              <w:t>Policy formally issued to policyholder</w:t>
            </w:r>
          </w:p>
        </w:tc>
      </w:tr>
      <w:tr>
        <w:tc>
          <w:tcPr>
            <w:tcW w:type="dxa" w:w="2160"/>
            <w:shd w:fill="FFF7ED"/>
          </w:tcPr>
          <w:p>
            <w:r>
              <w:rPr>
                <w:rFonts w:ascii="Calibri" w:hAnsi="Calibri"/>
                <w:sz w:val="20"/>
              </w:rPr>
              <w:t>Renewal Pending</w:t>
            </w:r>
          </w:p>
        </w:tc>
        <w:tc>
          <w:tcPr>
            <w:tcW w:type="dxa" w:w="1728"/>
            <w:shd w:fill="FFF7ED"/>
          </w:tcPr>
          <w:p>
            <w:r>
              <w:rPr>
                <w:rFonts w:ascii="Calibri" w:hAnsi="Calibri"/>
                <w:sz w:val="20"/>
              </w:rPr>
              <w:t>Yellow</w:t>
            </w:r>
          </w:p>
        </w:tc>
        <w:tc>
          <w:tcPr>
            <w:tcW w:type="dxa" w:w="5472"/>
            <w:shd w:fill="FFF7ED"/>
          </w:tcPr>
          <w:p>
            <w:r>
              <w:rPr>
                <w:rFonts w:ascii="Calibri" w:hAnsi="Calibri"/>
                <w:sz w:val="20"/>
              </w:rPr>
              <w:t>Renewal initiated, awaiting underwriting/payment</w:t>
            </w:r>
          </w:p>
        </w:tc>
      </w:tr>
      <w:tr>
        <w:tc>
          <w:tcPr>
            <w:tcW w:type="dxa" w:w="2160"/>
            <w:shd w:fill="FFFFFF"/>
          </w:tcPr>
          <w:p>
            <w:r>
              <w:rPr>
                <w:rFonts w:ascii="Calibri" w:hAnsi="Calibri"/>
                <w:sz w:val="20"/>
              </w:rPr>
              <w:t>Reinstated</w:t>
            </w:r>
          </w:p>
        </w:tc>
        <w:tc>
          <w:tcPr>
            <w:tcW w:type="dxa" w:w="1728"/>
            <w:shd w:fill="FFFFFF"/>
          </w:tcPr>
          <w:p>
            <w:r>
              <w:rPr>
                <w:rFonts w:ascii="Calibri" w:hAnsi="Calibri"/>
                <w:sz w:val="20"/>
              </w:rPr>
              <w:t>Cyan</w:t>
            </w:r>
          </w:p>
        </w:tc>
        <w:tc>
          <w:tcPr>
            <w:tcW w:type="dxa" w:w="5472"/>
            <w:shd w:fill="FFFFFF"/>
          </w:tcPr>
          <w:p>
            <w:r>
              <w:rPr>
                <w:rFonts w:ascii="Calibri" w:hAnsi="Calibri"/>
                <w:sz w:val="20"/>
              </w:rPr>
              <w:t>Previously lapsed/cancelled policy restored</w:t>
            </w:r>
          </w:p>
        </w:tc>
      </w:tr>
      <w:tr>
        <w:tc>
          <w:tcPr>
            <w:tcW w:type="dxa" w:w="2160"/>
            <w:shd w:fill="FFF7ED"/>
          </w:tcPr>
          <w:p>
            <w:r>
              <w:rPr>
                <w:rFonts w:ascii="Calibri" w:hAnsi="Calibri"/>
                <w:sz w:val="20"/>
              </w:rPr>
              <w:t>Lapsed</w:t>
            </w:r>
          </w:p>
        </w:tc>
        <w:tc>
          <w:tcPr>
            <w:tcW w:type="dxa" w:w="1728"/>
            <w:shd w:fill="FFF7ED"/>
          </w:tcPr>
          <w:p>
            <w:r>
              <w:rPr>
                <w:rFonts w:ascii="Calibri" w:hAnsi="Calibri"/>
                <w:sz w:val="20"/>
              </w:rPr>
              <w:t>Red</w:t>
            </w:r>
          </w:p>
        </w:tc>
        <w:tc>
          <w:tcPr>
            <w:tcW w:type="dxa" w:w="5472"/>
            <w:shd w:fill="FFF7ED"/>
          </w:tcPr>
          <w:p>
            <w:r>
              <w:rPr>
                <w:rFonts w:ascii="Calibri" w:hAnsi="Calibri"/>
                <w:sz w:val="20"/>
              </w:rPr>
              <w:t>Premium overdue beyond grace period, coverage suspended</w:t>
            </w:r>
          </w:p>
        </w:tc>
      </w:tr>
      <w:tr>
        <w:tc>
          <w:tcPr>
            <w:tcW w:type="dxa" w:w="2160"/>
            <w:shd w:fill="FFFFFF"/>
          </w:tcPr>
          <w:p>
            <w:r>
              <w:rPr>
                <w:rFonts w:ascii="Calibri" w:hAnsi="Calibri"/>
                <w:sz w:val="20"/>
              </w:rPr>
              <w:t>Cancelled</w:t>
            </w:r>
          </w:p>
        </w:tc>
        <w:tc>
          <w:tcPr>
            <w:tcW w:type="dxa" w:w="1728"/>
            <w:shd w:fill="FFFFFF"/>
          </w:tcPr>
          <w:p>
            <w:r>
              <w:rPr>
                <w:rFonts w:ascii="Calibri" w:hAnsi="Calibri"/>
                <w:sz w:val="20"/>
              </w:rPr>
              <w:t>Red</w:t>
            </w:r>
          </w:p>
        </w:tc>
        <w:tc>
          <w:tcPr>
            <w:tcW w:type="dxa" w:w="5472"/>
            <w:shd w:fill="FFFFFF"/>
          </w:tcPr>
          <w:p>
            <w:r>
              <w:rPr>
                <w:rFonts w:ascii="Calibri" w:hAnsi="Calibri"/>
                <w:sz w:val="20"/>
              </w:rPr>
              <w:t>Terminated by request or non-payment</w:t>
            </w:r>
          </w:p>
        </w:tc>
      </w:tr>
      <w:tr>
        <w:tc>
          <w:tcPr>
            <w:tcW w:type="dxa" w:w="2160"/>
            <w:shd w:fill="FFF7ED"/>
          </w:tcPr>
          <w:p>
            <w:r>
              <w:rPr>
                <w:rFonts w:ascii="Calibri" w:hAnsi="Calibri"/>
                <w:sz w:val="20"/>
              </w:rPr>
              <w:t>Expired</w:t>
            </w:r>
          </w:p>
        </w:tc>
        <w:tc>
          <w:tcPr>
            <w:tcW w:type="dxa" w:w="1728"/>
            <w:shd w:fill="FFF7ED"/>
          </w:tcPr>
          <w:p>
            <w:r>
              <w:rPr>
                <w:rFonts w:ascii="Calibri" w:hAnsi="Calibri"/>
                <w:sz w:val="20"/>
              </w:rPr>
              <w:t>Gray</w:t>
            </w:r>
          </w:p>
        </w:tc>
        <w:tc>
          <w:tcPr>
            <w:tcW w:type="dxa" w:w="5472"/>
            <w:shd w:fill="FFF7ED"/>
          </w:tcPr>
          <w:p>
            <w:r>
              <w:rPr>
                <w:rFonts w:ascii="Calibri" w:hAnsi="Calibri"/>
                <w:sz w:val="20"/>
              </w:rPr>
              <w:t>Policy term ended, not renewed</w:t>
            </w:r>
          </w:p>
        </w:tc>
      </w:tr>
    </w:tbl>
    <w:p>
      <w:pPr>
        <w:pStyle w:val="Heading3"/>
      </w:pPr>
      <w:r>
        <w:t>Risk Level Indicators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1E3A5F"/>
          </w:tcPr>
          <w:p>
            <w:pPr>
              <w:jc w:val="left"/>
            </w:pPr>
            <w:r>
              <w:rPr>
                <w:rFonts w:ascii="Calibri" w:hAnsi="Calibri"/>
                <w:b/>
                <w:color w:val="FFFFFF"/>
                <w:sz w:val="20"/>
              </w:rPr>
              <w:t>Risk Level</w:t>
            </w:r>
          </w:p>
        </w:tc>
        <w:tc>
          <w:tcPr>
            <w:tcW w:type="dxa" w:w="1440"/>
            <w:shd w:fill="1E3A5F"/>
          </w:tcPr>
          <w:p>
            <w:pPr>
              <w:jc w:val="left"/>
            </w:pPr>
            <w:r>
              <w:rPr>
                <w:rFonts w:ascii="Calibri" w:hAnsi="Calibri"/>
                <w:b/>
                <w:color w:val="FFFFFF"/>
                <w:sz w:val="20"/>
              </w:rPr>
              <w:t>Color</w:t>
            </w:r>
          </w:p>
        </w:tc>
        <w:tc>
          <w:tcPr>
            <w:tcW w:type="dxa" w:w="5760"/>
            <w:shd w:fill="1E3A5F"/>
          </w:tcPr>
          <w:p>
            <w:pPr>
              <w:jc w:val="left"/>
            </w:pPr>
            <w:r>
              <w:rPr>
                <w:rFonts w:ascii="Calibri" w:hAnsi="Calibri"/>
                <w:b/>
                <w:color w:val="FFFFFF"/>
                <w:sz w:val="20"/>
              </w:rPr>
              <w:t>Indicator</w:t>
            </w:r>
          </w:p>
        </w:tc>
      </w:tr>
      <w:tr>
        <w:tc>
          <w:tcPr>
            <w:tcW w:type="dxa" w:w="2160"/>
            <w:shd w:fill="FFF7ED"/>
          </w:tcPr>
          <w:p>
            <w:r>
              <w:rPr>
                <w:rFonts w:ascii="Calibri" w:hAnsi="Calibri"/>
                <w:sz w:val="20"/>
              </w:rPr>
              <w:t>Low</w:t>
            </w:r>
          </w:p>
        </w:tc>
        <w:tc>
          <w:tcPr>
            <w:tcW w:type="dxa" w:w="1440"/>
            <w:shd w:fill="FFF7ED"/>
          </w:tcPr>
          <w:p>
            <w:r>
              <w:rPr>
                <w:rFonts w:ascii="Calibri" w:hAnsi="Calibri"/>
                <w:sz w:val="20"/>
              </w:rPr>
              <w:t>Green</w:t>
            </w:r>
          </w:p>
        </w:tc>
        <w:tc>
          <w:tcPr>
            <w:tcW w:type="dxa" w:w="5760"/>
            <w:shd w:fill="FFF7ED"/>
          </w:tcPr>
          <w:p>
            <w:r>
              <w:rPr>
                <w:rFonts w:ascii="Calibri" w:hAnsi="Calibri"/>
                <w:sz w:val="20"/>
              </w:rPr>
              <w:t>Down arrow — low risk profile</w:t>
            </w:r>
          </w:p>
        </w:tc>
      </w:tr>
      <w:tr>
        <w:tc>
          <w:tcPr>
            <w:tcW w:type="dxa" w:w="2160"/>
            <w:shd w:fill="FFFFFF"/>
          </w:tcPr>
          <w:p>
            <w:r>
              <w:rPr>
                <w:rFonts w:ascii="Calibri" w:hAnsi="Calibri"/>
                <w:sz w:val="20"/>
              </w:rPr>
              <w:t>Medium</w:t>
            </w:r>
          </w:p>
        </w:tc>
        <w:tc>
          <w:tcPr>
            <w:tcW w:type="dxa" w:w="1440"/>
            <w:shd w:fill="FFFFFF"/>
          </w:tcPr>
          <w:p>
            <w:r>
              <w:rPr>
                <w:rFonts w:ascii="Calibri" w:hAnsi="Calibri"/>
                <w:sz w:val="20"/>
              </w:rPr>
              <w:t>Yellow</w:t>
            </w:r>
          </w:p>
        </w:tc>
        <w:tc>
          <w:tcPr>
            <w:tcW w:type="dxa" w:w="5760"/>
            <w:shd w:fill="FFFFFF"/>
          </w:tcPr>
          <w:p>
            <w:r>
              <w:rPr>
                <w:rFonts w:ascii="Calibri" w:hAnsi="Calibri"/>
                <w:sz w:val="20"/>
              </w:rPr>
              <w:t>Right arrow — moderate risk profile</w:t>
            </w:r>
          </w:p>
        </w:tc>
      </w:tr>
      <w:tr>
        <w:tc>
          <w:tcPr>
            <w:tcW w:type="dxa" w:w="2160"/>
            <w:shd w:fill="FFF7ED"/>
          </w:tcPr>
          <w:p>
            <w:r>
              <w:rPr>
                <w:rFonts w:ascii="Calibri" w:hAnsi="Calibri"/>
                <w:sz w:val="20"/>
              </w:rPr>
              <w:t>High</w:t>
            </w:r>
          </w:p>
        </w:tc>
        <w:tc>
          <w:tcPr>
            <w:tcW w:type="dxa" w:w="1440"/>
            <w:shd w:fill="FFF7ED"/>
          </w:tcPr>
          <w:p>
            <w:r>
              <w:rPr>
                <w:rFonts w:ascii="Calibri" w:hAnsi="Calibri"/>
                <w:sz w:val="20"/>
              </w:rPr>
              <w:t>Red</w:t>
            </w:r>
          </w:p>
        </w:tc>
        <w:tc>
          <w:tcPr>
            <w:tcW w:type="dxa" w:w="5760"/>
            <w:shd w:fill="FFF7ED"/>
          </w:tcPr>
          <w:p>
            <w:r>
              <w:rPr>
                <w:rFonts w:ascii="Calibri" w:hAnsi="Calibri"/>
                <w:sz w:val="20"/>
              </w:rPr>
              <w:t>Up arrow — high risk profile</w:t>
            </w:r>
          </w:p>
        </w:tc>
      </w:tr>
    </w:tbl>
    <w:p>
      <w:r>
        <w:br w:type="page"/>
      </w:r>
    </w:p>
    <w:p>
      <w:pPr>
        <w:pStyle w:val="Heading1"/>
      </w:pPr>
      <w:r>
        <w:t>5. Policy Detail &amp; Lifecycle</w:t>
      </w:r>
    </w:p>
    <w:p>
      <w:pPr>
        <w:jc w:val="center"/>
      </w:pPr>
      <w:r>
        <w:drawing>
          <wp:inline xmlns:a="http://schemas.openxmlformats.org/drawingml/2006/main" xmlns:pic="http://schemas.openxmlformats.org/drawingml/2006/picture">
            <wp:extent cx="5669280" cy="3143472"/>
            <wp:docPr id="5" name="Picture 5"/>
            <wp:cNvGraphicFramePr>
              <a:graphicFrameLocks noChangeAspect="1"/>
            </wp:cNvGraphicFramePr>
            <a:graphic>
              <a:graphicData uri="http://schemas.openxmlformats.org/drawingml/2006/picture">
                <pic:pic>
                  <pic:nvPicPr>
                    <pic:cNvPr id="0" name="05-policy-detail.png"/>
                    <pic:cNvPicPr/>
                  </pic:nvPicPr>
                  <pic:blipFill>
                    <a:blip r:embed="rId13"/>
                    <a:stretch>
                      <a:fillRect/>
                    </a:stretch>
                  </pic:blipFill>
                  <pic:spPr>
                    <a:xfrm>
                      <a:off x="0" y="0"/>
                      <a:ext cx="5669280" cy="3143472"/>
                    </a:xfrm>
                    <a:prstGeom prst="rect"/>
                  </pic:spPr>
                </pic:pic>
              </a:graphicData>
            </a:graphic>
          </wp:inline>
        </w:drawing>
      </w:r>
    </w:p>
    <w:p>
      <w:pPr>
        <w:pStyle w:val="Heading2"/>
      </w:pPr>
      <w:r>
        <w:t>Overview</w:t>
      </w:r>
    </w:p>
    <w:p>
      <w:r>
        <w:t>The Policy Detail page provides a complete view of an individual policy with a visual lifecycle stepper, action buttons, and an 8-tab detail interface. This is the central page for all policy operations including endorsements, renewals, billing, documents, and audit trail.</w:t>
      </w:r>
    </w:p>
    <w:p>
      <w:pPr>
        <w:pStyle w:val="Heading3"/>
      </w:pPr>
      <w:r>
        <w:t>Policy Lifecycle Stepper</w:t>
      </w:r>
    </w:p>
    <w:p>
      <w:r>
        <w:t>The lifecycle stepper displays the complete journey of a policy through five stages:</w:t>
      </w:r>
    </w:p>
    <w:p>
      <w:pPr>
        <w:pStyle w:val="ListBullet"/>
        <w:spacing w:after="60"/>
      </w:pPr>
      <w:r>
        <w:rPr>
          <w:rFonts w:ascii="Calibri" w:hAnsi="Calibri"/>
          <w:sz w:val="20"/>
        </w:rPr>
        <w:t>Draft — Initial policy creation (gray circle)</w:t>
      </w:r>
    </w:p>
    <w:p>
      <w:pPr>
        <w:pStyle w:val="ListBullet"/>
        <w:spacing w:after="60"/>
      </w:pPr>
      <w:r>
        <w:rPr>
          <w:rFonts w:ascii="Calibri" w:hAnsi="Calibri"/>
          <w:sz w:val="20"/>
        </w:rPr>
        <w:t>Quoted — Premium calculation completed (green checkmark when passed)</w:t>
      </w:r>
    </w:p>
    <w:p>
      <w:pPr>
        <w:pStyle w:val="ListBullet"/>
        <w:spacing w:after="60"/>
      </w:pPr>
      <w:r>
        <w:rPr>
          <w:rFonts w:ascii="Calibri" w:hAnsi="Calibri"/>
          <w:sz w:val="20"/>
        </w:rPr>
        <w:t>Bound — Quote accepted by customer (green checkmark when passed)</w:t>
      </w:r>
    </w:p>
    <w:p>
      <w:pPr>
        <w:pStyle w:val="ListBullet"/>
        <w:spacing w:after="60"/>
      </w:pPr>
      <w:r>
        <w:rPr>
          <w:rFonts w:ascii="Calibri" w:hAnsi="Calibri"/>
          <w:sz w:val="20"/>
        </w:rPr>
        <w:t>Issued — Policy formally issued (green checkmark when passed)</w:t>
      </w:r>
    </w:p>
    <w:p>
      <w:pPr>
        <w:pStyle w:val="ListBullet"/>
        <w:spacing w:after="60"/>
      </w:pPr>
      <w:r>
        <w:rPr>
          <w:rFonts w:ascii="Calibri" w:hAnsi="Calibri"/>
          <w:sz w:val="20"/>
        </w:rPr>
        <w:t>Active — Policy in force (orange highlighted circle with step number)</w:t>
      </w:r>
    </w:p>
    <w:p>
      <w:r>
        <w:t>Each completed stage shows a green checkmark. The current stage is highlighted with an orange circle. Arrows connect the stages to show the flow progression.</w:t>
      </w:r>
    </w:p>
    <w:p>
      <w:pPr>
        <w:pStyle w:val="Heading3"/>
      </w:pPr>
      <w:r>
        <w:t>Available Actions</w:t>
      </w:r>
    </w:p>
    <w:p>
      <w:r>
        <w:t>Based on the current policy status, available transition actions are displayed as clickable orange/red badges below the stepper. For an Active policy:</w:t>
      </w:r>
    </w:p>
    <w:p>
      <w:pPr>
        <w:pStyle w:val="ListBullet"/>
        <w:spacing w:after="60"/>
      </w:pPr>
      <w:r>
        <w:rPr>
          <w:rFonts w:ascii="Calibri" w:hAnsi="Calibri"/>
          <w:sz w:val="20"/>
        </w:rPr>
        <w:t>Endorsed — Apply a mid-term modification to the policy</w:t>
      </w:r>
    </w:p>
    <w:p>
      <w:pPr>
        <w:pStyle w:val="ListBullet"/>
        <w:spacing w:after="60"/>
      </w:pPr>
      <w:r>
        <w:rPr>
          <w:rFonts w:ascii="Calibri" w:hAnsi="Calibri"/>
          <w:sz w:val="20"/>
        </w:rPr>
        <w:t>Renewal Pending — Initiate the renewal process</w:t>
      </w:r>
    </w:p>
    <w:p>
      <w:pPr>
        <w:pStyle w:val="ListBullet"/>
        <w:spacing w:after="60"/>
      </w:pPr>
      <w:r>
        <w:rPr>
          <w:rFonts w:ascii="Calibri" w:hAnsi="Calibri"/>
          <w:sz w:val="20"/>
        </w:rPr>
        <w:t>Lapsed — Mark the policy as lapsed due to non-payment</w:t>
      </w:r>
    </w:p>
    <w:p>
      <w:pPr>
        <w:pStyle w:val="ListBullet"/>
        <w:spacing w:after="60"/>
      </w:pPr>
      <w:r>
        <w:rPr>
          <w:rFonts w:ascii="Calibri" w:hAnsi="Calibri"/>
          <w:sz w:val="20"/>
        </w:rPr>
        <w:t>Cancelled — Cancel the policy by request</w:t>
      </w:r>
    </w:p>
    <w:p>
      <w:pPr>
        <w:pStyle w:val="ListBullet"/>
        <w:spacing w:after="60"/>
      </w:pPr>
      <w:r>
        <w:rPr>
          <w:rFonts w:ascii="Calibri" w:hAnsi="Calibri"/>
          <w:sz w:val="20"/>
        </w:rPr>
        <w:t>Expired — Mark the policy as expired (term ended)</w:t>
      </w:r>
    </w:p>
    <w:p>
      <w:pPr>
        <w:pStyle w:val="Heading3"/>
      </w:pPr>
      <w:r>
        <w:t>Header Action Buttons</w:t>
      </w:r>
    </w:p>
    <w:p>
      <w:pPr>
        <w:pStyle w:val="ListBullet"/>
        <w:spacing w:after="60"/>
      </w:pPr>
      <w:r>
        <w:rPr>
          <w:rFonts w:ascii="Calibri" w:hAnsi="Calibri"/>
          <w:sz w:val="20"/>
        </w:rPr>
        <w:t>Initiate Renewal — Start the renewal workflow for this policy</w:t>
      </w:r>
    </w:p>
    <w:p>
      <w:pPr>
        <w:pStyle w:val="ListBullet"/>
        <w:spacing w:after="60"/>
      </w:pPr>
      <w:r>
        <w:rPr>
          <w:rFonts w:ascii="Calibri" w:hAnsi="Calibri"/>
          <w:sz w:val="20"/>
        </w:rPr>
        <w:t>Lapse — Lapse the policy (red button, requires confirmation)</w:t>
      </w:r>
    </w:p>
    <w:p>
      <w:pPr>
        <w:pStyle w:val="ListBullet"/>
        <w:spacing w:after="60"/>
      </w:pPr>
      <w:r>
        <w:rPr>
          <w:rFonts w:ascii="Calibri" w:hAnsi="Calibri"/>
          <w:sz w:val="20"/>
        </w:rPr>
        <w:t>Cancel — Cancel the policy (red button, requires confirmation)</w:t>
      </w:r>
    </w:p>
    <w:p>
      <w:pPr>
        <w:pStyle w:val="Heading3"/>
      </w:pPr>
      <w:r>
        <w:t>8-Tab Detail Interface</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fill="1E3A5F"/>
          </w:tcPr>
          <w:p>
            <w:pPr>
              <w:jc w:val="left"/>
            </w:pPr>
            <w:r>
              <w:rPr>
                <w:rFonts w:ascii="Calibri" w:hAnsi="Calibri"/>
                <w:b/>
                <w:color w:val="FFFFFF"/>
                <w:sz w:val="20"/>
              </w:rPr>
              <w:t>Tab</w:t>
            </w:r>
          </w:p>
        </w:tc>
        <w:tc>
          <w:tcPr>
            <w:tcW w:type="dxa" w:w="2880"/>
            <w:shd w:fill="1E3A5F"/>
          </w:tcPr>
          <w:p>
            <w:pPr>
              <w:jc w:val="left"/>
            </w:pPr>
            <w:r>
              <w:rPr>
                <w:rFonts w:ascii="Calibri" w:hAnsi="Calibri"/>
                <w:b/>
                <w:color w:val="FFFFFF"/>
                <w:sz w:val="20"/>
              </w:rPr>
              <w:t>Content</w:t>
            </w:r>
          </w:p>
        </w:tc>
        <w:tc>
          <w:tcPr>
            <w:tcW w:type="dxa" w:w="4752"/>
            <w:shd w:fill="1E3A5F"/>
          </w:tcPr>
          <w:p>
            <w:pPr>
              <w:jc w:val="left"/>
            </w:pPr>
            <w:r>
              <w:rPr>
                <w:rFonts w:ascii="Calibri" w:hAnsi="Calibri"/>
                <w:b/>
                <w:color w:val="FFFFFF"/>
                <w:sz w:val="20"/>
              </w:rPr>
              <w:t>Details</w:t>
            </w:r>
          </w:p>
        </w:tc>
      </w:tr>
      <w:tr>
        <w:tc>
          <w:tcPr>
            <w:tcW w:type="dxa" w:w="1728"/>
            <w:shd w:fill="FFF7ED"/>
          </w:tcPr>
          <w:p>
            <w:r>
              <w:rPr>
                <w:rFonts w:ascii="Calibri" w:hAnsi="Calibri"/>
                <w:sz w:val="20"/>
              </w:rPr>
              <w:t>Details</w:t>
            </w:r>
          </w:p>
        </w:tc>
        <w:tc>
          <w:tcPr>
            <w:tcW w:type="dxa" w:w="2880"/>
            <w:shd w:fill="FFF7ED"/>
          </w:tcPr>
          <w:p>
            <w:r>
              <w:rPr>
                <w:rFonts w:ascii="Calibri" w:hAnsi="Calibri"/>
                <w:sz w:val="20"/>
              </w:rPr>
              <w:t>Policy &amp; Financial Information</w:t>
            </w:r>
          </w:p>
        </w:tc>
        <w:tc>
          <w:tcPr>
            <w:tcW w:type="dxa" w:w="4752"/>
            <w:shd w:fill="FFF7ED"/>
          </w:tcPr>
          <w:p>
            <w:r>
              <w:rPr>
                <w:rFonts w:ascii="Calibri" w:hAnsi="Calibri"/>
                <w:sz w:val="20"/>
              </w:rPr>
              <w:t>Policy ID, Type, Status, Risk Category, Version, Premium, Coverage, Dates, Customer ID, Created timestamp</w:t>
            </w:r>
          </w:p>
        </w:tc>
      </w:tr>
      <w:tr>
        <w:tc>
          <w:tcPr>
            <w:tcW w:type="dxa" w:w="1728"/>
            <w:shd w:fill="FFFFFF"/>
          </w:tcPr>
          <w:p>
            <w:r>
              <w:rPr>
                <w:rFonts w:ascii="Calibri" w:hAnsi="Calibri"/>
                <w:sz w:val="20"/>
              </w:rPr>
              <w:t>Endorsements</w:t>
            </w:r>
          </w:p>
        </w:tc>
        <w:tc>
          <w:tcPr>
            <w:tcW w:type="dxa" w:w="2880"/>
            <w:shd w:fill="FFFFFF"/>
          </w:tcPr>
          <w:p>
            <w:r>
              <w:rPr>
                <w:rFonts w:ascii="Calibri" w:hAnsi="Calibri"/>
                <w:sz w:val="20"/>
              </w:rPr>
              <w:t>Mid-term policy modifications</w:t>
            </w:r>
          </w:p>
        </w:tc>
        <w:tc>
          <w:tcPr>
            <w:tcW w:type="dxa" w:w="4752"/>
            <w:shd w:fill="FFFFFF"/>
          </w:tcPr>
          <w:p>
            <w:r>
              <w:rPr>
                <w:rFonts w:ascii="Calibri" w:hAnsi="Calibri"/>
                <w:sz w:val="20"/>
              </w:rPr>
              <w:t>List of endorsements with effective date, type of change, premium delta, and approval status</w:t>
            </w:r>
          </w:p>
        </w:tc>
      </w:tr>
      <w:tr>
        <w:tc>
          <w:tcPr>
            <w:tcW w:type="dxa" w:w="1728"/>
            <w:shd w:fill="FFF7ED"/>
          </w:tcPr>
          <w:p>
            <w:r>
              <w:rPr>
                <w:rFonts w:ascii="Calibri" w:hAnsi="Calibri"/>
                <w:sz w:val="20"/>
              </w:rPr>
              <w:t>Renewals</w:t>
            </w:r>
          </w:p>
        </w:tc>
        <w:tc>
          <w:tcPr>
            <w:tcW w:type="dxa" w:w="2880"/>
            <w:shd w:fill="FFF7ED"/>
          </w:tcPr>
          <w:p>
            <w:r>
              <w:rPr>
                <w:rFonts w:ascii="Calibri" w:hAnsi="Calibri"/>
                <w:sz w:val="20"/>
              </w:rPr>
              <w:t>Renewal history &amp; tracking</w:t>
            </w:r>
          </w:p>
        </w:tc>
        <w:tc>
          <w:tcPr>
            <w:tcW w:type="dxa" w:w="4752"/>
            <w:shd w:fill="FFF7ED"/>
          </w:tcPr>
          <w:p>
            <w:r>
              <w:rPr>
                <w:rFonts w:ascii="Calibri" w:hAnsi="Calibri"/>
                <w:sz w:val="20"/>
              </w:rPr>
              <w:t>Previous renewals, upcoming renewal date, renewal underwriting status, premium changes</w:t>
            </w:r>
          </w:p>
        </w:tc>
      </w:tr>
      <w:tr>
        <w:tc>
          <w:tcPr>
            <w:tcW w:type="dxa" w:w="1728"/>
            <w:shd w:fill="FFFFFF"/>
          </w:tcPr>
          <w:p>
            <w:r>
              <w:rPr>
                <w:rFonts w:ascii="Calibri" w:hAnsi="Calibri"/>
                <w:sz w:val="20"/>
              </w:rPr>
              <w:t>Timeline</w:t>
            </w:r>
          </w:p>
        </w:tc>
        <w:tc>
          <w:tcPr>
            <w:tcW w:type="dxa" w:w="2880"/>
            <w:shd w:fill="FFFFFF"/>
          </w:tcPr>
          <w:p>
            <w:r>
              <w:rPr>
                <w:rFonts w:ascii="Calibri" w:hAnsi="Calibri"/>
                <w:sz w:val="20"/>
              </w:rPr>
              <w:t>Chronological event log</w:t>
            </w:r>
          </w:p>
        </w:tc>
        <w:tc>
          <w:tcPr>
            <w:tcW w:type="dxa" w:w="4752"/>
            <w:shd w:fill="FFFFFF"/>
          </w:tcPr>
          <w:p>
            <w:r>
              <w:rPr>
                <w:rFonts w:ascii="Calibri" w:hAnsi="Calibri"/>
                <w:sz w:val="20"/>
              </w:rPr>
              <w:t>Visual timeline of all lifecycle events: creation, status changes, endorsements, payments, documents</w:t>
            </w:r>
          </w:p>
        </w:tc>
      </w:tr>
      <w:tr>
        <w:tc>
          <w:tcPr>
            <w:tcW w:type="dxa" w:w="1728"/>
            <w:shd w:fill="FFF7ED"/>
          </w:tcPr>
          <w:p>
            <w:r>
              <w:rPr>
                <w:rFonts w:ascii="Calibri" w:hAnsi="Calibri"/>
                <w:sz w:val="20"/>
              </w:rPr>
              <w:t>Versions</w:t>
            </w:r>
          </w:p>
        </w:tc>
        <w:tc>
          <w:tcPr>
            <w:tcW w:type="dxa" w:w="2880"/>
            <w:shd w:fill="FFF7ED"/>
          </w:tcPr>
          <w:p>
            <w:r>
              <w:rPr>
                <w:rFonts w:ascii="Calibri" w:hAnsi="Calibri"/>
                <w:sz w:val="20"/>
              </w:rPr>
              <w:t>Policy version history</w:t>
            </w:r>
          </w:p>
        </w:tc>
        <w:tc>
          <w:tcPr>
            <w:tcW w:type="dxa" w:w="4752"/>
            <w:shd w:fill="FFF7ED"/>
          </w:tcPr>
          <w:p>
            <w:r>
              <w:rPr>
                <w:rFonts w:ascii="Calibri" w:hAnsi="Calibri"/>
                <w:sz w:val="20"/>
              </w:rPr>
              <w:t>Version number, effective date, changes made, comparison between versions</w:t>
            </w:r>
          </w:p>
        </w:tc>
      </w:tr>
      <w:tr>
        <w:tc>
          <w:tcPr>
            <w:tcW w:type="dxa" w:w="1728"/>
            <w:shd w:fill="FFFFFF"/>
          </w:tcPr>
          <w:p>
            <w:r>
              <w:rPr>
                <w:rFonts w:ascii="Calibri" w:hAnsi="Calibri"/>
                <w:sz w:val="20"/>
              </w:rPr>
              <w:t>Billing</w:t>
            </w:r>
          </w:p>
        </w:tc>
        <w:tc>
          <w:tcPr>
            <w:tcW w:type="dxa" w:w="2880"/>
            <w:shd w:fill="FFFFFF"/>
          </w:tcPr>
          <w:p>
            <w:r>
              <w:rPr>
                <w:rFonts w:ascii="Calibri" w:hAnsi="Calibri"/>
                <w:sz w:val="20"/>
              </w:rPr>
              <w:t>Payment information</w:t>
            </w:r>
          </w:p>
        </w:tc>
        <w:tc>
          <w:tcPr>
            <w:tcW w:type="dxa" w:w="4752"/>
            <w:shd w:fill="FFFFFF"/>
          </w:tcPr>
          <w:p>
            <w:r>
              <w:rPr>
                <w:rFonts w:ascii="Calibri" w:hAnsi="Calibri"/>
                <w:sz w:val="20"/>
              </w:rPr>
              <w:t>Linked billing account, installment schedule, payment history, outstanding balance</w:t>
            </w:r>
          </w:p>
        </w:tc>
      </w:tr>
      <w:tr>
        <w:tc>
          <w:tcPr>
            <w:tcW w:type="dxa" w:w="1728"/>
            <w:shd w:fill="FFF7ED"/>
          </w:tcPr>
          <w:p>
            <w:r>
              <w:rPr>
                <w:rFonts w:ascii="Calibri" w:hAnsi="Calibri"/>
                <w:sz w:val="20"/>
              </w:rPr>
              <w:t>Documents</w:t>
            </w:r>
          </w:p>
        </w:tc>
        <w:tc>
          <w:tcPr>
            <w:tcW w:type="dxa" w:w="2880"/>
            <w:shd w:fill="FFF7ED"/>
          </w:tcPr>
          <w:p>
            <w:r>
              <w:rPr>
                <w:rFonts w:ascii="Calibri" w:hAnsi="Calibri"/>
                <w:sz w:val="20"/>
              </w:rPr>
              <w:t>Policy documents</w:t>
            </w:r>
          </w:p>
        </w:tc>
        <w:tc>
          <w:tcPr>
            <w:tcW w:type="dxa" w:w="4752"/>
            <w:shd w:fill="FFF7ED"/>
          </w:tcPr>
          <w:p>
            <w:r>
              <w:rPr>
                <w:rFonts w:ascii="Calibri" w:hAnsi="Calibri"/>
                <w:sz w:val="20"/>
              </w:rPr>
              <w:t>Generated documents (declarations, certificates), uploaded documents, download/preview actions</w:t>
            </w:r>
          </w:p>
        </w:tc>
      </w:tr>
      <w:tr>
        <w:tc>
          <w:tcPr>
            <w:tcW w:type="dxa" w:w="1728"/>
            <w:shd w:fill="FFFFFF"/>
          </w:tcPr>
          <w:p>
            <w:r>
              <w:rPr>
                <w:rFonts w:ascii="Calibri" w:hAnsi="Calibri"/>
                <w:sz w:val="20"/>
              </w:rPr>
              <w:t>Audit</w:t>
            </w:r>
          </w:p>
        </w:tc>
        <w:tc>
          <w:tcPr>
            <w:tcW w:type="dxa" w:w="2880"/>
            <w:shd w:fill="FFFFFF"/>
          </w:tcPr>
          <w:p>
            <w:r>
              <w:rPr>
                <w:rFonts w:ascii="Calibri" w:hAnsi="Calibri"/>
                <w:sz w:val="20"/>
              </w:rPr>
              <w:t>Complete audit trail</w:t>
            </w:r>
          </w:p>
        </w:tc>
        <w:tc>
          <w:tcPr>
            <w:tcW w:type="dxa" w:w="4752"/>
            <w:shd w:fill="FFFFFF"/>
          </w:tcPr>
          <w:p>
            <w:r>
              <w:rPr>
                <w:rFonts w:ascii="Calibri" w:hAnsi="Calibri"/>
                <w:sz w:val="20"/>
              </w:rPr>
              <w:t>Every user action logged: who, what, when — with before/after values for changes</w:t>
            </w:r>
          </w:p>
        </w:tc>
      </w:tr>
    </w:tbl>
    <w:p>
      <w:r>
        <w:br w:type="page"/>
      </w:r>
    </w:p>
    <w:p>
      <w:pPr>
        <w:pStyle w:val="Heading1"/>
      </w:pPr>
      <w:r>
        <w:t>6. Customer Management</w:t>
      </w:r>
    </w:p>
    <w:p>
      <w:pPr>
        <w:jc w:val="center"/>
      </w:pPr>
      <w:r>
        <w:drawing>
          <wp:inline xmlns:a="http://schemas.openxmlformats.org/drawingml/2006/main" xmlns:pic="http://schemas.openxmlformats.org/drawingml/2006/picture">
            <wp:extent cx="5669280" cy="3143472"/>
            <wp:docPr id="6" name="Picture 6"/>
            <wp:cNvGraphicFramePr>
              <a:graphicFrameLocks noChangeAspect="1"/>
            </wp:cNvGraphicFramePr>
            <a:graphic>
              <a:graphicData uri="http://schemas.openxmlformats.org/drawingml/2006/picture">
                <pic:pic>
                  <pic:nvPicPr>
                    <pic:cNvPr id="0" name="06-customers.png"/>
                    <pic:cNvPicPr/>
                  </pic:nvPicPr>
                  <pic:blipFill>
                    <a:blip r:embed="rId14"/>
                    <a:stretch>
                      <a:fillRect/>
                    </a:stretch>
                  </pic:blipFill>
                  <pic:spPr>
                    <a:xfrm>
                      <a:off x="0" y="0"/>
                      <a:ext cx="5669280" cy="3143472"/>
                    </a:xfrm>
                    <a:prstGeom prst="rect"/>
                  </pic:spPr>
                </pic:pic>
              </a:graphicData>
            </a:graphic>
          </wp:inline>
        </w:drawing>
      </w:r>
    </w:p>
    <w:p>
      <w:pPr>
        <w:pStyle w:val="Heading2"/>
      </w:pPr>
      <w:r>
        <w:t>Overview</w:t>
      </w:r>
    </w:p>
    <w:p>
      <w:r>
        <w:t>The Customer Management module provides a centralized view of all customers with their associated policies, risk profiles, and contact information. It supports full CRUD operations and real-time search.</w:t>
      </w:r>
    </w:p>
    <w:p>
      <w:pPr>
        <w:pStyle w:val="Heading3"/>
      </w:pPr>
      <w:r>
        <w:t>Customer Table</w:t>
      </w:r>
    </w:p>
    <w:p>
      <w:pPr>
        <w:pStyle w:val="ListBullet"/>
        <w:spacing w:after="60"/>
      </w:pPr>
      <w:r>
        <w:rPr>
          <w:rFonts w:ascii="Calibri" w:hAnsi="Calibri"/>
          <w:sz w:val="20"/>
        </w:rPr>
        <w:t>Customer ID — Unique identifier (e.g., CUST001)</w:t>
      </w:r>
    </w:p>
    <w:p>
      <w:pPr>
        <w:pStyle w:val="ListBullet"/>
        <w:spacing w:after="60"/>
      </w:pPr>
      <w:r>
        <w:rPr>
          <w:rFonts w:ascii="Calibri" w:hAnsi="Calibri"/>
          <w:sz w:val="20"/>
        </w:rPr>
        <w:t>Name — Full name of the policyholder</w:t>
      </w:r>
    </w:p>
    <w:p>
      <w:pPr>
        <w:pStyle w:val="ListBullet"/>
        <w:spacing w:after="60"/>
      </w:pPr>
      <w:r>
        <w:rPr>
          <w:rFonts w:ascii="Calibri" w:hAnsi="Calibri"/>
          <w:sz w:val="20"/>
        </w:rPr>
        <w:t>Email — Contact email address</w:t>
      </w:r>
    </w:p>
    <w:p>
      <w:pPr>
        <w:pStyle w:val="ListBullet"/>
        <w:spacing w:after="60"/>
      </w:pPr>
      <w:r>
        <w:rPr>
          <w:rFonts w:ascii="Calibri" w:hAnsi="Calibri"/>
          <w:sz w:val="20"/>
        </w:rPr>
        <w:t>Phone — Contact phone number</w:t>
      </w:r>
    </w:p>
    <w:p>
      <w:pPr>
        <w:pStyle w:val="ListBullet"/>
        <w:spacing w:after="60"/>
      </w:pPr>
      <w:r>
        <w:rPr>
          <w:rFonts w:ascii="Calibri" w:hAnsi="Calibri"/>
          <w:sz w:val="20"/>
        </w:rPr>
        <w:t>Status — Active (green badge) or Inactive (gray badge)</w:t>
      </w:r>
    </w:p>
    <w:p>
      <w:pPr>
        <w:pStyle w:val="ListBullet"/>
        <w:spacing w:after="60"/>
      </w:pPr>
      <w:r>
        <w:rPr>
          <w:rFonts w:ascii="Calibri" w:hAnsi="Calibri"/>
          <w:sz w:val="20"/>
        </w:rPr>
        <w:t>Policies — Number of linked policies with clickable navigation</w:t>
      </w:r>
    </w:p>
    <w:p>
      <w:pPr>
        <w:pStyle w:val="ListBullet"/>
        <w:spacing w:after="60"/>
      </w:pPr>
      <w:r>
        <w:rPr>
          <w:rFonts w:ascii="Calibri" w:hAnsi="Calibri"/>
          <w:sz w:val="20"/>
        </w:rPr>
        <w:t>Risk Profile — Low (green), Medium (yellow), High (red) risk assessment</w:t>
      </w:r>
    </w:p>
    <w:p>
      <w:pPr>
        <w:pStyle w:val="Heading3"/>
      </w:pPr>
      <w:r>
        <w:t>Customer Operations</w:t>
      </w:r>
    </w:p>
    <w:p>
      <w:pPr>
        <w:pStyle w:val="ListBullet"/>
        <w:spacing w:after="60"/>
      </w:pPr>
      <w:r>
        <w:rPr>
          <w:rFonts w:ascii="Calibri" w:hAnsi="Calibri"/>
          <w:sz w:val="20"/>
        </w:rPr>
        <w:t>New Customer — Create a new customer with full profile details</w:t>
      </w:r>
    </w:p>
    <w:p>
      <w:pPr>
        <w:pStyle w:val="ListBullet"/>
        <w:spacing w:after="60"/>
      </w:pPr>
      <w:r>
        <w:rPr>
          <w:rFonts w:ascii="Calibri" w:hAnsi="Calibri"/>
          <w:sz w:val="20"/>
        </w:rPr>
        <w:t>Edit — Modify existing customer information</w:t>
      </w:r>
    </w:p>
    <w:p>
      <w:pPr>
        <w:pStyle w:val="ListBullet"/>
        <w:spacing w:after="60"/>
      </w:pPr>
      <w:r>
        <w:rPr>
          <w:rFonts w:ascii="Calibri" w:hAnsi="Calibri"/>
          <w:sz w:val="20"/>
        </w:rPr>
        <w:t>View Details — Navigate to customer detail page with all linked entities</w:t>
      </w:r>
    </w:p>
    <w:p>
      <w:pPr>
        <w:pStyle w:val="ListBullet"/>
        <w:spacing w:after="60"/>
      </w:pPr>
      <w:r>
        <w:rPr>
          <w:rFonts w:ascii="Calibri" w:hAnsi="Calibri"/>
          <w:sz w:val="20"/>
        </w:rPr>
        <w:t>Search — Real-time search by name, email, or phone number</w:t>
      </w:r>
    </w:p>
    <w:p>
      <w:pPr>
        <w:pStyle w:val="ListBullet"/>
        <w:spacing w:after="60"/>
      </w:pPr>
      <w:r>
        <w:rPr>
          <w:rFonts w:ascii="Calibri" w:hAnsi="Calibri"/>
          <w:sz w:val="20"/>
        </w:rPr>
        <w:t>Pagination — Navigate through customer records with page controls</w:t>
      </w:r>
    </w:p>
    <w:p>
      <w:r>
        <w:br w:type="page"/>
      </w:r>
    </w:p>
    <w:p>
      <w:pPr>
        <w:pStyle w:val="Heading1"/>
      </w:pPr>
      <w:r>
        <w:t>7. Underwriting Engine</w:t>
      </w:r>
    </w:p>
    <w:p>
      <w:pPr>
        <w:jc w:val="center"/>
      </w:pPr>
      <w:r>
        <w:drawing>
          <wp:inline xmlns:a="http://schemas.openxmlformats.org/drawingml/2006/main" xmlns:pic="http://schemas.openxmlformats.org/drawingml/2006/picture">
            <wp:extent cx="5669280" cy="3143472"/>
            <wp:docPr id="7" name="Picture 7"/>
            <wp:cNvGraphicFramePr>
              <a:graphicFrameLocks noChangeAspect="1"/>
            </wp:cNvGraphicFramePr>
            <a:graphic>
              <a:graphicData uri="http://schemas.openxmlformats.org/drawingml/2006/picture">
                <pic:pic>
                  <pic:nvPicPr>
                    <pic:cNvPr id="0" name="07-underwriting.png"/>
                    <pic:cNvPicPr/>
                  </pic:nvPicPr>
                  <pic:blipFill>
                    <a:blip r:embed="rId15"/>
                    <a:stretch>
                      <a:fillRect/>
                    </a:stretch>
                  </pic:blipFill>
                  <pic:spPr>
                    <a:xfrm>
                      <a:off x="0" y="0"/>
                      <a:ext cx="5669280" cy="3143472"/>
                    </a:xfrm>
                    <a:prstGeom prst="rect"/>
                  </pic:spPr>
                </pic:pic>
              </a:graphicData>
            </a:graphic>
          </wp:inline>
        </w:drawing>
      </w:r>
    </w:p>
    <w:p>
      <w:pPr>
        <w:pStyle w:val="Heading2"/>
      </w:pPr>
      <w:r>
        <w:t>Overview</w:t>
      </w:r>
    </w:p>
    <w:p>
      <w:r>
        <w:t>The Underwriting Engine provides automated risk assessment with a configurable rules engine. It evaluates policies against predefined criteria, generates risk scores (1-100), and makes automated decisions (Auto-Approve, Refer, Reject). Senior underwriters can manually override automated decisions.</w:t>
      </w:r>
    </w:p>
    <w:p>
      <w:pPr>
        <w:pStyle w:val="Heading3"/>
      </w:pPr>
      <w:r>
        <w:t>Risk Scoring System</w:t>
      </w:r>
    </w:p>
    <w:p>
      <w:r>
        <w:t>Each policy is evaluated against 6 underwriting rules, resulting in a composite risk score from 1 (lowest risk) to 100 (highest risk):</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fill="1E3A5F"/>
          </w:tcPr>
          <w:p>
            <w:pPr>
              <w:jc w:val="left"/>
            </w:pPr>
            <w:r>
              <w:rPr>
                <w:rFonts w:ascii="Calibri" w:hAnsi="Calibri"/>
                <w:b/>
                <w:color w:val="FFFFFF"/>
                <w:sz w:val="20"/>
              </w:rPr>
              <w:t>Rule</w:t>
            </w:r>
          </w:p>
        </w:tc>
        <w:tc>
          <w:tcPr>
            <w:tcW w:type="dxa" w:w="3600"/>
            <w:shd w:fill="1E3A5F"/>
          </w:tcPr>
          <w:p>
            <w:pPr>
              <w:jc w:val="left"/>
            </w:pPr>
            <w:r>
              <w:rPr>
                <w:rFonts w:ascii="Calibri" w:hAnsi="Calibri"/>
                <w:b/>
                <w:color w:val="FFFFFF"/>
                <w:sz w:val="20"/>
              </w:rPr>
              <w:t>Criteria</w:t>
            </w:r>
          </w:p>
        </w:tc>
        <w:tc>
          <w:tcPr>
            <w:tcW w:type="dxa" w:w="3168"/>
            <w:shd w:fill="1E3A5F"/>
          </w:tcPr>
          <w:p>
            <w:pPr>
              <w:jc w:val="left"/>
            </w:pPr>
            <w:r>
              <w:rPr>
                <w:rFonts w:ascii="Calibri" w:hAnsi="Calibri"/>
                <w:b/>
                <w:color w:val="FFFFFF"/>
                <w:sz w:val="20"/>
              </w:rPr>
              <w:t>Impact</w:t>
            </w:r>
          </w:p>
        </w:tc>
      </w:tr>
      <w:tr>
        <w:tc>
          <w:tcPr>
            <w:tcW w:type="dxa" w:w="2592"/>
            <w:shd w:fill="FFF7ED"/>
          </w:tcPr>
          <w:p>
            <w:r>
              <w:rPr>
                <w:rFonts w:ascii="Calibri" w:hAnsi="Calibri"/>
                <w:sz w:val="20"/>
              </w:rPr>
              <w:t>Property Value Limits</w:t>
            </w:r>
          </w:p>
        </w:tc>
        <w:tc>
          <w:tcPr>
            <w:tcW w:type="dxa" w:w="3600"/>
            <w:shd w:fill="FFF7ED"/>
          </w:tcPr>
          <w:p>
            <w:r>
              <w:rPr>
                <w:rFonts w:ascii="Calibri" w:hAnsi="Calibri"/>
                <w:sz w:val="20"/>
              </w:rPr>
              <w:t>Property value within acceptable range</w:t>
            </w:r>
          </w:p>
        </w:tc>
        <w:tc>
          <w:tcPr>
            <w:tcW w:type="dxa" w:w="3168"/>
            <w:shd w:fill="FFF7ED"/>
          </w:tcPr>
          <w:p>
            <w:r>
              <w:rPr>
                <w:rFonts w:ascii="Calibri" w:hAnsi="Calibri"/>
                <w:sz w:val="20"/>
              </w:rPr>
              <w:t>Rejects if outside bounds</w:t>
            </w:r>
          </w:p>
        </w:tc>
      </w:tr>
      <w:tr>
        <w:tc>
          <w:tcPr>
            <w:tcW w:type="dxa" w:w="2592"/>
            <w:shd w:fill="FFFFFF"/>
          </w:tcPr>
          <w:p>
            <w:r>
              <w:rPr>
                <w:rFonts w:ascii="Calibri" w:hAnsi="Calibri"/>
                <w:sz w:val="20"/>
              </w:rPr>
              <w:t>LTV Ratio</w:t>
            </w:r>
          </w:p>
        </w:tc>
        <w:tc>
          <w:tcPr>
            <w:tcW w:type="dxa" w:w="3600"/>
            <w:shd w:fill="FFFFFF"/>
          </w:tcPr>
          <w:p>
            <w:r>
              <w:rPr>
                <w:rFonts w:ascii="Calibri" w:hAnsi="Calibri"/>
                <w:sz w:val="20"/>
              </w:rPr>
              <w:t>Loan-to-Value ratio thresholds</w:t>
            </w:r>
          </w:p>
        </w:tc>
        <w:tc>
          <w:tcPr>
            <w:tcW w:type="dxa" w:w="3168"/>
            <w:shd w:fill="FFFFFF"/>
          </w:tcPr>
          <w:p>
            <w:r>
              <w:rPr>
                <w:rFonts w:ascii="Calibri" w:hAnsi="Calibri"/>
                <w:sz w:val="20"/>
              </w:rPr>
              <w:t>Higher LTV increases risk score</w:t>
            </w:r>
          </w:p>
        </w:tc>
      </w:tr>
      <w:tr>
        <w:tc>
          <w:tcPr>
            <w:tcW w:type="dxa" w:w="2592"/>
            <w:shd w:fill="FFF7ED"/>
          </w:tcPr>
          <w:p>
            <w:r>
              <w:rPr>
                <w:rFonts w:ascii="Calibri" w:hAnsi="Calibri"/>
                <w:sz w:val="20"/>
              </w:rPr>
              <w:t>Credit Score</w:t>
            </w:r>
          </w:p>
        </w:tc>
        <w:tc>
          <w:tcPr>
            <w:tcW w:type="dxa" w:w="3600"/>
            <w:shd w:fill="FFF7ED"/>
          </w:tcPr>
          <w:p>
            <w:r>
              <w:rPr>
                <w:rFonts w:ascii="Calibri" w:hAnsi="Calibri"/>
                <w:sz w:val="20"/>
              </w:rPr>
              <w:t>Minimum credit score requirements</w:t>
            </w:r>
          </w:p>
        </w:tc>
        <w:tc>
          <w:tcPr>
            <w:tcW w:type="dxa" w:w="3168"/>
            <w:shd w:fill="FFF7ED"/>
          </w:tcPr>
          <w:p>
            <w:r>
              <w:rPr>
                <w:rFonts w:ascii="Calibri" w:hAnsi="Calibri"/>
                <w:sz w:val="20"/>
              </w:rPr>
              <w:t>Below threshold triggers refer/reject</w:t>
            </w:r>
          </w:p>
        </w:tc>
      </w:tr>
      <w:tr>
        <w:tc>
          <w:tcPr>
            <w:tcW w:type="dxa" w:w="2592"/>
            <w:shd w:fill="FFFFFF"/>
          </w:tcPr>
          <w:p>
            <w:r>
              <w:rPr>
                <w:rFonts w:ascii="Calibri" w:hAnsi="Calibri"/>
                <w:sz w:val="20"/>
              </w:rPr>
              <w:t>Employment Verification</w:t>
            </w:r>
          </w:p>
        </w:tc>
        <w:tc>
          <w:tcPr>
            <w:tcW w:type="dxa" w:w="3600"/>
            <w:shd w:fill="FFFFFF"/>
          </w:tcPr>
          <w:p>
            <w:r>
              <w:rPr>
                <w:rFonts w:ascii="Calibri" w:hAnsi="Calibri"/>
                <w:sz w:val="20"/>
              </w:rPr>
              <w:t>Employment status and history</w:t>
            </w:r>
          </w:p>
        </w:tc>
        <w:tc>
          <w:tcPr>
            <w:tcW w:type="dxa" w:w="3168"/>
            <w:shd w:fill="FFFFFF"/>
          </w:tcPr>
          <w:p>
            <w:r>
              <w:rPr>
                <w:rFonts w:ascii="Calibri" w:hAnsi="Calibri"/>
                <w:sz w:val="20"/>
              </w:rPr>
              <w:t>Unverified employment adds risk</w:t>
            </w:r>
          </w:p>
        </w:tc>
      </w:tr>
      <w:tr>
        <w:tc>
          <w:tcPr>
            <w:tcW w:type="dxa" w:w="2592"/>
            <w:shd w:fill="FFF7ED"/>
          </w:tcPr>
          <w:p>
            <w:r>
              <w:rPr>
                <w:rFonts w:ascii="Calibri" w:hAnsi="Calibri"/>
                <w:sz w:val="20"/>
              </w:rPr>
              <w:t>Property Type Eligibility</w:t>
            </w:r>
          </w:p>
        </w:tc>
        <w:tc>
          <w:tcPr>
            <w:tcW w:type="dxa" w:w="3600"/>
            <w:shd w:fill="FFF7ED"/>
          </w:tcPr>
          <w:p>
            <w:r>
              <w:rPr>
                <w:rFonts w:ascii="Calibri" w:hAnsi="Calibri"/>
                <w:sz w:val="20"/>
              </w:rPr>
              <w:t>Eligible property categories</w:t>
            </w:r>
          </w:p>
        </w:tc>
        <w:tc>
          <w:tcPr>
            <w:tcW w:type="dxa" w:w="3168"/>
            <w:shd w:fill="FFF7ED"/>
          </w:tcPr>
          <w:p>
            <w:r>
              <w:rPr>
                <w:rFonts w:ascii="Calibri" w:hAnsi="Calibri"/>
                <w:sz w:val="20"/>
              </w:rPr>
              <w:t>Ineligible types auto-rejected</w:t>
            </w:r>
          </w:p>
        </w:tc>
      </w:tr>
      <w:tr>
        <w:tc>
          <w:tcPr>
            <w:tcW w:type="dxa" w:w="2592"/>
            <w:shd w:fill="FFFFFF"/>
          </w:tcPr>
          <w:p>
            <w:r>
              <w:rPr>
                <w:rFonts w:ascii="Calibri" w:hAnsi="Calibri"/>
                <w:sz w:val="20"/>
              </w:rPr>
              <w:t>Coverage Ratio</w:t>
            </w:r>
          </w:p>
        </w:tc>
        <w:tc>
          <w:tcPr>
            <w:tcW w:type="dxa" w:w="3600"/>
            <w:shd w:fill="FFFFFF"/>
          </w:tcPr>
          <w:p>
            <w:r>
              <w:rPr>
                <w:rFonts w:ascii="Calibri" w:hAnsi="Calibri"/>
                <w:sz w:val="20"/>
              </w:rPr>
              <w:t>Coverage amount relative to value</w:t>
            </w:r>
          </w:p>
        </w:tc>
        <w:tc>
          <w:tcPr>
            <w:tcW w:type="dxa" w:w="3168"/>
            <w:shd w:fill="FFFFFF"/>
          </w:tcPr>
          <w:p>
            <w:r>
              <w:rPr>
                <w:rFonts w:ascii="Calibri" w:hAnsi="Calibri"/>
                <w:sz w:val="20"/>
              </w:rPr>
              <w:t>Excessive coverage flagged</w:t>
            </w:r>
          </w:p>
        </w:tc>
      </w:tr>
    </w:tbl>
    <w:p>
      <w:pPr>
        <w:pStyle w:val="Heading3"/>
      </w:pPr>
      <w:r>
        <w:t>Decision Categories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1E3A5F"/>
          </w:tcPr>
          <w:p>
            <w:pPr>
              <w:jc w:val="left"/>
            </w:pPr>
            <w:r>
              <w:rPr>
                <w:rFonts w:ascii="Calibri" w:hAnsi="Calibri"/>
                <w:b/>
                <w:color w:val="FFFFFF"/>
                <w:sz w:val="20"/>
              </w:rPr>
              <w:t>Decision</w:t>
            </w:r>
          </w:p>
        </w:tc>
        <w:tc>
          <w:tcPr>
            <w:tcW w:type="dxa" w:w="2880"/>
            <w:shd w:fill="1E3A5F"/>
          </w:tcPr>
          <w:p>
            <w:pPr>
              <w:jc w:val="left"/>
            </w:pPr>
            <w:r>
              <w:rPr>
                <w:rFonts w:ascii="Calibri" w:hAnsi="Calibri"/>
                <w:b/>
                <w:color w:val="FFFFFF"/>
                <w:sz w:val="20"/>
              </w:rPr>
              <w:t>Risk Score Range</w:t>
            </w:r>
          </w:p>
        </w:tc>
        <w:tc>
          <w:tcPr>
            <w:tcW w:type="dxa" w:w="4320"/>
            <w:shd w:fill="1E3A5F"/>
          </w:tcPr>
          <w:p>
            <w:pPr>
              <w:jc w:val="left"/>
            </w:pPr>
            <w:r>
              <w:rPr>
                <w:rFonts w:ascii="Calibri" w:hAnsi="Calibri"/>
                <w:b/>
                <w:color w:val="FFFFFF"/>
                <w:sz w:val="20"/>
              </w:rPr>
              <w:t>Action</w:t>
            </w:r>
          </w:p>
        </w:tc>
      </w:tr>
      <w:tr>
        <w:tc>
          <w:tcPr>
            <w:tcW w:type="dxa" w:w="2160"/>
            <w:shd w:fill="FFF7ED"/>
          </w:tcPr>
          <w:p>
            <w:r>
              <w:rPr>
                <w:rFonts w:ascii="Calibri" w:hAnsi="Calibri"/>
                <w:sz w:val="20"/>
              </w:rPr>
              <w:t>Auto-Approve</w:t>
            </w:r>
          </w:p>
        </w:tc>
        <w:tc>
          <w:tcPr>
            <w:tcW w:type="dxa" w:w="2880"/>
            <w:shd w:fill="FFF7ED"/>
          </w:tcPr>
          <w:p>
            <w:r>
              <w:rPr>
                <w:rFonts w:ascii="Calibri" w:hAnsi="Calibri"/>
                <w:sz w:val="20"/>
              </w:rPr>
              <w:t>1-35 (Low Risk)</w:t>
            </w:r>
          </w:p>
        </w:tc>
        <w:tc>
          <w:tcPr>
            <w:tcW w:type="dxa" w:w="4320"/>
            <w:shd w:fill="FFF7ED"/>
          </w:tcPr>
          <w:p>
            <w:r>
              <w:rPr>
                <w:rFonts w:ascii="Calibri" w:hAnsi="Calibri"/>
                <w:sz w:val="20"/>
              </w:rPr>
              <w:t>Policy automatically approved for binding</w:t>
            </w:r>
          </w:p>
        </w:tc>
      </w:tr>
      <w:tr>
        <w:tc>
          <w:tcPr>
            <w:tcW w:type="dxa" w:w="2160"/>
            <w:shd w:fill="FFFFFF"/>
          </w:tcPr>
          <w:p>
            <w:r>
              <w:rPr>
                <w:rFonts w:ascii="Calibri" w:hAnsi="Calibri"/>
                <w:sz w:val="20"/>
              </w:rPr>
              <w:t>Refer</w:t>
            </w:r>
          </w:p>
        </w:tc>
        <w:tc>
          <w:tcPr>
            <w:tcW w:type="dxa" w:w="2880"/>
            <w:shd w:fill="FFFFFF"/>
          </w:tcPr>
          <w:p>
            <w:r>
              <w:rPr>
                <w:rFonts w:ascii="Calibri" w:hAnsi="Calibri"/>
                <w:sz w:val="20"/>
              </w:rPr>
              <w:t>36-65 (Medium Risk)</w:t>
            </w:r>
          </w:p>
        </w:tc>
        <w:tc>
          <w:tcPr>
            <w:tcW w:type="dxa" w:w="4320"/>
            <w:shd w:fill="FFFFFF"/>
          </w:tcPr>
          <w:p>
            <w:r>
              <w:rPr>
                <w:rFonts w:ascii="Calibri" w:hAnsi="Calibri"/>
                <w:sz w:val="20"/>
              </w:rPr>
              <w:t>Sent to senior underwriter queue for review</w:t>
            </w:r>
          </w:p>
        </w:tc>
      </w:tr>
      <w:tr>
        <w:tc>
          <w:tcPr>
            <w:tcW w:type="dxa" w:w="2160"/>
            <w:shd w:fill="FFF7ED"/>
          </w:tcPr>
          <w:p>
            <w:r>
              <w:rPr>
                <w:rFonts w:ascii="Calibri" w:hAnsi="Calibri"/>
                <w:sz w:val="20"/>
              </w:rPr>
              <w:t>Reject</w:t>
            </w:r>
          </w:p>
        </w:tc>
        <w:tc>
          <w:tcPr>
            <w:tcW w:type="dxa" w:w="2880"/>
            <w:shd w:fill="FFF7ED"/>
          </w:tcPr>
          <w:p>
            <w:r>
              <w:rPr>
                <w:rFonts w:ascii="Calibri" w:hAnsi="Calibri"/>
                <w:sz w:val="20"/>
              </w:rPr>
              <w:t>66-100 (High Risk)</w:t>
            </w:r>
          </w:p>
        </w:tc>
        <w:tc>
          <w:tcPr>
            <w:tcW w:type="dxa" w:w="4320"/>
            <w:shd w:fill="FFF7ED"/>
          </w:tcPr>
          <w:p>
            <w:r>
              <w:rPr>
                <w:rFonts w:ascii="Calibri" w:hAnsi="Calibri"/>
                <w:sz w:val="20"/>
              </w:rPr>
              <w:t>Policy automatically declined with reason codes</w:t>
            </w:r>
          </w:p>
        </w:tc>
      </w:tr>
    </w:tbl>
    <w:p>
      <w:pPr>
        <w:pStyle w:val="Heading3"/>
      </w:pPr>
      <w:r>
        <w:t>Advanced Features</w:t>
      </w:r>
    </w:p>
    <w:p>
      <w:pPr>
        <w:pStyle w:val="ListBullet"/>
        <w:spacing w:after="60"/>
      </w:pPr>
      <w:r>
        <w:rPr>
          <w:rFonts w:ascii="Calibri" w:hAnsi="Calibri"/>
          <w:sz w:val="20"/>
        </w:rPr>
        <w:t>Rule Configuration (Admin) — Create, edit, and manage underwriting rules with IF/THEN logic</w:t>
      </w:r>
    </w:p>
    <w:p>
      <w:pPr>
        <w:pStyle w:val="ListBullet"/>
        <w:spacing w:after="60"/>
      </w:pPr>
      <w:r>
        <w:rPr>
          <w:rFonts w:ascii="Calibri" w:hAnsi="Calibri"/>
          <w:sz w:val="20"/>
        </w:rPr>
        <w:t>Referral Queue — Separate queue for cases requiring senior underwriter review with escalation indicators</w:t>
      </w:r>
    </w:p>
    <w:p>
      <w:pPr>
        <w:pStyle w:val="ListBullet"/>
        <w:spacing w:after="60"/>
      </w:pPr>
      <w:r>
        <w:rPr>
          <w:rFonts w:ascii="Calibri" w:hAnsi="Calibri"/>
          <w:sz w:val="20"/>
        </w:rPr>
        <w:t>Manual Override — Senior underwriters can override automated decisions with mandatory justification</w:t>
      </w:r>
    </w:p>
    <w:p>
      <w:pPr>
        <w:pStyle w:val="ListBullet"/>
        <w:spacing w:after="60"/>
      </w:pPr>
      <w:r>
        <w:rPr>
          <w:rFonts w:ascii="Calibri" w:hAnsi="Calibri"/>
          <w:sz w:val="20"/>
        </w:rPr>
        <w:t>Delegated Authority — Authority limits per underwriter (maximum coverage amount, maximum risk score)</w:t>
      </w:r>
    </w:p>
    <w:p>
      <w:pPr>
        <w:pStyle w:val="ListBullet"/>
        <w:spacing w:after="60"/>
      </w:pPr>
      <w:r>
        <w:rPr>
          <w:rFonts w:ascii="Calibri" w:hAnsi="Calibri"/>
          <w:sz w:val="20"/>
        </w:rPr>
        <w:t>Evaluate Button — One-click evaluation with instant risk score calculation and decision</w:t>
      </w:r>
    </w:p>
    <w:p>
      <w:pPr>
        <w:pStyle w:val="ListBullet"/>
        <w:spacing w:after="60"/>
      </w:pPr>
      <w:r>
        <w:rPr>
          <w:rFonts w:ascii="Calibri" w:hAnsi="Calibri"/>
          <w:sz w:val="20"/>
        </w:rPr>
        <w:t>Risk Scorecard — Visual breakdown by category: Financial, Property, Customer, Compliance</w:t>
      </w:r>
    </w:p>
    <w:p>
      <w:r>
        <w:br w:type="page"/>
      </w:r>
    </w:p>
    <w:p>
      <w:pPr>
        <w:pStyle w:val="Heading1"/>
      </w:pPr>
      <w:r>
        <w:t>8. Claims Management</w:t>
      </w:r>
    </w:p>
    <w:p>
      <w:pPr>
        <w:jc w:val="center"/>
      </w:pPr>
      <w:r>
        <w:drawing>
          <wp:inline xmlns:a="http://schemas.openxmlformats.org/drawingml/2006/main" xmlns:pic="http://schemas.openxmlformats.org/drawingml/2006/picture">
            <wp:extent cx="5669280" cy="3143472"/>
            <wp:docPr id="8" name="Picture 8"/>
            <wp:cNvGraphicFramePr>
              <a:graphicFrameLocks noChangeAspect="1"/>
            </wp:cNvGraphicFramePr>
            <a:graphic>
              <a:graphicData uri="http://schemas.openxmlformats.org/drawingml/2006/picture">
                <pic:pic>
                  <pic:nvPicPr>
                    <pic:cNvPr id="0" name="08-claims.png"/>
                    <pic:cNvPicPr/>
                  </pic:nvPicPr>
                  <pic:blipFill>
                    <a:blip r:embed="rId16"/>
                    <a:stretch>
                      <a:fillRect/>
                    </a:stretch>
                  </pic:blipFill>
                  <pic:spPr>
                    <a:xfrm>
                      <a:off x="0" y="0"/>
                      <a:ext cx="5669280" cy="3143472"/>
                    </a:xfrm>
                    <a:prstGeom prst="rect"/>
                  </pic:spPr>
                </pic:pic>
              </a:graphicData>
            </a:graphic>
          </wp:inline>
        </w:drawing>
      </w:r>
    </w:p>
    <w:p>
      <w:pPr>
        <w:pStyle w:val="Heading2"/>
      </w:pPr>
      <w:r>
        <w:t>Overview</w:t>
      </w:r>
    </w:p>
    <w:p>
      <w:r>
        <w:t>The Claims Management module handles the complete claims lifecycle from First Notice of Loss (FNOL) intake through investigation, evaluation, and settlement. It includes reserve management, fraud scoring, and loss mitigation tracking.</w:t>
      </w:r>
    </w:p>
    <w:p>
      <w:pPr>
        <w:pStyle w:val="Heading3"/>
      </w:pPr>
      <w:r>
        <w:t>Claims Table</w:t>
      </w:r>
    </w:p>
    <w:p>
      <w:pPr>
        <w:pStyle w:val="ListBullet"/>
        <w:spacing w:after="60"/>
      </w:pPr>
      <w:r>
        <w:rPr>
          <w:rFonts w:ascii="Calibri" w:hAnsi="Calibri"/>
          <w:sz w:val="20"/>
        </w:rPr>
        <w:t>Claim ID — Unique identifier (e.g., CLM-2025-00001)</w:t>
      </w:r>
    </w:p>
    <w:p>
      <w:pPr>
        <w:pStyle w:val="ListBullet"/>
        <w:spacing w:after="60"/>
      </w:pPr>
      <w:r>
        <w:rPr>
          <w:rFonts w:ascii="Calibri" w:hAnsi="Calibri"/>
          <w:sz w:val="20"/>
        </w:rPr>
        <w:t>Policy — Linked policy number for cross-reference</w:t>
      </w:r>
    </w:p>
    <w:p>
      <w:pPr>
        <w:pStyle w:val="ListBullet"/>
        <w:spacing w:after="60"/>
      </w:pPr>
      <w:r>
        <w:rPr>
          <w:rFonts w:ascii="Calibri" w:hAnsi="Calibri"/>
          <w:sz w:val="20"/>
        </w:rPr>
        <w:t>Type — Claim category (Property Damage, Income Loss, etc.)</w:t>
      </w:r>
    </w:p>
    <w:p>
      <w:pPr>
        <w:pStyle w:val="ListBullet"/>
        <w:spacing w:after="60"/>
      </w:pPr>
      <w:r>
        <w:rPr>
          <w:rFonts w:ascii="Calibri" w:hAnsi="Calibri"/>
          <w:sz w:val="20"/>
        </w:rPr>
        <w:t>Status — Current claim status with color-coded badge</w:t>
      </w:r>
    </w:p>
    <w:p>
      <w:pPr>
        <w:pStyle w:val="ListBullet"/>
        <w:spacing w:after="60"/>
      </w:pPr>
      <w:r>
        <w:rPr>
          <w:rFonts w:ascii="Calibri" w:hAnsi="Calibri"/>
          <w:sz w:val="20"/>
        </w:rPr>
        <w:t>Amount — Claimed amount in INR</w:t>
      </w:r>
    </w:p>
    <w:p>
      <w:pPr>
        <w:pStyle w:val="ListBullet"/>
        <w:spacing w:after="60"/>
      </w:pPr>
      <w:r>
        <w:rPr>
          <w:rFonts w:ascii="Calibri" w:hAnsi="Calibri"/>
          <w:sz w:val="20"/>
        </w:rPr>
        <w:t>Filed Date — Date of FNOL submission</w:t>
      </w:r>
    </w:p>
    <w:p>
      <w:pPr>
        <w:pStyle w:val="Heading3"/>
      </w:pPr>
      <w:r>
        <w:t>Claims Status Workflow</w:t>
      </w:r>
    </w:p>
    <w:p>
      <w:r>
        <w:t>Claims progress through the following status flow:</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fill="1E3A5F"/>
          </w:tcPr>
          <w:p>
            <w:pPr>
              <w:jc w:val="left"/>
            </w:pPr>
            <w:r>
              <w:rPr>
                <w:rFonts w:ascii="Calibri" w:hAnsi="Calibri"/>
                <w:b/>
                <w:color w:val="FFFFFF"/>
                <w:sz w:val="20"/>
              </w:rPr>
              <w:t>Status</w:t>
            </w:r>
          </w:p>
        </w:tc>
        <w:tc>
          <w:tcPr>
            <w:tcW w:type="dxa" w:w="3600"/>
            <w:shd w:fill="1E3A5F"/>
          </w:tcPr>
          <w:p>
            <w:pPr>
              <w:jc w:val="left"/>
            </w:pPr>
            <w:r>
              <w:rPr>
                <w:rFonts w:ascii="Calibri" w:hAnsi="Calibri"/>
                <w:b/>
                <w:color w:val="FFFFFF"/>
                <w:sz w:val="20"/>
              </w:rPr>
              <w:t>Description</w:t>
            </w:r>
          </w:p>
        </w:tc>
        <w:tc>
          <w:tcPr>
            <w:tcW w:type="dxa" w:w="3888"/>
            <w:shd w:fill="1E3A5F"/>
          </w:tcPr>
          <w:p>
            <w:pPr>
              <w:jc w:val="left"/>
            </w:pPr>
            <w:r>
              <w:rPr>
                <w:rFonts w:ascii="Calibri" w:hAnsi="Calibri"/>
                <w:b/>
                <w:color w:val="FFFFFF"/>
                <w:sz w:val="20"/>
              </w:rPr>
              <w:t>Next Actions</w:t>
            </w:r>
          </w:p>
        </w:tc>
      </w:tr>
      <w:tr>
        <w:tc>
          <w:tcPr>
            <w:tcW w:type="dxa" w:w="1872"/>
            <w:shd w:fill="FFF7ED"/>
          </w:tcPr>
          <w:p>
            <w:r>
              <w:rPr>
                <w:rFonts w:ascii="Calibri" w:hAnsi="Calibri"/>
                <w:sz w:val="20"/>
              </w:rPr>
              <w:t>Filed</w:t>
            </w:r>
          </w:p>
        </w:tc>
        <w:tc>
          <w:tcPr>
            <w:tcW w:type="dxa" w:w="3600"/>
            <w:shd w:fill="FFF7ED"/>
          </w:tcPr>
          <w:p>
            <w:r>
              <w:rPr>
                <w:rFonts w:ascii="Calibri" w:hAnsi="Calibri"/>
                <w:sz w:val="20"/>
              </w:rPr>
              <w:t>FNOL submitted, claim registered</w:t>
            </w:r>
          </w:p>
        </w:tc>
        <w:tc>
          <w:tcPr>
            <w:tcW w:type="dxa" w:w="3888"/>
            <w:shd w:fill="FFF7ED"/>
          </w:tcPr>
          <w:p>
            <w:r>
              <w:rPr>
                <w:rFonts w:ascii="Calibri" w:hAnsi="Calibri"/>
                <w:sz w:val="20"/>
              </w:rPr>
              <w:t>Assign to adjuster, begin investigation</w:t>
            </w:r>
          </w:p>
        </w:tc>
      </w:tr>
      <w:tr>
        <w:tc>
          <w:tcPr>
            <w:tcW w:type="dxa" w:w="1872"/>
            <w:shd w:fill="FFFFFF"/>
          </w:tcPr>
          <w:p>
            <w:r>
              <w:rPr>
                <w:rFonts w:ascii="Calibri" w:hAnsi="Calibri"/>
                <w:sz w:val="20"/>
              </w:rPr>
              <w:t>Under Review</w:t>
            </w:r>
          </w:p>
        </w:tc>
        <w:tc>
          <w:tcPr>
            <w:tcW w:type="dxa" w:w="3600"/>
            <w:shd w:fill="FFFFFF"/>
          </w:tcPr>
          <w:p>
            <w:r>
              <w:rPr>
                <w:rFonts w:ascii="Calibri" w:hAnsi="Calibri"/>
                <w:sz w:val="20"/>
              </w:rPr>
              <w:t>Investigation in progress</w:t>
            </w:r>
          </w:p>
        </w:tc>
        <w:tc>
          <w:tcPr>
            <w:tcW w:type="dxa" w:w="3888"/>
            <w:shd w:fill="FFFFFF"/>
          </w:tcPr>
          <w:p>
            <w:r>
              <w:rPr>
                <w:rFonts w:ascii="Calibri" w:hAnsi="Calibri"/>
                <w:sz w:val="20"/>
              </w:rPr>
              <w:t>Evaluate evidence, assess damage</w:t>
            </w:r>
          </w:p>
        </w:tc>
      </w:tr>
      <w:tr>
        <w:tc>
          <w:tcPr>
            <w:tcW w:type="dxa" w:w="1872"/>
            <w:shd w:fill="FFF7ED"/>
          </w:tcPr>
          <w:p>
            <w:r>
              <w:rPr>
                <w:rFonts w:ascii="Calibri" w:hAnsi="Calibri"/>
                <w:sz w:val="20"/>
              </w:rPr>
              <w:t>Approved</w:t>
            </w:r>
          </w:p>
        </w:tc>
        <w:tc>
          <w:tcPr>
            <w:tcW w:type="dxa" w:w="3600"/>
            <w:shd w:fill="FFF7ED"/>
          </w:tcPr>
          <w:p>
            <w:r>
              <w:rPr>
                <w:rFonts w:ascii="Calibri" w:hAnsi="Calibri"/>
                <w:sz w:val="20"/>
              </w:rPr>
              <w:t>Claim validated and approved</w:t>
            </w:r>
          </w:p>
        </w:tc>
        <w:tc>
          <w:tcPr>
            <w:tcW w:type="dxa" w:w="3888"/>
            <w:shd w:fill="FFF7ED"/>
          </w:tcPr>
          <w:p>
            <w:r>
              <w:rPr>
                <w:rFonts w:ascii="Calibri" w:hAnsi="Calibri"/>
                <w:sz w:val="20"/>
              </w:rPr>
              <w:t>Set reserves, initiate settlement</w:t>
            </w:r>
          </w:p>
        </w:tc>
      </w:tr>
      <w:tr>
        <w:tc>
          <w:tcPr>
            <w:tcW w:type="dxa" w:w="1872"/>
            <w:shd w:fill="FFFFFF"/>
          </w:tcPr>
          <w:p>
            <w:r>
              <w:rPr>
                <w:rFonts w:ascii="Calibri" w:hAnsi="Calibri"/>
                <w:sz w:val="20"/>
              </w:rPr>
              <w:t>Rejected</w:t>
            </w:r>
          </w:p>
        </w:tc>
        <w:tc>
          <w:tcPr>
            <w:tcW w:type="dxa" w:w="3600"/>
            <w:shd w:fill="FFFFFF"/>
          </w:tcPr>
          <w:p>
            <w:r>
              <w:rPr>
                <w:rFonts w:ascii="Calibri" w:hAnsi="Calibri"/>
                <w:sz w:val="20"/>
              </w:rPr>
              <w:t>Claim denied with reason codes</w:t>
            </w:r>
          </w:p>
        </w:tc>
        <w:tc>
          <w:tcPr>
            <w:tcW w:type="dxa" w:w="3888"/>
            <w:shd w:fill="FFFFFF"/>
          </w:tcPr>
          <w:p>
            <w:r>
              <w:rPr>
                <w:rFonts w:ascii="Calibri" w:hAnsi="Calibri"/>
                <w:sz w:val="20"/>
              </w:rPr>
              <w:t>Send denial letter, close claim</w:t>
            </w:r>
          </w:p>
        </w:tc>
      </w:tr>
      <w:tr>
        <w:tc>
          <w:tcPr>
            <w:tcW w:type="dxa" w:w="1872"/>
            <w:shd w:fill="FFF7ED"/>
          </w:tcPr>
          <w:p>
            <w:r>
              <w:rPr>
                <w:rFonts w:ascii="Calibri" w:hAnsi="Calibri"/>
                <w:sz w:val="20"/>
              </w:rPr>
              <w:t>Settled</w:t>
            </w:r>
          </w:p>
        </w:tc>
        <w:tc>
          <w:tcPr>
            <w:tcW w:type="dxa" w:w="3600"/>
            <w:shd w:fill="FFF7ED"/>
          </w:tcPr>
          <w:p>
            <w:r>
              <w:rPr>
                <w:rFonts w:ascii="Calibri" w:hAnsi="Calibri"/>
                <w:sz w:val="20"/>
              </w:rPr>
              <w:t>Payment issued to claimant</w:t>
            </w:r>
          </w:p>
        </w:tc>
        <w:tc>
          <w:tcPr>
            <w:tcW w:type="dxa" w:w="3888"/>
            <w:shd w:fill="FFF7ED"/>
          </w:tcPr>
          <w:p>
            <w:r>
              <w:rPr>
                <w:rFonts w:ascii="Calibri" w:hAnsi="Calibri"/>
                <w:sz w:val="20"/>
              </w:rPr>
              <w:t>Archive documentation, close claim</w:t>
            </w:r>
          </w:p>
        </w:tc>
      </w:tr>
    </w:tbl>
    <w:p>
      <w:pPr>
        <w:pStyle w:val="Heading3"/>
      </w:pPr>
      <w:r>
        <w:t>FNOL Intake Process</w:t>
      </w:r>
    </w:p>
    <w:p>
      <w:r>
        <w:t>The FNOL (First Notice of Loss) wizard guides users through a structured 5-step intake process:</w:t>
      </w:r>
    </w:p>
    <w:tbl>
      <w:tblPr>
        <w:tblStyle w:val="TableGrid"/>
        <w:tblW w:type="auto" w:w="0"/>
        <w:jc w:val="center"/>
        <w:tblLook w:firstColumn="1" w:firstRow="1" w:lastColumn="0" w:lastRow="0" w:noHBand="0" w:noVBand="1" w:val="04A0"/>
      </w:tblPr>
      <w:tblGrid>
        <w:gridCol w:w="2880"/>
        <w:gridCol w:w="2880"/>
        <w:gridCol w:w="2880"/>
      </w:tblGrid>
      <w:tr>
        <w:tc>
          <w:tcPr>
            <w:tcW w:type="dxa" w:w="720"/>
            <w:shd w:fill="1E3A5F"/>
          </w:tcPr>
          <w:p>
            <w:pPr>
              <w:jc w:val="left"/>
            </w:pPr>
            <w:r>
              <w:rPr>
                <w:rFonts w:ascii="Calibri" w:hAnsi="Calibri"/>
                <w:b/>
                <w:color w:val="FFFFFF"/>
                <w:sz w:val="20"/>
              </w:rPr>
              <w:t>Step</w:t>
            </w:r>
          </w:p>
        </w:tc>
        <w:tc>
          <w:tcPr>
            <w:tcW w:type="dxa" w:w="2160"/>
            <w:shd w:fill="1E3A5F"/>
          </w:tcPr>
          <w:p>
            <w:pPr>
              <w:jc w:val="left"/>
            </w:pPr>
            <w:r>
              <w:rPr>
                <w:rFonts w:ascii="Calibri" w:hAnsi="Calibri"/>
                <w:b/>
                <w:color w:val="FFFFFF"/>
                <w:sz w:val="20"/>
              </w:rPr>
              <w:t>Name</w:t>
            </w:r>
          </w:p>
        </w:tc>
        <w:tc>
          <w:tcPr>
            <w:tcW w:type="dxa" w:w="6480"/>
            <w:shd w:fill="1E3A5F"/>
          </w:tcPr>
          <w:p>
            <w:pPr>
              <w:jc w:val="left"/>
            </w:pPr>
            <w:r>
              <w:rPr>
                <w:rFonts w:ascii="Calibri" w:hAnsi="Calibri"/>
                <w:b/>
                <w:color w:val="FFFFFF"/>
                <w:sz w:val="20"/>
              </w:rPr>
              <w:t>Data Collected</w:t>
            </w:r>
          </w:p>
        </w:tc>
      </w:tr>
      <w:tr>
        <w:tc>
          <w:tcPr>
            <w:tcW w:type="dxa" w:w="720"/>
            <w:shd w:fill="FFF7ED"/>
          </w:tcPr>
          <w:p>
            <w:r>
              <w:rPr>
                <w:rFonts w:ascii="Calibri" w:hAnsi="Calibri"/>
                <w:sz w:val="20"/>
              </w:rPr>
              <w:t>1</w:t>
            </w:r>
          </w:p>
        </w:tc>
        <w:tc>
          <w:tcPr>
            <w:tcW w:type="dxa" w:w="2160"/>
            <w:shd w:fill="FFF7ED"/>
          </w:tcPr>
          <w:p>
            <w:r>
              <w:rPr>
                <w:rFonts w:ascii="Calibri" w:hAnsi="Calibri"/>
                <w:sz w:val="20"/>
              </w:rPr>
              <w:t>Incident Information</w:t>
            </w:r>
          </w:p>
        </w:tc>
        <w:tc>
          <w:tcPr>
            <w:tcW w:type="dxa" w:w="6480"/>
            <w:shd w:fill="FFF7ED"/>
          </w:tcPr>
          <w:p>
            <w:r>
              <w:rPr>
                <w:rFonts w:ascii="Calibri" w:hAnsi="Calibri"/>
                <w:sz w:val="20"/>
              </w:rPr>
              <w:t>Date, time, location, description of incident</w:t>
            </w:r>
          </w:p>
        </w:tc>
      </w:tr>
      <w:tr>
        <w:tc>
          <w:tcPr>
            <w:tcW w:type="dxa" w:w="720"/>
            <w:shd w:fill="FFFFFF"/>
          </w:tcPr>
          <w:p>
            <w:r>
              <w:rPr>
                <w:rFonts w:ascii="Calibri" w:hAnsi="Calibri"/>
                <w:sz w:val="20"/>
              </w:rPr>
              <w:t>2</w:t>
            </w:r>
          </w:p>
        </w:tc>
        <w:tc>
          <w:tcPr>
            <w:tcW w:type="dxa" w:w="2160"/>
            <w:shd w:fill="FFFFFF"/>
          </w:tcPr>
          <w:p>
            <w:r>
              <w:rPr>
                <w:rFonts w:ascii="Calibri" w:hAnsi="Calibri"/>
                <w:sz w:val="20"/>
              </w:rPr>
              <w:t>Policy Lookup</w:t>
            </w:r>
          </w:p>
        </w:tc>
        <w:tc>
          <w:tcPr>
            <w:tcW w:type="dxa" w:w="6480"/>
            <w:shd w:fill="FFFFFF"/>
          </w:tcPr>
          <w:p>
            <w:r>
              <w:rPr>
                <w:rFonts w:ascii="Calibri" w:hAnsi="Calibri"/>
                <w:sz w:val="20"/>
              </w:rPr>
              <w:t>Search and link to the insured policy</w:t>
            </w:r>
          </w:p>
        </w:tc>
      </w:tr>
      <w:tr>
        <w:tc>
          <w:tcPr>
            <w:tcW w:type="dxa" w:w="720"/>
            <w:shd w:fill="FFF7ED"/>
          </w:tcPr>
          <w:p>
            <w:r>
              <w:rPr>
                <w:rFonts w:ascii="Calibri" w:hAnsi="Calibri"/>
                <w:sz w:val="20"/>
              </w:rPr>
              <w:t>3</w:t>
            </w:r>
          </w:p>
        </w:tc>
        <w:tc>
          <w:tcPr>
            <w:tcW w:type="dxa" w:w="2160"/>
            <w:shd w:fill="FFF7ED"/>
          </w:tcPr>
          <w:p>
            <w:r>
              <w:rPr>
                <w:rFonts w:ascii="Calibri" w:hAnsi="Calibri"/>
                <w:sz w:val="20"/>
              </w:rPr>
              <w:t>Damage Details</w:t>
            </w:r>
          </w:p>
        </w:tc>
        <w:tc>
          <w:tcPr>
            <w:tcW w:type="dxa" w:w="6480"/>
            <w:shd w:fill="FFF7ED"/>
          </w:tcPr>
          <w:p>
            <w:r>
              <w:rPr>
                <w:rFonts w:ascii="Calibri" w:hAnsi="Calibri"/>
                <w:sz w:val="20"/>
              </w:rPr>
              <w:t>Type of damage, extent, estimated amount, photographs</w:t>
            </w:r>
          </w:p>
        </w:tc>
      </w:tr>
      <w:tr>
        <w:tc>
          <w:tcPr>
            <w:tcW w:type="dxa" w:w="720"/>
            <w:shd w:fill="FFFFFF"/>
          </w:tcPr>
          <w:p>
            <w:r>
              <w:rPr>
                <w:rFonts w:ascii="Calibri" w:hAnsi="Calibri"/>
                <w:sz w:val="20"/>
              </w:rPr>
              <w:t>4</w:t>
            </w:r>
          </w:p>
        </w:tc>
        <w:tc>
          <w:tcPr>
            <w:tcW w:type="dxa" w:w="2160"/>
            <w:shd w:fill="FFFFFF"/>
          </w:tcPr>
          <w:p>
            <w:r>
              <w:rPr>
                <w:rFonts w:ascii="Calibri" w:hAnsi="Calibri"/>
                <w:sz w:val="20"/>
              </w:rPr>
              <w:t>Document Upload</w:t>
            </w:r>
          </w:p>
        </w:tc>
        <w:tc>
          <w:tcPr>
            <w:tcW w:type="dxa" w:w="6480"/>
            <w:shd w:fill="FFFFFF"/>
          </w:tcPr>
          <w:p>
            <w:r>
              <w:rPr>
                <w:rFonts w:ascii="Calibri" w:hAnsi="Calibri"/>
                <w:sz w:val="20"/>
              </w:rPr>
              <w:t>Supporting documentation (police reports, medical records, invoices)</w:t>
            </w:r>
          </w:p>
        </w:tc>
      </w:tr>
      <w:tr>
        <w:tc>
          <w:tcPr>
            <w:tcW w:type="dxa" w:w="720"/>
            <w:shd w:fill="FFF7ED"/>
          </w:tcPr>
          <w:p>
            <w:r>
              <w:rPr>
                <w:rFonts w:ascii="Calibri" w:hAnsi="Calibri"/>
                <w:sz w:val="20"/>
              </w:rPr>
              <w:t>5</w:t>
            </w:r>
          </w:p>
        </w:tc>
        <w:tc>
          <w:tcPr>
            <w:tcW w:type="dxa" w:w="2160"/>
            <w:shd w:fill="FFF7ED"/>
          </w:tcPr>
          <w:p>
            <w:r>
              <w:rPr>
                <w:rFonts w:ascii="Calibri" w:hAnsi="Calibri"/>
                <w:sz w:val="20"/>
              </w:rPr>
              <w:t>Review &amp; Submit</w:t>
            </w:r>
          </w:p>
        </w:tc>
        <w:tc>
          <w:tcPr>
            <w:tcW w:type="dxa" w:w="6480"/>
            <w:shd w:fill="FFF7ED"/>
          </w:tcPr>
          <w:p>
            <w:r>
              <w:rPr>
                <w:rFonts w:ascii="Calibri" w:hAnsi="Calibri"/>
                <w:sz w:val="20"/>
              </w:rPr>
              <w:t>Final review of all information before formal filing</w:t>
            </w:r>
          </w:p>
        </w:tc>
      </w:tr>
    </w:tbl>
    <w:p>
      <w:pPr>
        <w:pStyle w:val="Heading3"/>
      </w:pPr>
      <w:r>
        <w:t>Additional Features</w:t>
      </w:r>
    </w:p>
    <w:p>
      <w:pPr>
        <w:pStyle w:val="ListBullet"/>
        <w:spacing w:after="60"/>
      </w:pPr>
      <w:r>
        <w:rPr>
          <w:rFonts w:ascii="Calibri" w:hAnsi="Calibri"/>
          <w:sz w:val="20"/>
        </w:rPr>
        <w:t>Reserve Management — Set initial reserves, make adjustments, view reserve history chart</w:t>
      </w:r>
    </w:p>
    <w:p>
      <w:pPr>
        <w:pStyle w:val="ListBullet"/>
        <w:spacing w:after="60"/>
      </w:pPr>
      <w:r>
        <w:rPr>
          <w:rFonts w:ascii="Calibri" w:hAnsi="Calibri"/>
          <w:sz w:val="20"/>
        </w:rPr>
        <w:t>Fraud Indicator Scoring — Rule-based scoring for duplicate claims, timing patterns, amount thresholds</w:t>
      </w:r>
    </w:p>
    <w:p>
      <w:pPr>
        <w:pStyle w:val="ListBullet"/>
        <w:spacing w:after="60"/>
      </w:pPr>
      <w:r>
        <w:rPr>
          <w:rFonts w:ascii="Calibri" w:hAnsi="Calibri"/>
          <w:sz w:val="20"/>
        </w:rPr>
        <w:t>Claims Timeline — Visual chronological log of all claim events (FNOL, notes, reserve changes, payments)</w:t>
      </w:r>
    </w:p>
    <w:p>
      <w:pPr>
        <w:pStyle w:val="ListBullet"/>
        <w:spacing w:after="60"/>
      </w:pPr>
      <w:r>
        <w:rPr>
          <w:rFonts w:ascii="Calibri" w:hAnsi="Calibri"/>
          <w:sz w:val="20"/>
        </w:rPr>
        <w:t>Loss Mitigation — Track workout plans, forbearance status, and loan modification details</w:t>
      </w:r>
    </w:p>
    <w:p>
      <w:r>
        <w:br w:type="page"/>
      </w:r>
    </w:p>
    <w:p>
      <w:pPr>
        <w:pStyle w:val="Heading1"/>
      </w:pPr>
      <w:r>
        <w:t>9. Billing &amp; Payments</w:t>
      </w:r>
    </w:p>
    <w:p>
      <w:pPr>
        <w:jc w:val="center"/>
      </w:pPr>
      <w:r>
        <w:drawing>
          <wp:inline xmlns:a="http://schemas.openxmlformats.org/drawingml/2006/main" xmlns:pic="http://schemas.openxmlformats.org/drawingml/2006/picture">
            <wp:extent cx="5669280" cy="3143472"/>
            <wp:docPr id="9" name="Picture 9"/>
            <wp:cNvGraphicFramePr>
              <a:graphicFrameLocks noChangeAspect="1"/>
            </wp:cNvGraphicFramePr>
            <a:graphic>
              <a:graphicData uri="http://schemas.openxmlformats.org/drawingml/2006/picture">
                <pic:pic>
                  <pic:nvPicPr>
                    <pic:cNvPr id="0" name="09-billing.png"/>
                    <pic:cNvPicPr/>
                  </pic:nvPicPr>
                  <pic:blipFill>
                    <a:blip r:embed="rId17"/>
                    <a:stretch>
                      <a:fillRect/>
                    </a:stretch>
                  </pic:blipFill>
                  <pic:spPr>
                    <a:xfrm>
                      <a:off x="0" y="0"/>
                      <a:ext cx="5669280" cy="3143472"/>
                    </a:xfrm>
                    <a:prstGeom prst="rect"/>
                  </pic:spPr>
                </pic:pic>
              </a:graphicData>
            </a:graphic>
          </wp:inline>
        </w:drawing>
      </w:r>
    </w:p>
    <w:p>
      <w:pPr>
        <w:pStyle w:val="Heading2"/>
      </w:pPr>
      <w:r>
        <w:t>Overview</w:t>
      </w:r>
    </w:p>
    <w:p>
      <w:r>
        <w:t>The Billing &amp; Payments module provides a complete financial lifecycle including invoicing, payment tracking, installment plans, receivables aging, and double-entry ledger accounting. It integrates directly with the policy lifecycle for automated billing and grace period management.</w:t>
      </w:r>
    </w:p>
    <w:p>
      <w:pPr>
        <w:pStyle w:val="Heading3"/>
      </w:pPr>
      <w:r>
        <w:t>Billing Account Management</w:t>
      </w:r>
    </w:p>
    <w:p>
      <w:pPr>
        <w:pStyle w:val="ListBullet"/>
        <w:spacing w:after="60"/>
      </w:pPr>
      <w:r>
        <w:rPr>
          <w:rFonts w:ascii="Calibri" w:hAnsi="Calibri"/>
          <w:sz w:val="20"/>
        </w:rPr>
        <w:t>Billing accounts are automatically linked to policies at issuance</w:t>
      </w:r>
    </w:p>
    <w:p>
      <w:pPr>
        <w:pStyle w:val="ListBullet"/>
        <w:spacing w:after="60"/>
      </w:pPr>
      <w:r>
        <w:rPr>
          <w:rFonts w:ascii="Calibri" w:hAnsi="Calibri"/>
          <w:sz w:val="20"/>
        </w:rPr>
        <w:t>Each account tracks balance, payment plan, installment schedule, and payment history</w:t>
      </w:r>
    </w:p>
    <w:p>
      <w:pPr>
        <w:pStyle w:val="ListBullet"/>
        <w:spacing w:after="60"/>
      </w:pPr>
      <w:r>
        <w:rPr>
          <w:rFonts w:ascii="Calibri" w:hAnsi="Calibri"/>
          <w:sz w:val="20"/>
        </w:rPr>
        <w:t>Account statuses: Active, Suspended (grace period), Closed</w:t>
      </w:r>
    </w:p>
    <w:p>
      <w:pPr>
        <w:pStyle w:val="ListBullet"/>
        <w:spacing w:after="60"/>
      </w:pPr>
      <w:r>
        <w:rPr>
          <w:rFonts w:ascii="Calibri" w:hAnsi="Calibri"/>
          <w:sz w:val="20"/>
        </w:rPr>
        <w:t>Quick-view KPI cards: Total Accounts, Active Accounts, Outstanding Amount, Collected Amount</w:t>
      </w:r>
    </w:p>
    <w:p>
      <w:pPr>
        <w:pStyle w:val="Heading3"/>
      </w:pPr>
      <w:r>
        <w:t>Invoicing</w:t>
      </w:r>
    </w:p>
    <w:p>
      <w:pPr>
        <w:pStyle w:val="ListBullet"/>
        <w:spacing w:after="60"/>
      </w:pPr>
      <w:r>
        <w:rPr>
          <w:rFonts w:ascii="Calibri" w:hAnsi="Calibri"/>
          <w:sz w:val="20"/>
        </w:rPr>
        <w:t>Auto-generated invoices with detailed line items (premium, fees, taxes)</w:t>
      </w:r>
    </w:p>
    <w:p>
      <w:pPr>
        <w:pStyle w:val="ListBullet"/>
        <w:spacing w:after="60"/>
      </w:pPr>
      <w:r>
        <w:rPr>
          <w:rFonts w:ascii="Calibri" w:hAnsi="Calibri"/>
          <w:sz w:val="20"/>
        </w:rPr>
        <w:t>Invoice statuses: Pending, Paid, Overdue, Void</w:t>
      </w:r>
    </w:p>
    <w:p>
      <w:pPr>
        <w:pStyle w:val="ListBullet"/>
        <w:spacing w:after="60"/>
      </w:pPr>
      <w:r>
        <w:rPr>
          <w:rFonts w:ascii="Calibri" w:hAnsi="Calibri"/>
          <w:sz w:val="20"/>
        </w:rPr>
        <w:t>Due date tracking with overdue alerts</w:t>
      </w:r>
    </w:p>
    <w:p>
      <w:pPr>
        <w:pStyle w:val="ListBullet"/>
        <w:spacing w:after="60"/>
      </w:pPr>
      <w:r>
        <w:rPr>
          <w:rFonts w:ascii="Calibri" w:hAnsi="Calibri"/>
          <w:sz w:val="20"/>
        </w:rPr>
        <w:t>Print and download invoice capability</w:t>
      </w:r>
    </w:p>
    <w:p>
      <w:pPr>
        <w:pStyle w:val="Heading3"/>
      </w:pPr>
      <w:r>
        <w:t>Payment Tracking</w:t>
      </w:r>
    </w:p>
    <w:tbl>
      <w:tblPr>
        <w:tblStyle w:val="TableGrid"/>
        <w:tblW w:type="auto" w:w="0"/>
        <w:jc w:val="center"/>
        <w:tblLook w:firstColumn="1" w:firstRow="1" w:lastColumn="0" w:lastRow="0" w:noHBand="0" w:noVBand="1" w:val="04A0"/>
      </w:tblPr>
      <w:tblGrid>
        <w:gridCol w:w="4320"/>
        <w:gridCol w:w="4320"/>
      </w:tblGrid>
      <w:tr>
        <w:tc>
          <w:tcPr>
            <w:tcW w:type="dxa" w:w="2880"/>
            <w:shd w:fill="1E3A5F"/>
          </w:tcPr>
          <w:p>
            <w:pPr>
              <w:jc w:val="left"/>
            </w:pPr>
            <w:r>
              <w:rPr>
                <w:rFonts w:ascii="Calibri" w:hAnsi="Calibri"/>
                <w:b/>
                <w:color w:val="FFFFFF"/>
                <w:sz w:val="20"/>
              </w:rPr>
              <w:t>Payment Method</w:t>
            </w:r>
          </w:p>
        </w:tc>
        <w:tc>
          <w:tcPr>
            <w:tcW w:type="dxa" w:w="6480"/>
            <w:shd w:fill="1E3A5F"/>
          </w:tcPr>
          <w:p>
            <w:pPr>
              <w:jc w:val="left"/>
            </w:pPr>
            <w:r>
              <w:rPr>
                <w:rFonts w:ascii="Calibri" w:hAnsi="Calibri"/>
                <w:b/>
                <w:color w:val="FFFFFF"/>
                <w:sz w:val="20"/>
              </w:rPr>
              <w:t>Details</w:t>
            </w:r>
          </w:p>
        </w:tc>
      </w:tr>
      <w:tr>
        <w:tc>
          <w:tcPr>
            <w:tcW w:type="dxa" w:w="2880"/>
            <w:shd w:fill="FFF7ED"/>
          </w:tcPr>
          <w:p>
            <w:r>
              <w:rPr>
                <w:rFonts w:ascii="Calibri" w:hAnsi="Calibri"/>
                <w:sz w:val="20"/>
              </w:rPr>
              <w:t>Cash</w:t>
            </w:r>
          </w:p>
        </w:tc>
        <w:tc>
          <w:tcPr>
            <w:tcW w:type="dxa" w:w="6480"/>
            <w:shd w:fill="FFF7ED"/>
          </w:tcPr>
          <w:p>
            <w:r>
              <w:rPr>
                <w:rFonts w:ascii="Calibri" w:hAnsi="Calibri"/>
                <w:sz w:val="20"/>
              </w:rPr>
              <w:t>Cash payments with receipt reference</w:t>
            </w:r>
          </w:p>
        </w:tc>
      </w:tr>
      <w:tr>
        <w:tc>
          <w:tcPr>
            <w:tcW w:type="dxa" w:w="2880"/>
            <w:shd w:fill="FFFFFF"/>
          </w:tcPr>
          <w:p>
            <w:r>
              <w:rPr>
                <w:rFonts w:ascii="Calibri" w:hAnsi="Calibri"/>
                <w:sz w:val="20"/>
              </w:rPr>
              <w:t>Check</w:t>
            </w:r>
          </w:p>
        </w:tc>
        <w:tc>
          <w:tcPr>
            <w:tcW w:type="dxa" w:w="6480"/>
            <w:shd w:fill="FFFFFF"/>
          </w:tcPr>
          <w:p>
            <w:r>
              <w:rPr>
                <w:rFonts w:ascii="Calibri" w:hAnsi="Calibri"/>
                <w:sz w:val="20"/>
              </w:rPr>
              <w:t>Check number and bank details</w:t>
            </w:r>
          </w:p>
        </w:tc>
      </w:tr>
      <w:tr>
        <w:tc>
          <w:tcPr>
            <w:tcW w:type="dxa" w:w="2880"/>
            <w:shd w:fill="FFF7ED"/>
          </w:tcPr>
          <w:p>
            <w:r>
              <w:rPr>
                <w:rFonts w:ascii="Calibri" w:hAnsi="Calibri"/>
                <w:sz w:val="20"/>
              </w:rPr>
              <w:t>UPI</w:t>
            </w:r>
          </w:p>
        </w:tc>
        <w:tc>
          <w:tcPr>
            <w:tcW w:type="dxa" w:w="6480"/>
            <w:shd w:fill="FFF7ED"/>
          </w:tcPr>
          <w:p>
            <w:r>
              <w:rPr>
                <w:rFonts w:ascii="Calibri" w:hAnsi="Calibri"/>
                <w:sz w:val="20"/>
              </w:rPr>
              <w:t>UPI transaction ID</w:t>
            </w:r>
          </w:p>
        </w:tc>
      </w:tr>
      <w:tr>
        <w:tc>
          <w:tcPr>
            <w:tcW w:type="dxa" w:w="2880"/>
            <w:shd w:fill="FFFFFF"/>
          </w:tcPr>
          <w:p>
            <w:r>
              <w:rPr>
                <w:rFonts w:ascii="Calibri" w:hAnsi="Calibri"/>
                <w:sz w:val="20"/>
              </w:rPr>
              <w:t>Bank Transfer</w:t>
            </w:r>
          </w:p>
        </w:tc>
        <w:tc>
          <w:tcPr>
            <w:tcW w:type="dxa" w:w="6480"/>
            <w:shd w:fill="FFFFFF"/>
          </w:tcPr>
          <w:p>
            <w:r>
              <w:rPr>
                <w:rFonts w:ascii="Calibri" w:hAnsi="Calibri"/>
                <w:sz w:val="20"/>
              </w:rPr>
              <w:t>NEFT/RTGS reference number</w:t>
            </w:r>
          </w:p>
        </w:tc>
      </w:tr>
    </w:tbl>
    <w:p>
      <w:pPr>
        <w:pStyle w:val="Heading3"/>
      </w:pPr>
      <w:r>
        <w:t>Installment Plans</w:t>
      </w:r>
    </w:p>
    <w:p>
      <w:pPr>
        <w:pStyle w:val="ListBullet"/>
        <w:spacing w:after="60"/>
      </w:pPr>
      <w:r>
        <w:rPr>
          <w:rFonts w:ascii="Calibri" w:hAnsi="Calibri"/>
          <w:sz w:val="20"/>
        </w:rPr>
        <w:t>Annual — Single payment for the full premium</w:t>
      </w:r>
    </w:p>
    <w:p>
      <w:pPr>
        <w:pStyle w:val="ListBullet"/>
        <w:spacing w:after="60"/>
      </w:pPr>
      <w:r>
        <w:rPr>
          <w:rFonts w:ascii="Calibri" w:hAnsi="Calibri"/>
          <w:sz w:val="20"/>
        </w:rPr>
        <w:t>Semi-Annual — Two equal installments, 6 months apart</w:t>
      </w:r>
    </w:p>
    <w:p>
      <w:pPr>
        <w:pStyle w:val="ListBullet"/>
        <w:spacing w:after="60"/>
      </w:pPr>
      <w:r>
        <w:rPr>
          <w:rFonts w:ascii="Calibri" w:hAnsi="Calibri"/>
          <w:sz w:val="20"/>
        </w:rPr>
        <w:t>Quarterly — Four equal installments, 3 months apart</w:t>
      </w:r>
    </w:p>
    <w:p>
      <w:pPr>
        <w:pStyle w:val="ListBullet"/>
        <w:spacing w:after="60"/>
      </w:pPr>
      <w:r>
        <w:rPr>
          <w:rFonts w:ascii="Calibri" w:hAnsi="Calibri"/>
          <w:sz w:val="20"/>
        </w:rPr>
        <w:t>Monthly — Twelve equal installments with monthly due dates</w:t>
      </w:r>
    </w:p>
    <w:p>
      <w:pPr>
        <w:pStyle w:val="Heading3"/>
      </w:pPr>
      <w:r>
        <w:t>Receivables Aging</w:t>
      </w:r>
    </w:p>
    <w:p>
      <w:r>
        <w:t>A visual aging chart displays outstanding receivables categorized by age:</w:t>
      </w:r>
    </w:p>
    <w:p>
      <w:pPr>
        <w:pStyle w:val="ListBullet"/>
        <w:spacing w:after="60"/>
      </w:pPr>
      <w:r>
        <w:rPr>
          <w:rFonts w:ascii="Calibri" w:hAnsi="Calibri"/>
          <w:sz w:val="20"/>
        </w:rPr>
        <w:t>Current — Invoices within payment terms</w:t>
      </w:r>
    </w:p>
    <w:p>
      <w:pPr>
        <w:pStyle w:val="ListBullet"/>
        <w:spacing w:after="60"/>
      </w:pPr>
      <w:r>
        <w:rPr>
          <w:rFonts w:ascii="Calibri" w:hAnsi="Calibri"/>
          <w:sz w:val="20"/>
        </w:rPr>
        <w:t>30-day — 1-30 days past due</w:t>
      </w:r>
    </w:p>
    <w:p>
      <w:pPr>
        <w:pStyle w:val="ListBullet"/>
        <w:spacing w:after="60"/>
      </w:pPr>
      <w:r>
        <w:rPr>
          <w:rFonts w:ascii="Calibri" w:hAnsi="Calibri"/>
          <w:sz w:val="20"/>
        </w:rPr>
        <w:t>60-day — 31-60 days past due</w:t>
      </w:r>
    </w:p>
    <w:p>
      <w:pPr>
        <w:pStyle w:val="ListBullet"/>
        <w:spacing w:after="60"/>
      </w:pPr>
      <w:r>
        <w:rPr>
          <w:rFonts w:ascii="Calibri" w:hAnsi="Calibri"/>
          <w:sz w:val="20"/>
        </w:rPr>
        <w:t>90-day — 61-90 days past due</w:t>
      </w:r>
    </w:p>
    <w:p>
      <w:pPr>
        <w:pStyle w:val="ListBullet"/>
        <w:spacing w:after="60"/>
      </w:pPr>
      <w:r>
        <w:rPr>
          <w:rFonts w:ascii="Calibri" w:hAnsi="Calibri"/>
          <w:sz w:val="20"/>
        </w:rPr>
        <w:t>90+ day — More than 90 days past due (critical)</w:t>
      </w:r>
    </w:p>
    <w:p>
      <w:pPr>
        <w:pStyle w:val="Heading3"/>
      </w:pPr>
      <w:r>
        <w:t>Grace Period Automation</w:t>
      </w:r>
    </w:p>
    <w:p>
      <w:r>
        <w:t>The system automates the grace period workflow: when an invoice becomes overdue, a grace period timer begins. If payment is not received within the grace period, the linked policy is automatically flagged for lapse processing.</w:t>
      </w:r>
    </w:p>
    <w:p>
      <w:r>
        <w:br w:type="page"/>
      </w:r>
    </w:p>
    <w:p>
      <w:pPr>
        <w:pStyle w:val="Heading1"/>
      </w:pPr>
      <w:r>
        <w:t>10. Task Management</w:t>
      </w:r>
    </w:p>
    <w:p>
      <w:pPr>
        <w:jc w:val="center"/>
      </w:pPr>
      <w:r>
        <w:drawing>
          <wp:inline xmlns:a="http://schemas.openxmlformats.org/drawingml/2006/main" xmlns:pic="http://schemas.openxmlformats.org/drawingml/2006/picture">
            <wp:extent cx="5669280" cy="3143472"/>
            <wp:docPr id="10" name="Picture 10"/>
            <wp:cNvGraphicFramePr>
              <a:graphicFrameLocks noChangeAspect="1"/>
            </wp:cNvGraphicFramePr>
            <a:graphic>
              <a:graphicData uri="http://schemas.openxmlformats.org/drawingml/2006/picture">
                <pic:pic>
                  <pic:nvPicPr>
                    <pic:cNvPr id="0" name="10-tasks.png"/>
                    <pic:cNvPicPr/>
                  </pic:nvPicPr>
                  <pic:blipFill>
                    <a:blip r:embed="rId18"/>
                    <a:stretch>
                      <a:fillRect/>
                    </a:stretch>
                  </pic:blipFill>
                  <pic:spPr>
                    <a:xfrm>
                      <a:off x="0" y="0"/>
                      <a:ext cx="5669280" cy="3143472"/>
                    </a:xfrm>
                    <a:prstGeom prst="rect"/>
                  </pic:spPr>
                </pic:pic>
              </a:graphicData>
            </a:graphic>
          </wp:inline>
        </w:drawing>
      </w:r>
    </w:p>
    <w:p>
      <w:pPr>
        <w:pStyle w:val="Heading2"/>
      </w:pPr>
      <w:r>
        <w:t>Overview</w:t>
      </w:r>
    </w:p>
    <w:p>
      <w:r>
        <w:t>The Task Management module provides a centralized work queue with SLA tracking, priority management, and automatic task generation from workflow events. It ensures nothing falls through the cracks and all team members have clear work assignments.</w:t>
      </w:r>
    </w:p>
    <w:p>
      <w:pPr>
        <w:pStyle w:val="Heading3"/>
      </w:pPr>
      <w:r>
        <w:t>Task Queue Features</w:t>
      </w:r>
    </w:p>
    <w:p>
      <w:pPr>
        <w:pStyle w:val="ListBullet"/>
        <w:spacing w:after="60"/>
      </w:pPr>
      <w:r>
        <w:rPr>
          <w:rFonts w:ascii="Calibri" w:hAnsi="Calibri"/>
          <w:sz w:val="20"/>
        </w:rPr>
        <w:t>Summary Cards — At-a-glance counts for Open, In Progress, Completed, and Overdue tasks</w:t>
      </w:r>
    </w:p>
    <w:p>
      <w:pPr>
        <w:pStyle w:val="ListBullet"/>
        <w:spacing w:after="60"/>
      </w:pPr>
      <w:r>
        <w:rPr>
          <w:rFonts w:ascii="Calibri" w:hAnsi="Calibri"/>
          <w:sz w:val="20"/>
        </w:rPr>
        <w:t>Task Table — Title, Assignee, Priority, Due Date, Status columns with sorting</w:t>
      </w:r>
    </w:p>
    <w:p>
      <w:pPr>
        <w:pStyle w:val="ListBullet"/>
        <w:spacing w:after="60"/>
      </w:pPr>
      <w:r>
        <w:rPr>
          <w:rFonts w:ascii="Calibri" w:hAnsi="Calibri"/>
          <w:sz w:val="20"/>
        </w:rPr>
        <w:t>Priority Levels — Urgent (red), High (orange), Medium (yellow), Low (green)</w:t>
      </w:r>
    </w:p>
    <w:p>
      <w:pPr>
        <w:pStyle w:val="ListBullet"/>
        <w:spacing w:after="60"/>
      </w:pPr>
      <w:r>
        <w:rPr>
          <w:rFonts w:ascii="Calibri" w:hAnsi="Calibri"/>
          <w:sz w:val="20"/>
        </w:rPr>
        <w:t>SLA Tracking — Due date countdown timers with overdue indicators and alerts</w:t>
      </w:r>
    </w:p>
    <w:p>
      <w:pPr>
        <w:pStyle w:val="ListBullet"/>
        <w:spacing w:after="60"/>
      </w:pPr>
      <w:r>
        <w:rPr>
          <w:rFonts w:ascii="Calibri" w:hAnsi="Calibri"/>
          <w:sz w:val="20"/>
        </w:rPr>
        <w:t>Assignment — Assign or reassign tasks to any team member</w:t>
      </w:r>
    </w:p>
    <w:p>
      <w:pPr>
        <w:pStyle w:val="ListBullet"/>
        <w:spacing w:after="60"/>
      </w:pPr>
      <w:r>
        <w:rPr>
          <w:rFonts w:ascii="Calibri" w:hAnsi="Calibri"/>
          <w:sz w:val="20"/>
        </w:rPr>
        <w:t>Task Detail Drawer — Side panel with full task details, activity log, and actions</w:t>
      </w:r>
    </w:p>
    <w:p>
      <w:pPr>
        <w:pStyle w:val="Heading3"/>
      </w:pPr>
      <w:r>
        <w:t>Workflow-Driven Auto-Assignment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E3A5F"/>
          </w:tcPr>
          <w:p>
            <w:pPr>
              <w:jc w:val="left"/>
            </w:pPr>
            <w:r>
              <w:rPr>
                <w:rFonts w:ascii="Calibri" w:hAnsi="Calibri"/>
                <w:b/>
                <w:color w:val="FFFFFF"/>
                <w:sz w:val="20"/>
              </w:rPr>
              <w:t>Trigger Event</w:t>
            </w:r>
          </w:p>
        </w:tc>
        <w:tc>
          <w:tcPr>
            <w:tcW w:type="dxa" w:w="3600"/>
            <w:shd w:fill="1E3A5F"/>
          </w:tcPr>
          <w:p>
            <w:pPr>
              <w:jc w:val="left"/>
            </w:pPr>
            <w:r>
              <w:rPr>
                <w:rFonts w:ascii="Calibri" w:hAnsi="Calibri"/>
                <w:b/>
                <w:color w:val="FFFFFF"/>
                <w:sz w:val="20"/>
              </w:rPr>
              <w:t>Auto-Created Task</w:t>
            </w:r>
          </w:p>
        </w:tc>
        <w:tc>
          <w:tcPr>
            <w:tcW w:type="dxa" w:w="2880"/>
            <w:shd w:fill="1E3A5F"/>
          </w:tcPr>
          <w:p>
            <w:pPr>
              <w:jc w:val="left"/>
            </w:pPr>
            <w:r>
              <w:rPr>
                <w:rFonts w:ascii="Calibri" w:hAnsi="Calibri"/>
                <w:b/>
                <w:color w:val="FFFFFF"/>
                <w:sz w:val="20"/>
              </w:rPr>
              <w:t>Assigned To</w:t>
            </w:r>
          </w:p>
        </w:tc>
      </w:tr>
      <w:tr>
        <w:tc>
          <w:tcPr>
            <w:tcW w:type="dxa" w:w="2880"/>
            <w:shd w:fill="FFF7ED"/>
          </w:tcPr>
          <w:p>
            <w:r>
              <w:rPr>
                <w:rFonts w:ascii="Calibri" w:hAnsi="Calibri"/>
                <w:sz w:val="20"/>
              </w:rPr>
              <w:t>New claim filed</w:t>
            </w:r>
          </w:p>
        </w:tc>
        <w:tc>
          <w:tcPr>
            <w:tcW w:type="dxa" w:w="3600"/>
            <w:shd w:fill="FFF7ED"/>
          </w:tcPr>
          <w:p>
            <w:r>
              <w:rPr>
                <w:rFonts w:ascii="Calibri" w:hAnsi="Calibri"/>
                <w:sz w:val="20"/>
              </w:rPr>
              <w:t>Review and investigate claim</w:t>
            </w:r>
          </w:p>
        </w:tc>
        <w:tc>
          <w:tcPr>
            <w:tcW w:type="dxa" w:w="2880"/>
            <w:shd w:fill="FFF7ED"/>
          </w:tcPr>
          <w:p>
            <w:r>
              <w:rPr>
                <w:rFonts w:ascii="Calibri" w:hAnsi="Calibri"/>
                <w:sz w:val="20"/>
              </w:rPr>
              <w:t>Claims</w:t>
            </w:r>
          </w:p>
        </w:tc>
      </w:tr>
      <w:tr>
        <w:tc>
          <w:tcPr>
            <w:tcW w:type="dxa" w:w="2880"/>
            <w:shd w:fill="FFFFFF"/>
          </w:tcPr>
          <w:p>
            <w:r>
              <w:rPr>
                <w:rFonts w:ascii="Calibri" w:hAnsi="Calibri"/>
                <w:sz w:val="20"/>
              </w:rPr>
              <w:t>UW referral triggered</w:t>
            </w:r>
          </w:p>
        </w:tc>
        <w:tc>
          <w:tcPr>
            <w:tcW w:type="dxa" w:w="3600"/>
            <w:shd w:fill="FFFFFF"/>
          </w:tcPr>
          <w:p>
            <w:r>
              <w:rPr>
                <w:rFonts w:ascii="Calibri" w:hAnsi="Calibri"/>
                <w:sz w:val="20"/>
              </w:rPr>
              <w:t>Review referred application</w:t>
            </w:r>
          </w:p>
        </w:tc>
        <w:tc>
          <w:tcPr>
            <w:tcW w:type="dxa" w:w="2880"/>
            <w:shd w:fill="FFFFFF"/>
          </w:tcPr>
          <w:p>
            <w:r>
              <w:rPr>
                <w:rFonts w:ascii="Calibri" w:hAnsi="Calibri"/>
                <w:sz w:val="20"/>
              </w:rPr>
              <w:t>Senior Underwriter</w:t>
            </w:r>
          </w:p>
        </w:tc>
      </w:tr>
      <w:tr>
        <w:tc>
          <w:tcPr>
            <w:tcW w:type="dxa" w:w="2880"/>
            <w:shd w:fill="FFF7ED"/>
          </w:tcPr>
          <w:p>
            <w:r>
              <w:rPr>
                <w:rFonts w:ascii="Calibri" w:hAnsi="Calibri"/>
                <w:sz w:val="20"/>
              </w:rPr>
              <w:t>Policy renewal due</w:t>
            </w:r>
          </w:p>
        </w:tc>
        <w:tc>
          <w:tcPr>
            <w:tcW w:type="dxa" w:w="3600"/>
            <w:shd w:fill="FFF7ED"/>
          </w:tcPr>
          <w:p>
            <w:r>
              <w:rPr>
                <w:rFonts w:ascii="Calibri" w:hAnsi="Calibri"/>
                <w:sz w:val="20"/>
              </w:rPr>
              <w:t>Process policy renewal</w:t>
            </w:r>
          </w:p>
        </w:tc>
        <w:tc>
          <w:tcPr>
            <w:tcW w:type="dxa" w:w="2880"/>
            <w:shd w:fill="FFF7ED"/>
          </w:tcPr>
          <w:p>
            <w:r>
              <w:rPr>
                <w:rFonts w:ascii="Calibri" w:hAnsi="Calibri"/>
                <w:sz w:val="20"/>
              </w:rPr>
              <w:t>Operations Team</w:t>
            </w:r>
          </w:p>
        </w:tc>
      </w:tr>
      <w:tr>
        <w:tc>
          <w:tcPr>
            <w:tcW w:type="dxa" w:w="2880"/>
            <w:shd w:fill="FFFFFF"/>
          </w:tcPr>
          <w:p>
            <w:r>
              <w:rPr>
                <w:rFonts w:ascii="Calibri" w:hAnsi="Calibri"/>
                <w:sz w:val="20"/>
              </w:rPr>
              <w:t>Payment overdue</w:t>
            </w:r>
          </w:p>
        </w:tc>
        <w:tc>
          <w:tcPr>
            <w:tcW w:type="dxa" w:w="3600"/>
            <w:shd w:fill="FFFFFF"/>
          </w:tcPr>
          <w:p>
            <w:r>
              <w:rPr>
                <w:rFonts w:ascii="Calibri" w:hAnsi="Calibri"/>
                <w:sz w:val="20"/>
              </w:rPr>
              <w:t>Follow up on overdue payment</w:t>
            </w:r>
          </w:p>
        </w:tc>
        <w:tc>
          <w:tcPr>
            <w:tcW w:type="dxa" w:w="2880"/>
            <w:shd w:fill="FFFFFF"/>
          </w:tcPr>
          <w:p>
            <w:r>
              <w:rPr>
                <w:rFonts w:ascii="Calibri" w:hAnsi="Calibri"/>
                <w:sz w:val="20"/>
              </w:rPr>
              <w:t>Billing Team</w:t>
            </w:r>
          </w:p>
        </w:tc>
      </w:tr>
      <w:tr>
        <w:tc>
          <w:tcPr>
            <w:tcW w:type="dxa" w:w="2880"/>
            <w:shd w:fill="FFF7ED"/>
          </w:tcPr>
          <w:p>
            <w:r>
              <w:rPr>
                <w:rFonts w:ascii="Calibri" w:hAnsi="Calibri"/>
                <w:sz w:val="20"/>
              </w:rPr>
              <w:t>Document required</w:t>
            </w:r>
          </w:p>
        </w:tc>
        <w:tc>
          <w:tcPr>
            <w:tcW w:type="dxa" w:w="3600"/>
            <w:shd w:fill="FFF7ED"/>
          </w:tcPr>
          <w:p>
            <w:r>
              <w:rPr>
                <w:rFonts w:ascii="Calibri" w:hAnsi="Calibri"/>
                <w:sz w:val="20"/>
              </w:rPr>
              <w:t>Collect required documentation</w:t>
            </w:r>
          </w:p>
        </w:tc>
        <w:tc>
          <w:tcPr>
            <w:tcW w:type="dxa" w:w="2880"/>
            <w:shd w:fill="FFF7ED"/>
          </w:tcPr>
          <w:p>
            <w:r>
              <w:rPr>
                <w:rFonts w:ascii="Calibri" w:hAnsi="Calibri"/>
                <w:sz w:val="20"/>
              </w:rPr>
              <w:t>Operations</w:t>
            </w:r>
          </w:p>
        </w:tc>
      </w:tr>
      <w:tr>
        <w:tc>
          <w:tcPr>
            <w:tcW w:type="dxa" w:w="2880"/>
            <w:shd w:fill="FFFFFF"/>
          </w:tcPr>
          <w:p>
            <w:r>
              <w:rPr>
                <w:rFonts w:ascii="Calibri" w:hAnsi="Calibri"/>
                <w:sz w:val="20"/>
              </w:rPr>
              <w:t>Compliance deadline</w:t>
            </w:r>
          </w:p>
        </w:tc>
        <w:tc>
          <w:tcPr>
            <w:tcW w:type="dxa" w:w="3600"/>
            <w:shd w:fill="FFFFFF"/>
          </w:tcPr>
          <w:p>
            <w:r>
              <w:rPr>
                <w:rFonts w:ascii="Calibri" w:hAnsi="Calibri"/>
                <w:sz w:val="20"/>
              </w:rPr>
              <w:t>Complete regulatory filing</w:t>
            </w:r>
          </w:p>
        </w:tc>
        <w:tc>
          <w:tcPr>
            <w:tcW w:type="dxa" w:w="2880"/>
            <w:shd w:fill="FFFFFF"/>
          </w:tcPr>
          <w:p>
            <w:r>
              <w:rPr>
                <w:rFonts w:ascii="Calibri" w:hAnsi="Calibri"/>
                <w:sz w:val="20"/>
              </w:rPr>
              <w:t>Compliance Officer</w:t>
            </w:r>
          </w:p>
        </w:tc>
      </w:tr>
    </w:tbl>
    <w:p>
      <w:r>
        <w:br w:type="page"/>
      </w:r>
    </w:p>
    <w:p>
      <w:pPr>
        <w:pStyle w:val="Heading1"/>
      </w:pPr>
      <w:r>
        <w:t>11. Document Management</w:t>
      </w:r>
    </w:p>
    <w:p>
      <w:pPr>
        <w:jc w:val="center"/>
      </w:pPr>
      <w:r>
        <w:drawing>
          <wp:inline xmlns:a="http://schemas.openxmlformats.org/drawingml/2006/main" xmlns:pic="http://schemas.openxmlformats.org/drawingml/2006/picture">
            <wp:extent cx="5669280" cy="3143472"/>
            <wp:docPr id="11" name="Picture 11"/>
            <wp:cNvGraphicFramePr>
              <a:graphicFrameLocks noChangeAspect="1"/>
            </wp:cNvGraphicFramePr>
            <a:graphic>
              <a:graphicData uri="http://schemas.openxmlformats.org/drawingml/2006/picture">
                <pic:pic>
                  <pic:nvPicPr>
                    <pic:cNvPr id="0" name="11-documents.png"/>
                    <pic:cNvPicPr/>
                  </pic:nvPicPr>
                  <pic:blipFill>
                    <a:blip r:embed="rId19"/>
                    <a:stretch>
                      <a:fillRect/>
                    </a:stretch>
                  </pic:blipFill>
                  <pic:spPr>
                    <a:xfrm>
                      <a:off x="0" y="0"/>
                      <a:ext cx="5669280" cy="3143472"/>
                    </a:xfrm>
                    <a:prstGeom prst="rect"/>
                  </pic:spPr>
                </pic:pic>
              </a:graphicData>
            </a:graphic>
          </wp:inline>
        </w:drawing>
      </w:r>
    </w:p>
    <w:p>
      <w:pPr>
        <w:pStyle w:val="Heading2"/>
      </w:pPr>
      <w:r>
        <w:t>Overview</w:t>
      </w:r>
    </w:p>
    <w:p>
      <w:r>
        <w:t>The Document Management module provides a centralized repository for all policy, claims, underwriting, and correspondence documents. It supports file upload, template-based document generation, categorization, and version control.</w:t>
      </w:r>
    </w:p>
    <w:p>
      <w:pPr>
        <w:pStyle w:val="Heading3"/>
      </w:pPr>
      <w:r>
        <w:t>Document Categories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1E3A5F"/>
          </w:tcPr>
          <w:p>
            <w:pPr>
              <w:jc w:val="left"/>
            </w:pPr>
            <w:r>
              <w:rPr>
                <w:rFonts w:ascii="Calibri" w:hAnsi="Calibri"/>
                <w:b/>
                <w:color w:val="FFFFFF"/>
                <w:sz w:val="20"/>
              </w:rPr>
              <w:t>Category</w:t>
            </w:r>
          </w:p>
        </w:tc>
        <w:tc>
          <w:tcPr>
            <w:tcW w:type="dxa" w:w="3600"/>
            <w:shd w:fill="1E3A5F"/>
          </w:tcPr>
          <w:p>
            <w:pPr>
              <w:jc w:val="left"/>
            </w:pPr>
            <w:r>
              <w:rPr>
                <w:rFonts w:ascii="Calibri" w:hAnsi="Calibri"/>
                <w:b/>
                <w:color w:val="FFFFFF"/>
                <w:sz w:val="20"/>
              </w:rPr>
              <w:t>Document Types</w:t>
            </w:r>
          </w:p>
        </w:tc>
        <w:tc>
          <w:tcPr>
            <w:tcW w:type="dxa" w:w="3600"/>
            <w:shd w:fill="1E3A5F"/>
          </w:tcPr>
          <w:p>
            <w:pPr>
              <w:jc w:val="left"/>
            </w:pPr>
            <w:r>
              <w:rPr>
                <w:rFonts w:ascii="Calibri" w:hAnsi="Calibri"/>
                <w:b/>
                <w:color w:val="FFFFFF"/>
                <w:sz w:val="20"/>
              </w:rPr>
              <w:t>Description</w:t>
            </w:r>
          </w:p>
        </w:tc>
      </w:tr>
      <w:tr>
        <w:tc>
          <w:tcPr>
            <w:tcW w:type="dxa" w:w="2160"/>
            <w:shd w:fill="FFF7ED"/>
          </w:tcPr>
          <w:p>
            <w:r>
              <w:rPr>
                <w:rFonts w:ascii="Calibri" w:hAnsi="Calibri"/>
                <w:sz w:val="20"/>
              </w:rPr>
              <w:t>Policy Documents</w:t>
            </w:r>
          </w:p>
        </w:tc>
        <w:tc>
          <w:tcPr>
            <w:tcW w:type="dxa" w:w="3600"/>
            <w:shd w:fill="FFF7ED"/>
          </w:tcPr>
          <w:p>
            <w:r>
              <w:rPr>
                <w:rFonts w:ascii="Calibri" w:hAnsi="Calibri"/>
                <w:sz w:val="20"/>
              </w:rPr>
              <w:t>Declarations, Certificates, Endorsement Schedules</w:t>
            </w:r>
          </w:p>
        </w:tc>
        <w:tc>
          <w:tcPr>
            <w:tcW w:type="dxa" w:w="3600"/>
            <w:shd w:fill="FFF7ED"/>
          </w:tcPr>
          <w:p>
            <w:r>
              <w:rPr>
                <w:rFonts w:ascii="Calibri" w:hAnsi="Calibri"/>
                <w:sz w:val="20"/>
              </w:rPr>
              <w:t>Official policy documentation issued to policyholders</w:t>
            </w:r>
          </w:p>
        </w:tc>
      </w:tr>
      <w:tr>
        <w:tc>
          <w:tcPr>
            <w:tcW w:type="dxa" w:w="2160"/>
            <w:shd w:fill="FFFFFF"/>
          </w:tcPr>
          <w:p>
            <w:r>
              <w:rPr>
                <w:rFonts w:ascii="Calibri" w:hAnsi="Calibri"/>
                <w:sz w:val="20"/>
              </w:rPr>
              <w:t>Claims Documents</w:t>
            </w:r>
          </w:p>
        </w:tc>
        <w:tc>
          <w:tcPr>
            <w:tcW w:type="dxa" w:w="3600"/>
            <w:shd w:fill="FFFFFF"/>
          </w:tcPr>
          <w:p>
            <w:r>
              <w:rPr>
                <w:rFonts w:ascii="Calibri" w:hAnsi="Calibri"/>
                <w:sz w:val="20"/>
              </w:rPr>
              <w:t>FNOL Reports, Investigation Notes, Settlement Letters</w:t>
            </w:r>
          </w:p>
        </w:tc>
        <w:tc>
          <w:tcPr>
            <w:tcW w:type="dxa" w:w="3600"/>
            <w:shd w:fill="FFFFFF"/>
          </w:tcPr>
          <w:p>
            <w:r>
              <w:rPr>
                <w:rFonts w:ascii="Calibri" w:hAnsi="Calibri"/>
                <w:sz w:val="20"/>
              </w:rPr>
              <w:t>Documentation related to claims processing</w:t>
            </w:r>
          </w:p>
        </w:tc>
      </w:tr>
      <w:tr>
        <w:tc>
          <w:tcPr>
            <w:tcW w:type="dxa" w:w="2160"/>
            <w:shd w:fill="FFF7ED"/>
          </w:tcPr>
          <w:p>
            <w:r>
              <w:rPr>
                <w:rFonts w:ascii="Calibri" w:hAnsi="Calibri"/>
                <w:sz w:val="20"/>
              </w:rPr>
              <w:t>UW Documents</w:t>
            </w:r>
          </w:p>
        </w:tc>
        <w:tc>
          <w:tcPr>
            <w:tcW w:type="dxa" w:w="3600"/>
            <w:shd w:fill="FFF7ED"/>
          </w:tcPr>
          <w:p>
            <w:r>
              <w:rPr>
                <w:rFonts w:ascii="Calibri" w:hAnsi="Calibri"/>
                <w:sz w:val="20"/>
              </w:rPr>
              <w:t>Risk Assessments, Rule Evaluations, Referral Notes</w:t>
            </w:r>
          </w:p>
        </w:tc>
        <w:tc>
          <w:tcPr>
            <w:tcW w:type="dxa" w:w="3600"/>
            <w:shd w:fill="FFF7ED"/>
          </w:tcPr>
          <w:p>
            <w:r>
              <w:rPr>
                <w:rFonts w:ascii="Calibri" w:hAnsi="Calibri"/>
                <w:sz w:val="20"/>
              </w:rPr>
              <w:t>Underwriting analysis and decision records</w:t>
            </w:r>
          </w:p>
        </w:tc>
      </w:tr>
      <w:tr>
        <w:tc>
          <w:tcPr>
            <w:tcW w:type="dxa" w:w="2160"/>
            <w:shd w:fill="FFFFFF"/>
          </w:tcPr>
          <w:p>
            <w:r>
              <w:rPr>
                <w:rFonts w:ascii="Calibri" w:hAnsi="Calibri"/>
                <w:sz w:val="20"/>
              </w:rPr>
              <w:t>Correspondence</w:t>
            </w:r>
          </w:p>
        </w:tc>
        <w:tc>
          <w:tcPr>
            <w:tcW w:type="dxa" w:w="3600"/>
            <w:shd w:fill="FFFFFF"/>
          </w:tcPr>
          <w:p>
            <w:r>
              <w:rPr>
                <w:rFonts w:ascii="Calibri" w:hAnsi="Calibri"/>
                <w:sz w:val="20"/>
              </w:rPr>
              <w:t>Customer Letters, Renewal Notices, Premium Receipts</w:t>
            </w:r>
          </w:p>
        </w:tc>
        <w:tc>
          <w:tcPr>
            <w:tcW w:type="dxa" w:w="3600"/>
            <w:shd w:fill="FFFFFF"/>
          </w:tcPr>
          <w:p>
            <w:r>
              <w:rPr>
                <w:rFonts w:ascii="Calibri" w:hAnsi="Calibri"/>
                <w:sz w:val="20"/>
              </w:rPr>
              <w:t>All customer-facing communications</w:t>
            </w:r>
          </w:p>
        </w:tc>
      </w:tr>
    </w:tbl>
    <w:p>
      <w:pPr>
        <w:pStyle w:val="Heading3"/>
      </w:pPr>
      <w:r>
        <w:t>Key Features</w:t>
      </w:r>
    </w:p>
    <w:p>
      <w:pPr>
        <w:pStyle w:val="ListBullet"/>
        <w:spacing w:after="60"/>
      </w:pPr>
      <w:r>
        <w:rPr>
          <w:rFonts w:ascii="Calibri" w:hAnsi="Calibri"/>
          <w:sz w:val="20"/>
        </w:rPr>
        <w:t>Drag-and-Drop Upload — File upload with progress bar and size display</w:t>
      </w:r>
    </w:p>
    <w:p>
      <w:pPr>
        <w:pStyle w:val="ListBullet"/>
        <w:spacing w:after="60"/>
      </w:pPr>
      <w:r>
        <w:rPr>
          <w:rFonts w:ascii="Calibri" w:hAnsi="Calibri"/>
          <w:sz w:val="20"/>
        </w:rPr>
        <w:t>Document Generation — Auto-generate documents from templates (declarations, certificates, invoices)</w:t>
      </w:r>
    </w:p>
    <w:p>
      <w:pPr>
        <w:pStyle w:val="ListBullet"/>
        <w:spacing w:after="60"/>
      </w:pPr>
      <w:r>
        <w:rPr>
          <w:rFonts w:ascii="Calibri" w:hAnsi="Calibri"/>
          <w:sz w:val="20"/>
        </w:rPr>
        <w:t>In-App Preview — View PDFs and images directly within the application</w:t>
      </w:r>
    </w:p>
    <w:p>
      <w:pPr>
        <w:pStyle w:val="ListBullet"/>
        <w:spacing w:after="60"/>
      </w:pPr>
      <w:r>
        <w:rPr>
          <w:rFonts w:ascii="Calibri" w:hAnsi="Calibri"/>
          <w:sz w:val="20"/>
        </w:rPr>
        <w:t>Full-Text Search — Search across document names and metadata</w:t>
      </w:r>
    </w:p>
    <w:p>
      <w:pPr>
        <w:pStyle w:val="ListBullet"/>
        <w:spacing w:after="60"/>
      </w:pPr>
      <w:r>
        <w:rPr>
          <w:rFonts w:ascii="Calibri" w:hAnsi="Calibri"/>
          <w:sz w:val="20"/>
        </w:rPr>
        <w:t>Version Control — Track document versions with history</w:t>
      </w:r>
    </w:p>
    <w:p>
      <w:pPr>
        <w:pStyle w:val="ListBullet"/>
        <w:spacing w:after="60"/>
      </w:pPr>
      <w:r>
        <w:rPr>
          <w:rFonts w:ascii="Calibri" w:hAnsi="Calibri"/>
          <w:sz w:val="20"/>
        </w:rPr>
        <w:t>Linked Entities — Documents are linked to their parent policy, claim, or customer</w:t>
      </w:r>
    </w:p>
    <w:p>
      <w:pPr>
        <w:pStyle w:val="ListBullet"/>
        <w:spacing w:after="60"/>
      </w:pPr>
      <w:r>
        <w:rPr>
          <w:rFonts w:ascii="Calibri" w:hAnsi="Calibri"/>
          <w:sz w:val="20"/>
        </w:rPr>
        <w:t>Bulk Download — Select multiple documents for ZIP download</w:t>
      </w:r>
    </w:p>
    <w:p>
      <w:r>
        <w:br w:type="page"/>
      </w:r>
    </w:p>
    <w:p>
      <w:pPr>
        <w:pStyle w:val="Heading1"/>
      </w:pPr>
      <w:r>
        <w:t>12. Reports &amp; Analytics</w:t>
      </w:r>
    </w:p>
    <w:p>
      <w:pPr>
        <w:jc w:val="center"/>
      </w:pPr>
      <w:r>
        <w:drawing>
          <wp:inline xmlns:a="http://schemas.openxmlformats.org/drawingml/2006/main" xmlns:pic="http://schemas.openxmlformats.org/drawingml/2006/picture">
            <wp:extent cx="5669280" cy="3143472"/>
            <wp:docPr id="12" name="Picture 12"/>
            <wp:cNvGraphicFramePr>
              <a:graphicFrameLocks noChangeAspect="1"/>
            </wp:cNvGraphicFramePr>
            <a:graphic>
              <a:graphicData uri="http://schemas.openxmlformats.org/drawingml/2006/picture">
                <pic:pic>
                  <pic:nvPicPr>
                    <pic:cNvPr id="0" name="12-reports.png"/>
                    <pic:cNvPicPr/>
                  </pic:nvPicPr>
                  <pic:blipFill>
                    <a:blip r:embed="rId20"/>
                    <a:stretch>
                      <a:fillRect/>
                    </a:stretch>
                  </pic:blipFill>
                  <pic:spPr>
                    <a:xfrm>
                      <a:off x="0" y="0"/>
                      <a:ext cx="5669280" cy="3143472"/>
                    </a:xfrm>
                    <a:prstGeom prst="rect"/>
                  </pic:spPr>
                </pic:pic>
              </a:graphicData>
            </a:graphic>
          </wp:inline>
        </w:drawing>
      </w:r>
    </w:p>
    <w:p>
      <w:pPr>
        <w:pStyle w:val="Heading2"/>
      </w:pPr>
      <w:r>
        <w:t>Overview</w:t>
      </w:r>
    </w:p>
    <w:p>
      <w:r>
        <w:t>The Reports module provides comprehensive analytics across policies, claims, and financial metrics. It features interactive charts, date range filtering, and summary metric cards.</w:t>
      </w:r>
    </w:p>
    <w:p>
      <w:pPr>
        <w:pStyle w:val="Heading3"/>
      </w:pPr>
      <w:r>
        <w:t>Report Types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1E3A5F"/>
          </w:tcPr>
          <w:p>
            <w:pPr>
              <w:jc w:val="left"/>
            </w:pPr>
            <w:r>
              <w:rPr>
                <w:rFonts w:ascii="Calibri" w:hAnsi="Calibri"/>
                <w:b/>
                <w:color w:val="FFFFFF"/>
                <w:sz w:val="20"/>
              </w:rPr>
              <w:t>Tab</w:t>
            </w:r>
          </w:p>
        </w:tc>
        <w:tc>
          <w:tcPr>
            <w:tcW w:type="dxa" w:w="3600"/>
            <w:shd w:fill="1E3A5F"/>
          </w:tcPr>
          <w:p>
            <w:pPr>
              <w:jc w:val="left"/>
            </w:pPr>
            <w:r>
              <w:rPr>
                <w:rFonts w:ascii="Calibri" w:hAnsi="Calibri"/>
                <w:b/>
                <w:color w:val="FFFFFF"/>
                <w:sz w:val="20"/>
              </w:rPr>
              <w:t>Reports</w:t>
            </w:r>
          </w:p>
        </w:tc>
        <w:tc>
          <w:tcPr>
            <w:tcW w:type="dxa" w:w="3600"/>
            <w:shd w:fill="1E3A5F"/>
          </w:tcPr>
          <w:p>
            <w:pPr>
              <w:jc w:val="left"/>
            </w:pPr>
            <w:r>
              <w:rPr>
                <w:rFonts w:ascii="Calibri" w:hAnsi="Calibri"/>
                <w:b/>
                <w:color w:val="FFFFFF"/>
                <w:sz w:val="20"/>
              </w:rPr>
              <w:t>Metrics</w:t>
            </w:r>
          </w:p>
        </w:tc>
      </w:tr>
      <w:tr>
        <w:tc>
          <w:tcPr>
            <w:tcW w:type="dxa" w:w="2160"/>
            <w:shd w:fill="FFF7ED"/>
          </w:tcPr>
          <w:p>
            <w:r>
              <w:rPr>
                <w:rFonts w:ascii="Calibri" w:hAnsi="Calibri"/>
                <w:sz w:val="20"/>
              </w:rPr>
              <w:t>Policy Reports</w:t>
            </w:r>
          </w:p>
        </w:tc>
        <w:tc>
          <w:tcPr>
            <w:tcW w:type="dxa" w:w="3600"/>
            <w:shd w:fill="FFF7ED"/>
          </w:tcPr>
          <w:p>
            <w:r>
              <w:rPr>
                <w:rFonts w:ascii="Calibri" w:hAnsi="Calibri"/>
                <w:sz w:val="20"/>
              </w:rPr>
              <w:t>Premium trends, status distribution, type breakdown</w:t>
            </w:r>
          </w:p>
        </w:tc>
        <w:tc>
          <w:tcPr>
            <w:tcW w:type="dxa" w:w="3600"/>
            <w:shd w:fill="FFF7ED"/>
          </w:tcPr>
          <w:p>
            <w:r>
              <w:rPr>
                <w:rFonts w:ascii="Calibri" w:hAnsi="Calibri"/>
                <w:sz w:val="20"/>
              </w:rPr>
              <w:t>Active policies, total premium, avg premium, new policies</w:t>
            </w:r>
          </w:p>
        </w:tc>
      </w:tr>
      <w:tr>
        <w:tc>
          <w:tcPr>
            <w:tcW w:type="dxa" w:w="2160"/>
            <w:shd w:fill="FFFFFF"/>
          </w:tcPr>
          <w:p>
            <w:r>
              <w:rPr>
                <w:rFonts w:ascii="Calibri" w:hAnsi="Calibri"/>
                <w:sz w:val="20"/>
              </w:rPr>
              <w:t>Claims Reports</w:t>
            </w:r>
          </w:p>
        </w:tc>
        <w:tc>
          <w:tcPr>
            <w:tcW w:type="dxa" w:w="3600"/>
            <w:shd w:fill="FFFFFF"/>
          </w:tcPr>
          <w:p>
            <w:r>
              <w:rPr>
                <w:rFonts w:ascii="Calibri" w:hAnsi="Calibri"/>
                <w:sz w:val="20"/>
              </w:rPr>
              <w:t>Claims volume, severity trends, cycle time analysis</w:t>
            </w:r>
          </w:p>
        </w:tc>
        <w:tc>
          <w:tcPr>
            <w:tcW w:type="dxa" w:w="3600"/>
            <w:shd w:fill="FFFFFF"/>
          </w:tcPr>
          <w:p>
            <w:r>
              <w:rPr>
                <w:rFonts w:ascii="Calibri" w:hAnsi="Calibri"/>
                <w:sz w:val="20"/>
              </w:rPr>
              <w:t>Total claims, total paid, avg claim amount, open claims</w:t>
            </w:r>
          </w:p>
        </w:tc>
      </w:tr>
      <w:tr>
        <w:tc>
          <w:tcPr>
            <w:tcW w:type="dxa" w:w="2160"/>
            <w:shd w:fill="FFF7ED"/>
          </w:tcPr>
          <w:p>
            <w:r>
              <w:rPr>
                <w:rFonts w:ascii="Calibri" w:hAnsi="Calibri"/>
                <w:sz w:val="20"/>
              </w:rPr>
              <w:t>Financial Reports</w:t>
            </w:r>
          </w:p>
        </w:tc>
        <w:tc>
          <w:tcPr>
            <w:tcW w:type="dxa" w:w="3600"/>
            <w:shd w:fill="FFF7ED"/>
          </w:tcPr>
          <w:p>
            <w:r>
              <w:rPr>
                <w:rFonts w:ascii="Calibri" w:hAnsi="Calibri"/>
                <w:sz w:val="20"/>
              </w:rPr>
              <w:t>Revenue tracking, loss ratios, expense analysis</w:t>
            </w:r>
          </w:p>
        </w:tc>
        <w:tc>
          <w:tcPr>
            <w:tcW w:type="dxa" w:w="3600"/>
            <w:shd w:fill="FFF7ED"/>
          </w:tcPr>
          <w:p>
            <w:r>
              <w:rPr>
                <w:rFonts w:ascii="Calibri" w:hAnsi="Calibri"/>
                <w:sz w:val="20"/>
              </w:rPr>
              <w:t>Revenue, expenses, net income, loss ratio trend</w:t>
            </w:r>
          </w:p>
        </w:tc>
      </w:tr>
    </w:tbl>
    <w:p>
      <w:pPr>
        <w:pStyle w:val="Heading3"/>
      </w:pPr>
      <w:r>
        <w:t>Date Range Filtering</w:t>
      </w:r>
    </w:p>
    <w:p>
      <w:pPr>
        <w:pStyle w:val="ListBullet"/>
        <w:spacing w:after="60"/>
      </w:pPr>
      <w:r>
        <w:rPr>
          <w:rFonts w:ascii="Calibri" w:hAnsi="Calibri"/>
          <w:sz w:val="20"/>
        </w:rPr>
        <w:t>This Month — Current calendar month data</w:t>
      </w:r>
    </w:p>
    <w:p>
      <w:pPr>
        <w:pStyle w:val="ListBullet"/>
        <w:spacing w:after="60"/>
      </w:pPr>
      <w:r>
        <w:rPr>
          <w:rFonts w:ascii="Calibri" w:hAnsi="Calibri"/>
          <w:sz w:val="20"/>
        </w:rPr>
        <w:t>Last Month — Previous calendar month data</w:t>
      </w:r>
    </w:p>
    <w:p>
      <w:pPr>
        <w:pStyle w:val="ListBullet"/>
        <w:spacing w:after="60"/>
      </w:pPr>
      <w:r>
        <w:rPr>
          <w:rFonts w:ascii="Calibri" w:hAnsi="Calibri"/>
          <w:sz w:val="20"/>
        </w:rPr>
        <w:t>Last Quarter — Previous 3-month quarter</w:t>
      </w:r>
    </w:p>
    <w:p>
      <w:pPr>
        <w:pStyle w:val="ListBullet"/>
        <w:spacing w:after="60"/>
      </w:pPr>
      <w:r>
        <w:rPr>
          <w:rFonts w:ascii="Calibri" w:hAnsi="Calibri"/>
          <w:sz w:val="20"/>
        </w:rPr>
        <w:t>Year-to-Date (YTD) — January 1 through today</w:t>
      </w:r>
    </w:p>
    <w:p>
      <w:pPr>
        <w:pStyle w:val="ListBullet"/>
        <w:spacing w:after="60"/>
      </w:pPr>
      <w:r>
        <w:rPr>
          <w:rFonts w:ascii="Calibri" w:hAnsi="Calibri"/>
          <w:sz w:val="20"/>
        </w:rPr>
        <w:t>Custom Range — Select specific start and end dates</w:t>
      </w:r>
    </w:p>
    <w:p>
      <w:pPr>
        <w:pStyle w:val="Heading3"/>
      </w:pPr>
      <w:r>
        <w:t>Chart Types</w:t>
      </w:r>
    </w:p>
    <w:p>
      <w:pPr>
        <w:pStyle w:val="ListBullet"/>
        <w:spacing w:after="60"/>
      </w:pPr>
      <w:r>
        <w:rPr>
          <w:rFonts w:ascii="Calibri" w:hAnsi="Calibri"/>
          <w:sz w:val="20"/>
        </w:rPr>
        <w:t>Vertical Bar Charts — Policy counts, premium trends (orange bars)</w:t>
      </w:r>
    </w:p>
    <w:p>
      <w:pPr>
        <w:pStyle w:val="ListBullet"/>
        <w:spacing w:after="60"/>
      </w:pPr>
      <w:r>
        <w:rPr>
          <w:rFonts w:ascii="Calibri" w:hAnsi="Calibri"/>
          <w:sz w:val="20"/>
        </w:rPr>
        <w:t>Pie / Donut Charts — Distribution charts for types, statuses, risk levels</w:t>
      </w:r>
    </w:p>
    <w:p>
      <w:pPr>
        <w:pStyle w:val="ListBullet"/>
        <w:spacing w:after="60"/>
      </w:pPr>
      <w:r>
        <w:rPr>
          <w:rFonts w:ascii="Calibri" w:hAnsi="Calibri"/>
          <w:sz w:val="20"/>
        </w:rPr>
        <w:t>Horizontal Bar Charts — Claims by status comparison</w:t>
      </w:r>
    </w:p>
    <w:p>
      <w:pPr>
        <w:pStyle w:val="ListBullet"/>
        <w:spacing w:after="60"/>
      </w:pPr>
      <w:r>
        <w:rPr>
          <w:rFonts w:ascii="Calibri" w:hAnsi="Calibri"/>
          <w:sz w:val="20"/>
        </w:rPr>
        <w:t>Summary Cards — Key metrics with trend indicators</w:t>
      </w:r>
    </w:p>
    <w:p>
      <w:r>
        <w:br w:type="page"/>
      </w:r>
    </w:p>
    <w:p>
      <w:pPr>
        <w:pStyle w:val="Heading1"/>
      </w:pPr>
      <w:r>
        <w:t>13. Administration &amp; User Management</w:t>
      </w:r>
    </w:p>
    <w:p>
      <w:pPr>
        <w:jc w:val="center"/>
      </w:pPr>
      <w:r>
        <w:drawing>
          <wp:inline xmlns:a="http://schemas.openxmlformats.org/drawingml/2006/main" xmlns:pic="http://schemas.openxmlformats.org/drawingml/2006/picture">
            <wp:extent cx="5669280" cy="3143472"/>
            <wp:docPr id="13" name="Picture 13"/>
            <wp:cNvGraphicFramePr>
              <a:graphicFrameLocks noChangeAspect="1"/>
            </wp:cNvGraphicFramePr>
            <a:graphic>
              <a:graphicData uri="http://schemas.openxmlformats.org/drawingml/2006/picture">
                <pic:pic>
                  <pic:nvPicPr>
                    <pic:cNvPr id="0" name="13-admin.png"/>
                    <pic:cNvPicPr/>
                  </pic:nvPicPr>
                  <pic:blipFill>
                    <a:blip r:embed="rId21"/>
                    <a:stretch>
                      <a:fillRect/>
                    </a:stretch>
                  </pic:blipFill>
                  <pic:spPr>
                    <a:xfrm>
                      <a:off x="0" y="0"/>
                      <a:ext cx="5669280" cy="3143472"/>
                    </a:xfrm>
                    <a:prstGeom prst="rect"/>
                  </pic:spPr>
                </pic:pic>
              </a:graphicData>
            </a:graphic>
          </wp:inline>
        </w:drawing>
      </w:r>
    </w:p>
    <w:p>
      <w:pPr>
        <w:pStyle w:val="Heading2"/>
      </w:pPr>
      <w:r>
        <w:t>Overview</w:t>
      </w:r>
    </w:p>
    <w:p>
      <w:r>
        <w:t>The Administration module provides user management, role-based access control, and system-wide audit logging. Only Admin-role users have access to this module.</w:t>
      </w:r>
    </w:p>
    <w:p>
      <w:pPr>
        <w:pStyle w:val="Heading3"/>
      </w:pPr>
      <w:r>
        <w:t>User Management</w:t>
      </w:r>
    </w:p>
    <w:p>
      <w:pPr>
        <w:pStyle w:val="ListBullet"/>
        <w:spacing w:after="60"/>
      </w:pPr>
      <w:r>
        <w:rPr>
          <w:rFonts w:ascii="Calibri" w:hAnsi="Calibri"/>
          <w:sz w:val="20"/>
        </w:rPr>
        <w:t>User Table — Name, Email, Role, Status, Last Active, Actions columns</w:t>
      </w:r>
    </w:p>
    <w:p>
      <w:pPr>
        <w:pStyle w:val="ListBullet"/>
        <w:spacing w:after="60"/>
      </w:pPr>
      <w:r>
        <w:rPr>
          <w:rFonts w:ascii="Calibri" w:hAnsi="Calibri"/>
          <w:sz w:val="20"/>
        </w:rPr>
        <w:t>Add User — Create new user accounts with role assignment</w:t>
      </w:r>
    </w:p>
    <w:p>
      <w:pPr>
        <w:pStyle w:val="ListBullet"/>
        <w:spacing w:after="60"/>
      </w:pPr>
      <w:r>
        <w:rPr>
          <w:rFonts w:ascii="Calibri" w:hAnsi="Calibri"/>
          <w:sz w:val="20"/>
        </w:rPr>
        <w:t>Edit User — Modify user profile, change roles, update permissions</w:t>
      </w:r>
    </w:p>
    <w:p>
      <w:pPr>
        <w:pStyle w:val="ListBullet"/>
        <w:spacing w:after="60"/>
      </w:pPr>
      <w:r>
        <w:rPr>
          <w:rFonts w:ascii="Calibri" w:hAnsi="Calibri"/>
          <w:sz w:val="20"/>
        </w:rPr>
        <w:t>Activate/Deactivate — Enable or disable user accounts</w:t>
      </w:r>
    </w:p>
    <w:p>
      <w:pPr>
        <w:pStyle w:val="ListBullet"/>
        <w:spacing w:after="60"/>
      </w:pPr>
      <w:r>
        <w:rPr>
          <w:rFonts w:ascii="Calibri" w:hAnsi="Calibri"/>
          <w:sz w:val="20"/>
        </w:rPr>
        <w:t>Color-coded Role Badges — Visual role identification at a glance</w:t>
      </w:r>
    </w:p>
    <w:p>
      <w:pPr>
        <w:pStyle w:val="ListBullet"/>
        <w:spacing w:after="60"/>
      </w:pPr>
      <w:r>
        <w:rPr>
          <w:rFonts w:ascii="Calibri" w:hAnsi="Calibri"/>
          <w:sz w:val="20"/>
        </w:rPr>
        <w:t>Search — Find users by name, email, or role</w:t>
      </w:r>
    </w:p>
    <w:p>
      <w:pPr>
        <w:pStyle w:val="Heading3"/>
      </w:pPr>
      <w:r>
        <w:t>Audit Logging</w:t>
      </w:r>
    </w:p>
    <w:p>
      <w:r>
        <w:t>Every administrative action is logged with: User who performed the action, timestamp, action type, affected entity, and before/after values for data changes. The audit log is immutable and accessible only to Admin roles.</w:t>
      </w:r>
    </w:p>
    <w:p>
      <w:r>
        <w:br w:type="page"/>
      </w:r>
    </w:p>
    <w:p>
      <w:pPr>
        <w:pStyle w:val="Heading1"/>
      </w:pPr>
      <w:r>
        <w:t>14. Compliance Management</w:t>
      </w:r>
    </w:p>
    <w:p>
      <w:pPr>
        <w:jc w:val="center"/>
      </w:pPr>
      <w:r>
        <w:drawing>
          <wp:inline xmlns:a="http://schemas.openxmlformats.org/drawingml/2006/main" xmlns:pic="http://schemas.openxmlformats.org/drawingml/2006/picture">
            <wp:extent cx="5669280" cy="3143472"/>
            <wp:docPr id="14" name="Picture 14"/>
            <wp:cNvGraphicFramePr>
              <a:graphicFrameLocks noChangeAspect="1"/>
            </wp:cNvGraphicFramePr>
            <a:graphic>
              <a:graphicData uri="http://schemas.openxmlformats.org/drawingml/2006/picture">
                <pic:pic>
                  <pic:nvPicPr>
                    <pic:cNvPr id="0" name="14-compliance.png"/>
                    <pic:cNvPicPr/>
                  </pic:nvPicPr>
                  <pic:blipFill>
                    <a:blip r:embed="rId22"/>
                    <a:stretch>
                      <a:fillRect/>
                    </a:stretch>
                  </pic:blipFill>
                  <pic:spPr>
                    <a:xfrm>
                      <a:off x="0" y="0"/>
                      <a:ext cx="5669280" cy="3143472"/>
                    </a:xfrm>
                    <a:prstGeom prst="rect"/>
                  </pic:spPr>
                </pic:pic>
              </a:graphicData>
            </a:graphic>
          </wp:inline>
        </w:drawing>
      </w:r>
    </w:p>
    <w:p>
      <w:pPr>
        <w:pStyle w:val="Heading2"/>
      </w:pPr>
      <w:r>
        <w:t>Overview</w:t>
      </w:r>
    </w:p>
    <w:p>
      <w:r>
        <w:t>The Compliance Management module tracks regulatory requirements, filing deadlines, and audit findings. It ensures the organization maintains compliance with IRDAI regulations and internal governance standards.</w:t>
      </w:r>
    </w:p>
    <w:p>
      <w:pPr>
        <w:pStyle w:val="Heading3"/>
      </w:pPr>
      <w:r>
        <w:t>Compliance Tracking</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1E3A5F"/>
          </w:tcPr>
          <w:p>
            <w:pPr>
              <w:jc w:val="left"/>
            </w:pPr>
            <w:r>
              <w:rPr>
                <w:rFonts w:ascii="Calibri" w:hAnsi="Calibri"/>
                <w:b/>
                <w:color w:val="FFFFFF"/>
                <w:sz w:val="20"/>
              </w:rPr>
              <w:t>Status</w:t>
            </w:r>
          </w:p>
        </w:tc>
        <w:tc>
          <w:tcPr>
            <w:tcW w:type="dxa" w:w="2160"/>
            <w:shd w:fill="1E3A5F"/>
          </w:tcPr>
          <w:p>
            <w:pPr>
              <w:jc w:val="left"/>
            </w:pPr>
            <w:r>
              <w:rPr>
                <w:rFonts w:ascii="Calibri" w:hAnsi="Calibri"/>
                <w:b/>
                <w:color w:val="FFFFFF"/>
                <w:sz w:val="20"/>
              </w:rPr>
              <w:t>Badge Color</w:t>
            </w:r>
          </w:p>
        </w:tc>
        <w:tc>
          <w:tcPr>
            <w:tcW w:type="dxa" w:w="5040"/>
            <w:shd w:fill="1E3A5F"/>
          </w:tcPr>
          <w:p>
            <w:pPr>
              <w:jc w:val="left"/>
            </w:pPr>
            <w:r>
              <w:rPr>
                <w:rFonts w:ascii="Calibri" w:hAnsi="Calibri"/>
                <w:b/>
                <w:color w:val="FFFFFF"/>
                <w:sz w:val="20"/>
              </w:rPr>
              <w:t>Meaning</w:t>
            </w:r>
          </w:p>
        </w:tc>
      </w:tr>
      <w:tr>
        <w:tc>
          <w:tcPr>
            <w:tcW w:type="dxa" w:w="2160"/>
            <w:shd w:fill="FFF7ED"/>
          </w:tcPr>
          <w:p>
            <w:r>
              <w:rPr>
                <w:rFonts w:ascii="Calibri" w:hAnsi="Calibri"/>
                <w:sz w:val="20"/>
              </w:rPr>
              <w:t>Compliant</w:t>
            </w:r>
          </w:p>
        </w:tc>
        <w:tc>
          <w:tcPr>
            <w:tcW w:type="dxa" w:w="2160"/>
            <w:shd w:fill="FFF7ED"/>
          </w:tcPr>
          <w:p>
            <w:r>
              <w:rPr>
                <w:rFonts w:ascii="Calibri" w:hAnsi="Calibri"/>
                <w:sz w:val="20"/>
              </w:rPr>
              <w:t>Green</w:t>
            </w:r>
          </w:p>
        </w:tc>
        <w:tc>
          <w:tcPr>
            <w:tcW w:type="dxa" w:w="5040"/>
            <w:shd w:fill="FFF7ED"/>
          </w:tcPr>
          <w:p>
            <w:r>
              <w:rPr>
                <w:rFonts w:ascii="Calibri" w:hAnsi="Calibri"/>
                <w:sz w:val="20"/>
              </w:rPr>
              <w:t>Requirement is fully met with documentation</w:t>
            </w:r>
          </w:p>
        </w:tc>
      </w:tr>
      <w:tr>
        <w:tc>
          <w:tcPr>
            <w:tcW w:type="dxa" w:w="2160"/>
            <w:shd w:fill="FFFFFF"/>
          </w:tcPr>
          <w:p>
            <w:r>
              <w:rPr>
                <w:rFonts w:ascii="Calibri" w:hAnsi="Calibri"/>
                <w:sz w:val="20"/>
              </w:rPr>
              <w:t>Non-Compliant</w:t>
            </w:r>
          </w:p>
        </w:tc>
        <w:tc>
          <w:tcPr>
            <w:tcW w:type="dxa" w:w="2160"/>
            <w:shd w:fill="FFFFFF"/>
          </w:tcPr>
          <w:p>
            <w:r>
              <w:rPr>
                <w:rFonts w:ascii="Calibri" w:hAnsi="Calibri"/>
                <w:sz w:val="20"/>
              </w:rPr>
              <w:t>Red</w:t>
            </w:r>
          </w:p>
        </w:tc>
        <w:tc>
          <w:tcPr>
            <w:tcW w:type="dxa" w:w="5040"/>
            <w:shd w:fill="FFFFFF"/>
          </w:tcPr>
          <w:p>
            <w:r>
              <w:rPr>
                <w:rFonts w:ascii="Calibri" w:hAnsi="Calibri"/>
                <w:sz w:val="20"/>
              </w:rPr>
              <w:t>Requirement not met — action required</w:t>
            </w:r>
          </w:p>
        </w:tc>
      </w:tr>
      <w:tr>
        <w:tc>
          <w:tcPr>
            <w:tcW w:type="dxa" w:w="2160"/>
            <w:shd w:fill="FFF7ED"/>
          </w:tcPr>
          <w:p>
            <w:r>
              <w:rPr>
                <w:rFonts w:ascii="Calibri" w:hAnsi="Calibri"/>
                <w:sz w:val="20"/>
              </w:rPr>
              <w:t>Under Review</w:t>
            </w:r>
          </w:p>
        </w:tc>
        <w:tc>
          <w:tcPr>
            <w:tcW w:type="dxa" w:w="2160"/>
            <w:shd w:fill="FFF7ED"/>
          </w:tcPr>
          <w:p>
            <w:r>
              <w:rPr>
                <w:rFonts w:ascii="Calibri" w:hAnsi="Calibri"/>
                <w:sz w:val="20"/>
              </w:rPr>
              <w:t>Yellow</w:t>
            </w:r>
          </w:p>
        </w:tc>
        <w:tc>
          <w:tcPr>
            <w:tcW w:type="dxa" w:w="5040"/>
            <w:shd w:fill="FFF7ED"/>
          </w:tcPr>
          <w:p>
            <w:r>
              <w:rPr>
                <w:rFonts w:ascii="Calibri" w:hAnsi="Calibri"/>
                <w:sz w:val="20"/>
              </w:rPr>
              <w:t>Compliance review in progress</w:t>
            </w:r>
          </w:p>
        </w:tc>
      </w:tr>
      <w:tr>
        <w:tc>
          <w:tcPr>
            <w:tcW w:type="dxa" w:w="2160"/>
            <w:shd w:fill="FFFFFF"/>
          </w:tcPr>
          <w:p>
            <w:r>
              <w:rPr>
                <w:rFonts w:ascii="Calibri" w:hAnsi="Calibri"/>
                <w:sz w:val="20"/>
              </w:rPr>
              <w:t>Due</w:t>
            </w:r>
          </w:p>
        </w:tc>
        <w:tc>
          <w:tcPr>
            <w:tcW w:type="dxa" w:w="2160"/>
            <w:shd w:fill="FFFFFF"/>
          </w:tcPr>
          <w:p>
            <w:r>
              <w:rPr>
                <w:rFonts w:ascii="Calibri" w:hAnsi="Calibri"/>
                <w:sz w:val="20"/>
              </w:rPr>
              <w:t>Orange</w:t>
            </w:r>
          </w:p>
        </w:tc>
        <w:tc>
          <w:tcPr>
            <w:tcW w:type="dxa" w:w="5040"/>
            <w:shd w:fill="FFFFFF"/>
          </w:tcPr>
          <w:p>
            <w:r>
              <w:rPr>
                <w:rFonts w:ascii="Calibri" w:hAnsi="Calibri"/>
                <w:sz w:val="20"/>
              </w:rPr>
              <w:t>Upcoming deadline — attention needed</w:t>
            </w:r>
          </w:p>
        </w:tc>
      </w:tr>
    </w:tbl>
    <w:p>
      <w:pPr>
        <w:pStyle w:val="Heading3"/>
      </w:pPr>
      <w:r>
        <w:t>Features</w:t>
      </w:r>
    </w:p>
    <w:p>
      <w:pPr>
        <w:pStyle w:val="ListBullet"/>
        <w:spacing w:after="60"/>
      </w:pPr>
      <w:r>
        <w:rPr>
          <w:rFonts w:ascii="Calibri" w:hAnsi="Calibri"/>
          <w:sz w:val="20"/>
        </w:rPr>
        <w:t>Regulatory requirements tracker with status indicators</w:t>
      </w:r>
    </w:p>
    <w:p>
      <w:pPr>
        <w:pStyle w:val="ListBullet"/>
        <w:spacing w:after="60"/>
      </w:pPr>
      <w:r>
        <w:rPr>
          <w:rFonts w:ascii="Calibri" w:hAnsi="Calibri"/>
          <w:sz w:val="20"/>
        </w:rPr>
        <w:t>Compliance calendar with upcoming regulatory deadlines</w:t>
      </w:r>
    </w:p>
    <w:p>
      <w:pPr>
        <w:pStyle w:val="ListBullet"/>
        <w:spacing w:after="60"/>
      </w:pPr>
      <w:r>
        <w:rPr>
          <w:rFonts w:ascii="Calibri" w:hAnsi="Calibri"/>
          <w:sz w:val="20"/>
        </w:rPr>
        <w:t>Alert system for approaching and missed deadlines</w:t>
      </w:r>
    </w:p>
    <w:p>
      <w:pPr>
        <w:pStyle w:val="ListBullet"/>
        <w:spacing w:after="60"/>
      </w:pPr>
      <w:r>
        <w:rPr>
          <w:rFonts w:ascii="Calibri" w:hAnsi="Calibri"/>
          <w:sz w:val="20"/>
        </w:rPr>
        <w:t>IRDAI regulatory filing status and submission tracking</w:t>
      </w:r>
    </w:p>
    <w:p>
      <w:pPr>
        <w:pStyle w:val="ListBullet"/>
        <w:spacing w:after="60"/>
      </w:pPr>
      <w:r>
        <w:rPr>
          <w:rFonts w:ascii="Calibri" w:hAnsi="Calibri"/>
          <w:sz w:val="20"/>
        </w:rPr>
        <w:t>SOC 2 compliance documentation management</w:t>
      </w:r>
    </w:p>
    <w:p>
      <w:pPr>
        <w:pStyle w:val="ListBullet"/>
        <w:spacing w:after="60"/>
      </w:pPr>
      <w:r>
        <w:rPr>
          <w:rFonts w:ascii="Calibri" w:hAnsi="Calibri"/>
          <w:sz w:val="20"/>
        </w:rPr>
        <w:t>Compliance report generation for internal and external audits</w:t>
      </w:r>
    </w:p>
    <w:p>
      <w:pPr>
        <w:pStyle w:val="ListBullet"/>
        <w:spacing w:after="60"/>
      </w:pPr>
      <w:r>
        <w:rPr>
          <w:rFonts w:ascii="Calibri" w:hAnsi="Calibri"/>
          <w:sz w:val="20"/>
        </w:rPr>
        <w:t>Complete audit trail for all compliance-related actions</w:t>
      </w:r>
    </w:p>
    <w:p>
      <w:r>
        <w:br w:type="page"/>
      </w:r>
    </w:p>
    <w:p>
      <w:pPr>
        <w:pStyle w:val="Heading1"/>
      </w:pPr>
      <w:r>
        <w:t xml:space="preserve">15. Service Desk (QDE)</w:t>
      </w:r>
    </w:p>
    <w:p>
      <w:r>
        <w:t xml:space="preserve"/>
      </w:r>
    </w:p>
    <w:p>
      <w:pPr>
        <w:pStyle w:val="Heading2"/>
      </w:pPr>
      <w:r>
        <w:t xml:space="preserve">Overview</w:t>
      </w:r>
    </w:p>
    <w:p>
      <w:r>
        <w:t xml:space="preserve">The Service Desk module provides Quick Data Entry (QDE) for new loan/guarantee applications. It features a multi-step wizard for capturing applicant and loan information, auto-allocation of applications to underwriters, and a searchable application queue.</w:t>
      </w:r>
    </w:p>
    <w:p>
      <w:pPr>
        <w:pStyle w:val="Heading3"/>
      </w:pPr>
      <w:r>
        <w:t xml:space="preserve">Key Features</w:t>
      </w:r>
    </w:p>
    <w:p>
      <w:pPr>
        <w:pStyle w:val="ListBullet"/>
        <w:spacing w:after="60"/>
      </w:pPr>
      <w:r>
        <w:rPr>
          <w:rFonts w:ascii="Calibri" w:hAnsi="Calibri"/>
          <w:sz w:val="20"/>
        </w:rPr>
        <w:t xml:space="preserve">5-step application wizard: Loan Basic → Applicant Details → Loan Characteristics → Obligations → Verification</w:t>
      </w:r>
    </w:p>
    <w:p>
      <w:pPr>
        <w:pStyle w:val="ListBullet"/>
        <w:spacing w:after="60"/>
      </w:pPr>
      <w:r>
        <w:rPr>
          <w:rFonts w:ascii="Calibri" w:hAnsi="Calibri"/>
          <w:sz w:val="20"/>
        </w:rPr>
        <w:t xml:space="preserve">Auto-allocation engine for assigning applications to underwriters</w:t>
      </w:r>
    </w:p>
    <w:p>
      <w:pPr>
        <w:pStyle w:val="ListBullet"/>
        <w:spacing w:after="60"/>
      </w:pPr>
      <w:r>
        <w:rPr>
          <w:rFonts w:ascii="Calibri" w:hAnsi="Calibri"/>
          <w:sz w:val="20"/>
        </w:rPr>
        <w:t xml:space="preserve">QDE search with status, lender, and date filters</w:t>
      </w:r>
    </w:p>
    <w:p>
      <w:pPr>
        <w:pStyle w:val="ListBullet"/>
        <w:spacing w:after="60"/>
      </w:pPr>
      <w:r>
        <w:rPr>
          <w:rFonts w:ascii="Calibri" w:hAnsi="Calibri"/>
          <w:sz w:val="20"/>
        </w:rPr>
        <w:t xml:space="preserve">User dashboard showing personal queue and pending items</w:t>
      </w:r>
    </w:p>
    <w:p>
      <w:pPr>
        <w:pStyle w:val="ListBullet"/>
        <w:spacing w:after="60"/>
      </w:pPr>
      <w:r>
        <w:rPr>
          <w:rFonts w:ascii="Calibri" w:hAnsi="Calibri"/>
          <w:sz w:val="20"/>
        </w:rPr>
        <w:t xml:space="preserve">Draft auto-save with timestamp indicator</w:t>
      </w:r>
    </w:p>
    <w:p>
      <w:pPr>
        <w:pStyle w:val="ListBullet"/>
        <w:spacing w:after="60"/>
      </w:pPr>
      <w:r>
        <w:rPr>
          <w:rFonts w:ascii="Calibri" w:hAnsi="Calibri"/>
          <w:sz w:val="20"/>
        </w:rPr>
        <w:t xml:space="preserve">Visual workflow progress bar: QDE → DDE → Underwriting → Decision → Issuance</w:t>
      </w:r>
    </w:p>
    <w:p>
      <w:r>
        <w:t xml:space="preserve"/>
      </w:r>
    </w:p>
    <w:p>
      <w:pPr>
        <w:pStyle w:val="Heading1"/>
      </w:pPr>
      <w:r>
        <w:t xml:space="preserve">16. DDE (Detailed Data Entry)</w:t>
      </w:r>
    </w:p>
    <w:p>
      <w:r>
        <w:t xml:space="preserve"/>
      </w:r>
    </w:p>
    <w:p>
      <w:pPr>
        <w:pStyle w:val="Heading2"/>
      </w:pPr>
      <w:r>
        <w:t xml:space="preserve">Overview</w:t>
      </w:r>
    </w:p>
    <w:p>
      <w:r>
        <w:t xml:space="preserve">The DDE module provides a comprehensive workspace for detailed data entry on loan applications. It includes key metric cards, a 6-tab data entry interface, document verification, and eligibility calculation.</w:t>
      </w:r>
    </w:p>
    <w:p>
      <w:pPr>
        <w:pStyle w:val="Heading3"/>
      </w:pPr>
      <w:r>
        <w:t xml:space="preserve">Key Features</w:t>
      </w:r>
    </w:p>
    <w:p>
      <w:pPr>
        <w:pStyle w:val="ListBullet"/>
        <w:spacing w:after="60"/>
      </w:pPr>
      <w:r>
        <w:rPr>
          <w:rFonts w:ascii="Calibri" w:hAnsi="Calibri"/>
          <w:sz w:val="20"/>
        </w:rPr>
        <w:t xml:space="preserve">Loan header bar with key identifiers (Loan ID, Lender, Deal ID, Employment Type, Outstanding)</w:t>
      </w:r>
    </w:p>
    <w:p>
      <w:pPr>
        <w:pStyle w:val="ListBullet"/>
        <w:spacing w:after="60"/>
      </w:pPr>
      <w:r>
        <w:rPr>
          <w:rFonts w:ascii="Calibri" w:hAnsi="Calibri"/>
          <w:sz w:val="20"/>
        </w:rPr>
        <w:t xml:space="preserve">4 metric cards: LTV ratio, FOIR, CIBIL Score, EMI/NMI ratio with status icons</w:t>
      </w:r>
    </w:p>
    <w:p>
      <w:pPr>
        <w:pStyle w:val="ListBullet"/>
        <w:spacing w:after="60"/>
      </w:pPr>
      <w:r>
        <w:rPr>
          <w:rFonts w:ascii="Calibri" w:hAnsi="Calibri"/>
          <w:sz w:val="20"/>
        </w:rPr>
        <w:t xml:space="preserve">6-tab data entry: Loan Chars, General Data, Employment, Income Details, Banking, Obligations</w:t>
      </w:r>
    </w:p>
    <w:p>
      <w:pPr>
        <w:pStyle w:val="ListBullet"/>
        <w:spacing w:after="60"/>
      </w:pPr>
      <w:r>
        <w:rPr>
          <w:rFonts w:ascii="Calibri" w:hAnsi="Calibri"/>
          <w:sz w:val="20"/>
        </w:rPr>
        <w:t xml:space="preserve">Documents sidebar with per-document Approved/Pending status checklist</w:t>
      </w:r>
    </w:p>
    <w:p>
      <w:pPr>
        <w:pStyle w:val="ListBullet"/>
        <w:spacing w:after="60"/>
      </w:pPr>
      <w:r>
        <w:rPr>
          <w:rFonts w:ascii="Calibri" w:hAnsi="Calibri"/>
          <w:sz w:val="20"/>
        </w:rPr>
        <w:t xml:space="preserve">Eligibility sidebar showing Max Eligible, Applied, and Buffer amounts</w:t>
      </w:r>
    </w:p>
    <w:p>
      <w:pPr>
        <w:pStyle w:val="ListBullet"/>
        <w:spacing w:after="60"/>
      </w:pPr>
      <w:r>
        <w:rPr>
          <w:rFonts w:ascii="Calibri" w:hAnsi="Calibri"/>
          <w:sz w:val="20"/>
        </w:rPr>
        <w:t xml:space="preserve">Remarks/Case Notes textarea with save functionality</w:t>
      </w:r>
    </w:p>
    <w:p>
      <w:pPr>
        <w:pStyle w:val="ListBullet"/>
        <w:spacing w:after="60"/>
      </w:pPr>
      <w:r>
        <w:rPr>
          <w:rFonts w:ascii="Calibri" w:hAnsi="Calibri"/>
          <w:sz w:val="20"/>
        </w:rPr>
        <w:t xml:space="preserve">Sticky footer with Save and Submit to Underwriting action buttons</w:t>
      </w:r>
    </w:p>
    <w:p>
      <w:r>
        <w:t xml:space="preserve"/>
      </w:r>
    </w:p>
    <w:p>
      <w:pPr>
        <w:pStyle w:val="Heading1"/>
      </w:pPr>
      <w:r>
        <w:t xml:space="preserve">17. Finance</w:t>
      </w:r>
    </w:p>
    <w:p>
      <w:r>
        <w:t xml:space="preserve"/>
      </w:r>
    </w:p>
    <w:p>
      <w:pPr>
        <w:pStyle w:val="Heading2"/>
      </w:pPr>
      <w:r>
        <w:t xml:space="preserve">Overview</w:t>
      </w:r>
    </w:p>
    <w:p>
      <w:r>
        <w:t xml:space="preserve">The Finance module manages invoicing, payment tracking, and bank reconciliation for mortgage guarantee operations. It provides KPI dashboards and multi-tab interfaces for financial management.</w:t>
      </w:r>
    </w:p>
    <w:p>
      <w:pPr>
        <w:pStyle w:val="Heading3"/>
      </w:pPr>
      <w:r>
        <w:t xml:space="preserve">Key Features</w:t>
      </w:r>
    </w:p>
    <w:p>
      <w:pPr>
        <w:pStyle w:val="ListBullet"/>
        <w:spacing w:after="60"/>
      </w:pPr>
      <w:r>
        <w:rPr>
          <w:rFonts w:ascii="Calibri" w:hAnsi="Calibri"/>
          <w:sz w:val="20"/>
        </w:rPr>
        <w:t xml:space="preserve">4 KPI cards: Total Revenue, Outstanding, Collected, Reconciled percentage</w:t>
      </w:r>
    </w:p>
    <w:p>
      <w:pPr>
        <w:pStyle w:val="ListBullet"/>
        <w:spacing w:after="60"/>
      </w:pPr>
      <w:r>
        <w:rPr>
          <w:rFonts w:ascii="Calibri" w:hAnsi="Calibri"/>
          <w:sz w:val="20"/>
        </w:rPr>
        <w:t xml:space="preserve">Invoices tab: Invoice table with ID, Lender, Deal, Type, Amount, Status, Date</w:t>
      </w:r>
    </w:p>
    <w:p>
      <w:pPr>
        <w:pStyle w:val="ListBullet"/>
        <w:spacing w:after="60"/>
      </w:pPr>
      <w:r>
        <w:rPr>
          <w:rFonts w:ascii="Calibri" w:hAnsi="Calibri"/>
          <w:sz w:val="20"/>
        </w:rPr>
        <w:t xml:space="preserve">Payments tab: Payment records with method, reference, and status tracking</w:t>
      </w:r>
    </w:p>
    <w:p>
      <w:pPr>
        <w:pStyle w:val="ListBullet"/>
        <w:spacing w:after="60"/>
      </w:pPr>
      <w:r>
        <w:rPr>
          <w:rFonts w:ascii="Calibri" w:hAnsi="Calibri"/>
          <w:sz w:val="20"/>
        </w:rPr>
        <w:t xml:space="preserve">Reconciliation tab: Bank reconciliation with match status and variance tracking</w:t>
      </w:r>
    </w:p>
    <w:p>
      <w:pPr>
        <w:pStyle w:val="ListBullet"/>
        <w:spacing w:after="60"/>
      </w:pPr>
      <w:r>
        <w:rPr>
          <w:rFonts w:ascii="Calibri" w:hAnsi="Calibri"/>
          <w:sz w:val="20"/>
        </w:rPr>
        <w:t xml:space="preserve">Generate Invoice action button for new invoice creation</w:t>
      </w:r>
    </w:p>
    <w:p>
      <w:r>
        <w:t xml:space="preserve"/>
      </w:r>
    </w:p>
    <w:p>
      <w:pPr>
        <w:pStyle w:val="Heading1"/>
      </w:pPr>
      <w:r>
        <w:t xml:space="preserve">18. Servicing</w:t>
      </w:r>
    </w:p>
    <w:p>
      <w:r>
        <w:t xml:space="preserve"/>
      </w:r>
    </w:p>
    <w:p>
      <w:pPr>
        <w:pStyle w:val="Heading2"/>
      </w:pPr>
      <w:r>
        <w:t xml:space="preserve">Overview</w:t>
      </w:r>
    </w:p>
    <w:p>
      <w:r>
        <w:t xml:space="preserve">The Servicing module handles loan servicing data management including bulk file uploads, NPA (Non-Performing Asset) tracking, delinquency monitoring, and premium payment verification.</w:t>
      </w:r>
    </w:p>
    <w:p>
      <w:pPr>
        <w:pStyle w:val="Heading3"/>
      </w:pPr>
      <w:r>
        <w:t xml:space="preserve">Key Features</w:t>
      </w:r>
    </w:p>
    <w:p>
      <w:pPr>
        <w:pStyle w:val="ListBullet"/>
        <w:spacing w:after="60"/>
      </w:pPr>
      <w:r>
        <w:rPr>
          <w:rFonts w:ascii="Calibri" w:hAnsi="Calibri"/>
          <w:sz w:val="20"/>
        </w:rPr>
        <w:t xml:space="preserve">File Upload tab: Servicing file upload with Lender Name, Month, Batch ID, and file selector</w:t>
      </w:r>
    </w:p>
    <w:p>
      <w:pPr>
        <w:pStyle w:val="ListBullet"/>
        <w:spacing w:after="60"/>
      </w:pPr>
      <w:r>
        <w:rPr>
          <w:rFonts w:ascii="Calibri" w:hAnsi="Calibri"/>
          <w:sz w:val="20"/>
        </w:rPr>
        <w:t xml:space="preserve">NPA Tracking tab: Non-Performing Asset tracking with classification and provisioning</w:t>
      </w:r>
    </w:p>
    <w:p>
      <w:pPr>
        <w:pStyle w:val="ListBullet"/>
        <w:spacing w:after="60"/>
      </w:pPr>
      <w:r>
        <w:rPr>
          <w:rFonts w:ascii="Calibri" w:hAnsi="Calibri"/>
          <w:sz w:val="20"/>
        </w:rPr>
        <w:t xml:space="preserve">Delinquency tab: Delinquency metrics with DPD (Days Past Due) buckets and trends</w:t>
      </w:r>
    </w:p>
    <w:p>
      <w:pPr>
        <w:pStyle w:val="ListBullet"/>
        <w:spacing w:after="60"/>
      </w:pPr>
      <w:r>
        <w:rPr>
          <w:rFonts w:ascii="Calibri" w:hAnsi="Calibri"/>
          <w:sz w:val="20"/>
        </w:rPr>
        <w:t xml:space="preserve">Data Analysis tab: Uploaded file analysis results with validation status</w:t>
      </w:r>
    </w:p>
    <w:p>
      <w:pPr>
        <w:pStyle w:val="ListBullet"/>
        <w:spacing w:after="60"/>
      </w:pPr>
      <w:r>
        <w:rPr>
          <w:rFonts w:ascii="Calibri" w:hAnsi="Calibri"/>
          <w:sz w:val="20"/>
        </w:rPr>
        <w:t xml:space="preserve">Premium Check tab: Premium payment verification and status monitoring</w:t>
      </w:r>
    </w:p>
    <w:p>
      <w:r>
        <w:t xml:space="preserve"/>
      </w:r>
    </w:p>
    <w:p>
      <w:pPr>
        <w:pStyle w:val="Heading1"/>
      </w:pPr>
      <w:r>
        <w:t xml:space="preserve">19. Master Setup</w:t>
      </w:r>
    </w:p>
    <w:p>
      <w:r>
        <w:t xml:space="preserve"/>
      </w:r>
    </w:p>
    <w:p>
      <w:pPr>
        <w:pStyle w:val="Heading2"/>
      </w:pPr>
      <w:r>
        <w:t xml:space="preserve">Overview</w:t>
      </w:r>
    </w:p>
    <w:p>
      <w:r>
        <w:t xml:space="preserve">The Master Setup module provides a centralized configuration hub with 14 configuration areas for managing system-wide settings, master data, and operational parameters.</w:t>
      </w:r>
    </w:p>
    <w:p>
      <w:pPr>
        <w:pStyle w:val="Heading3"/>
      </w:pPr>
      <w:r>
        <w:t xml:space="preserve">Configuration Cards</w:t>
      </w:r>
    </w:p>
    <w:p>
      <w:pPr>
        <w:pStyle w:val="ListBullet"/>
        <w:spacing w:after="60"/>
      </w:pPr>
      <w:r>
        <w:rPr>
          <w:rFonts w:ascii="Calibri" w:hAnsi="Calibri"/>
          <w:sz w:val="20"/>
        </w:rPr>
        <w:t xml:space="preserve">Lender Setup, Deal Setup, Scheme Setup, Pricing Upload</w:t>
      </w:r>
    </w:p>
    <w:p>
      <w:pPr>
        <w:pStyle w:val="ListBullet"/>
        <w:spacing w:after="60"/>
      </w:pPr>
      <w:r>
        <w:rPr>
          <w:rFonts w:ascii="Calibri" w:hAnsi="Calibri"/>
          <w:sz w:val="20"/>
        </w:rPr>
        <w:t xml:space="preserve">Template Management, Role Management, Workflow Config, Builder/Project Master</w:t>
      </w:r>
    </w:p>
    <w:p>
      <w:pPr>
        <w:pStyle w:val="ListBullet"/>
        <w:spacing w:after="60"/>
      </w:pPr>
      <w:r>
        <w:rPr>
          <w:rFonts w:ascii="Calibri" w:hAnsi="Calibri"/>
          <w:sz w:val="20"/>
        </w:rPr>
        <w:t xml:space="preserve">City Classification, Vendor Mapping, Deviation Master, Collateral Master</w:t>
      </w:r>
    </w:p>
    <w:p>
      <w:pPr>
        <w:pStyle w:val="ListBullet"/>
        <w:spacing w:after="60"/>
      </w:pPr>
      <w:r>
        <w:rPr>
          <w:rFonts w:ascii="Calibri" w:hAnsi="Calibri"/>
          <w:sz w:val="20"/>
        </w:rPr>
        <w:t xml:space="preserve">Regulatory Compliance, System Settings</w:t>
      </w:r>
    </w:p>
    <w:p>
      <w:pPr>
        <w:pStyle w:val="ListBullet"/>
        <w:spacing w:after="60"/>
      </w:pPr>
      <w:r>
        <w:rPr>
          <w:rFonts w:ascii="Calibri" w:hAnsi="Calibri"/>
          <w:sz w:val="20"/>
        </w:rPr>
        <w:t xml:space="preserve">Each card displays: icon, title, description, and active record count</w:t>
      </w:r>
    </w:p>
    <w:p>
      <w:r>
        <w:t xml:space="preserve"/>
      </w:r>
    </w:p>
    <w:p>
      <w:pPr>
        <w:pStyle w:val="Heading1"/>
      </w:pPr>
      <w:r>
        <w:t xml:space="preserve">20. Audit Logs</w:t>
      </w:r>
    </w:p>
    <w:p>
      <w:r>
        <w:t xml:space="preserve"/>
      </w:r>
    </w:p>
    <w:p>
      <w:pPr>
        <w:pStyle w:val="Heading2"/>
      </w:pPr>
      <w:r>
        <w:t xml:space="preserve">Overview</w:t>
      </w:r>
    </w:p>
    <w:p>
      <w:r>
        <w:t xml:space="preserve">The Audit Logs module provides comprehensive field-level change tracking across all system modules. It enables administrators to trace every modification with old and new values, filter by module or date range, and export logs.</w:t>
      </w:r>
    </w:p>
    <w:p>
      <w:pPr>
        <w:pStyle w:val="Heading3"/>
      </w:pPr>
      <w:r>
        <w:t xml:space="preserve">Key Features</w:t>
      </w:r>
    </w:p>
    <w:p>
      <w:pPr>
        <w:pStyle w:val="ListBullet"/>
        <w:spacing w:after="60"/>
      </w:pPr>
      <w:r>
        <w:rPr>
          <w:rFonts w:ascii="Calibri" w:hAnsi="Calibri"/>
          <w:sz w:val="20"/>
        </w:rPr>
        <w:t xml:space="preserve">Field-level change tracking with visual diff: old value (red strikethrough) → new value (green)</w:t>
      </w:r>
    </w:p>
    <w:p>
      <w:pPr>
        <w:pStyle w:val="ListBullet"/>
        <w:spacing w:after="60"/>
      </w:pPr>
      <w:r>
        <w:rPr>
          <w:rFonts w:ascii="Calibri" w:hAnsi="Calibri"/>
          <w:sz w:val="20"/>
        </w:rPr>
        <w:t xml:space="preserve">Module filter dropdown: Underwriting, DDE, QDE, Workflow, Claims, Policy, etc.</w:t>
      </w:r>
    </w:p>
    <w:p>
      <w:pPr>
        <w:pStyle w:val="ListBullet"/>
        <w:spacing w:after="60"/>
      </w:pPr>
      <w:r>
        <w:rPr>
          <w:rFonts w:ascii="Calibri" w:hAnsi="Calibri"/>
          <w:sz w:val="20"/>
        </w:rPr>
        <w:t xml:space="preserve">Date range filter for narrowing log timeframes</w:t>
      </w:r>
    </w:p>
    <w:p>
      <w:pPr>
        <w:pStyle w:val="ListBullet"/>
        <w:spacing w:after="60"/>
      </w:pPr>
      <w:r>
        <w:rPr>
          <w:rFonts w:ascii="Calibri" w:hAnsi="Calibri"/>
          <w:sz w:val="20"/>
        </w:rPr>
        <w:t xml:space="preserve">Free-text search across all log fields (user, module, field, values)</w:t>
      </w:r>
    </w:p>
    <w:p>
      <w:pPr>
        <w:pStyle w:val="ListBullet"/>
        <w:spacing w:after="60"/>
      </w:pPr>
      <w:r>
        <w:rPr>
          <w:rFonts w:ascii="Calibri" w:hAnsi="Calibri"/>
          <w:sz w:val="20"/>
        </w:rPr>
        <w:t xml:space="preserve">CSV export of filtered audit data</w:t>
      </w:r>
    </w:p>
    <w:p>
      <w:pPr>
        <w:pStyle w:val="ListBullet"/>
        <w:spacing w:after="60"/>
      </w:pPr>
      <w:r>
        <w:rPr>
          <w:rFonts w:ascii="Calibri" w:hAnsi="Calibri"/>
          <w:sz w:val="20"/>
        </w:rPr>
        <w:t xml:space="preserve">Table columns: Timestamp, User, Module, Field, Old Value, New Value, Record ID</w:t>
      </w:r>
    </w:p>
    <w:p>
      <w:r>
        <w:t xml:space="preserve"/>
      </w:r>
    </w:p>
    <w:p>
      <w:pPr>
        <w:pStyle w:val="Heading1"/>
      </w:pPr>
      <w:r>
        <w:t>21. Technology Stack &amp; Architecture</w:t>
      </w:r>
    </w:p>
    <w:p>
      <w:pPr>
        <w:pStyle w:val="Heading2"/>
      </w:pPr>
      <w:r>
        <w:t>Application Architecture</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fill="1E3A5F"/>
          </w:tcPr>
          <w:p>
            <w:pPr>
              <w:jc w:val="left"/>
            </w:pPr>
            <w:r>
              <w:rPr>
                <w:rFonts w:ascii="Calibri" w:hAnsi="Calibri"/>
                <w:b/>
                <w:color w:val="FFFFFF"/>
                <w:sz w:val="20"/>
              </w:rPr>
              <w:t>Layer</w:t>
            </w:r>
          </w:p>
        </w:tc>
        <w:tc>
          <w:tcPr>
            <w:tcW w:type="dxa" w:w="2880"/>
            <w:shd w:fill="1E3A5F"/>
          </w:tcPr>
          <w:p>
            <w:pPr>
              <w:jc w:val="left"/>
            </w:pPr>
            <w:r>
              <w:rPr>
                <w:rFonts w:ascii="Calibri" w:hAnsi="Calibri"/>
                <w:b/>
                <w:color w:val="FFFFFF"/>
                <w:sz w:val="20"/>
              </w:rPr>
              <w:t>Technology</w:t>
            </w:r>
          </w:p>
        </w:tc>
        <w:tc>
          <w:tcPr>
            <w:tcW w:type="dxa" w:w="3888"/>
            <w:shd w:fill="1E3A5F"/>
          </w:tcPr>
          <w:p>
            <w:pPr>
              <w:jc w:val="left"/>
            </w:pPr>
            <w:r>
              <w:rPr>
                <w:rFonts w:ascii="Calibri" w:hAnsi="Calibri"/>
                <w:b/>
                <w:color w:val="FFFFFF"/>
                <w:sz w:val="20"/>
              </w:rPr>
              <w:t>Purpose</w:t>
            </w:r>
          </w:p>
        </w:tc>
      </w:tr>
      <w:tr>
        <w:tc>
          <w:tcPr>
            <w:tcW w:type="dxa" w:w="2592"/>
            <w:shd w:fill="FFF7ED"/>
          </w:tcPr>
          <w:p>
            <w:r>
              <w:rPr>
                <w:rFonts w:ascii="Calibri" w:hAnsi="Calibri"/>
                <w:sz w:val="20"/>
              </w:rPr>
              <w:t>Frontend Framework</w:t>
            </w:r>
          </w:p>
        </w:tc>
        <w:tc>
          <w:tcPr>
            <w:tcW w:type="dxa" w:w="2880"/>
            <w:shd w:fill="FFF7ED"/>
          </w:tcPr>
          <w:p>
            <w:r>
              <w:rPr>
                <w:rFonts w:ascii="Calibri" w:hAnsi="Calibri"/>
                <w:sz w:val="20"/>
              </w:rPr>
              <w:t>Next.js 14, React 18</w:t>
            </w:r>
          </w:p>
        </w:tc>
        <w:tc>
          <w:tcPr>
            <w:tcW w:type="dxa" w:w="3888"/>
            <w:shd w:fill="FFF7ED"/>
          </w:tcPr>
          <w:p>
            <w:r>
              <w:rPr>
                <w:rFonts w:ascii="Calibri" w:hAnsi="Calibri"/>
                <w:sz w:val="20"/>
              </w:rPr>
              <w:t>Server-side rendering, component architecture, routing</w:t>
            </w:r>
          </w:p>
        </w:tc>
      </w:tr>
      <w:tr>
        <w:tc>
          <w:tcPr>
            <w:tcW w:type="dxa" w:w="2592"/>
            <w:shd w:fill="FFFFFF"/>
          </w:tcPr>
          <w:p>
            <w:r>
              <w:rPr>
                <w:rFonts w:ascii="Calibri" w:hAnsi="Calibri"/>
                <w:sz w:val="20"/>
              </w:rPr>
              <w:t>Language</w:t>
            </w:r>
          </w:p>
        </w:tc>
        <w:tc>
          <w:tcPr>
            <w:tcW w:type="dxa" w:w="2880"/>
            <w:shd w:fill="FFFFFF"/>
          </w:tcPr>
          <w:p>
            <w:r>
              <w:rPr>
                <w:rFonts w:ascii="Calibri" w:hAnsi="Calibri"/>
                <w:sz w:val="20"/>
              </w:rPr>
              <w:t>TypeScript</w:t>
            </w:r>
          </w:p>
        </w:tc>
        <w:tc>
          <w:tcPr>
            <w:tcW w:type="dxa" w:w="3888"/>
            <w:shd w:fill="FFFFFF"/>
          </w:tcPr>
          <w:p>
            <w:r>
              <w:rPr>
                <w:rFonts w:ascii="Calibri" w:hAnsi="Calibri"/>
                <w:sz w:val="20"/>
              </w:rPr>
              <w:t>Type safety across frontend and backend</w:t>
            </w:r>
          </w:p>
        </w:tc>
      </w:tr>
      <w:tr>
        <w:tc>
          <w:tcPr>
            <w:tcW w:type="dxa" w:w="2592"/>
            <w:shd w:fill="FFF7ED"/>
          </w:tcPr>
          <w:p>
            <w:r>
              <w:rPr>
                <w:rFonts w:ascii="Calibri" w:hAnsi="Calibri"/>
                <w:sz w:val="20"/>
              </w:rPr>
              <w:t>Styling</w:t>
            </w:r>
          </w:p>
        </w:tc>
        <w:tc>
          <w:tcPr>
            <w:tcW w:type="dxa" w:w="2880"/>
            <w:shd w:fill="FFF7ED"/>
          </w:tcPr>
          <w:p>
            <w:r>
              <w:rPr>
                <w:rFonts w:ascii="Calibri" w:hAnsi="Calibri"/>
                <w:sz w:val="20"/>
              </w:rPr>
              <w:t>Tailwind CSS</w:t>
            </w:r>
          </w:p>
        </w:tc>
        <w:tc>
          <w:tcPr>
            <w:tcW w:type="dxa" w:w="3888"/>
            <w:shd w:fill="FFF7ED"/>
          </w:tcPr>
          <w:p>
            <w:r>
              <w:rPr>
                <w:rFonts w:ascii="Calibri" w:hAnsi="Calibri"/>
                <w:sz w:val="20"/>
              </w:rPr>
              <w:t>Utility-first CSS with enterprise design system</w:t>
            </w:r>
          </w:p>
        </w:tc>
      </w:tr>
      <w:tr>
        <w:tc>
          <w:tcPr>
            <w:tcW w:type="dxa" w:w="2592"/>
            <w:shd w:fill="FFFFFF"/>
          </w:tcPr>
          <w:p>
            <w:r>
              <w:rPr>
                <w:rFonts w:ascii="Calibri" w:hAnsi="Calibri"/>
                <w:sz w:val="20"/>
              </w:rPr>
              <w:t>Icons</w:t>
            </w:r>
          </w:p>
        </w:tc>
        <w:tc>
          <w:tcPr>
            <w:tcW w:type="dxa" w:w="2880"/>
            <w:shd w:fill="FFFFFF"/>
          </w:tcPr>
          <w:p>
            <w:r>
              <w:rPr>
                <w:rFonts w:ascii="Calibri" w:hAnsi="Calibri"/>
                <w:sz w:val="20"/>
              </w:rPr>
              <w:t>Lucide React</w:t>
            </w:r>
          </w:p>
        </w:tc>
        <w:tc>
          <w:tcPr>
            <w:tcW w:type="dxa" w:w="3888"/>
            <w:shd w:fill="FFFFFF"/>
          </w:tcPr>
          <w:p>
            <w:r>
              <w:rPr>
                <w:rFonts w:ascii="Calibri" w:hAnsi="Calibri"/>
                <w:sz w:val="20"/>
              </w:rPr>
              <w:t>Consistent icon set across the application</w:t>
            </w:r>
          </w:p>
        </w:tc>
      </w:tr>
      <w:tr>
        <w:tc>
          <w:tcPr>
            <w:tcW w:type="dxa" w:w="2592"/>
            <w:shd w:fill="FFF7ED"/>
          </w:tcPr>
          <w:p>
            <w:r>
              <w:rPr>
                <w:rFonts w:ascii="Calibri" w:hAnsi="Calibri"/>
                <w:sz w:val="20"/>
              </w:rPr>
              <w:t>Charts</w:t>
            </w:r>
          </w:p>
        </w:tc>
        <w:tc>
          <w:tcPr>
            <w:tcW w:type="dxa" w:w="2880"/>
            <w:shd w:fill="FFF7ED"/>
          </w:tcPr>
          <w:p>
            <w:r>
              <w:rPr>
                <w:rFonts w:ascii="Calibri" w:hAnsi="Calibri"/>
                <w:sz w:val="20"/>
              </w:rPr>
              <w:t>Recharts</w:t>
            </w:r>
          </w:p>
        </w:tc>
        <w:tc>
          <w:tcPr>
            <w:tcW w:type="dxa" w:w="3888"/>
            <w:shd w:fill="FFF7ED"/>
          </w:tcPr>
          <w:p>
            <w:r>
              <w:rPr>
                <w:rFonts w:ascii="Calibri" w:hAnsi="Calibri"/>
                <w:sz w:val="20"/>
              </w:rPr>
              <w:t>Interactive data visualizations (bar, pie, donut, line)</w:t>
            </w:r>
          </w:p>
        </w:tc>
      </w:tr>
      <w:tr>
        <w:tc>
          <w:tcPr>
            <w:tcW w:type="dxa" w:w="2592"/>
            <w:shd w:fill="FFFFFF"/>
          </w:tcPr>
          <w:p>
            <w:r>
              <w:rPr>
                <w:rFonts w:ascii="Calibri" w:hAnsi="Calibri"/>
                <w:sz w:val="20"/>
              </w:rPr>
              <w:t>Backend</w:t>
            </w:r>
          </w:p>
        </w:tc>
        <w:tc>
          <w:tcPr>
            <w:tcW w:type="dxa" w:w="2880"/>
            <w:shd w:fill="FFFFFF"/>
          </w:tcPr>
          <w:p>
            <w:r>
              <w:rPr>
                <w:rFonts w:ascii="Calibri" w:hAnsi="Calibri"/>
                <w:sz w:val="20"/>
              </w:rPr>
              <w:t>Express.js</w:t>
            </w:r>
          </w:p>
        </w:tc>
        <w:tc>
          <w:tcPr>
            <w:tcW w:type="dxa" w:w="3888"/>
            <w:shd w:fill="FFFFFF"/>
          </w:tcPr>
          <w:p>
            <w:r>
              <w:rPr>
                <w:rFonts w:ascii="Calibri" w:hAnsi="Calibri"/>
                <w:sz w:val="20"/>
              </w:rPr>
              <w:t>RESTful API server with middleware architecture</w:t>
            </w:r>
          </w:p>
        </w:tc>
      </w:tr>
      <w:tr>
        <w:tc>
          <w:tcPr>
            <w:tcW w:type="dxa" w:w="2592"/>
            <w:shd w:fill="FFF7ED"/>
          </w:tcPr>
          <w:p>
            <w:r>
              <w:rPr>
                <w:rFonts w:ascii="Calibri" w:hAnsi="Calibri"/>
                <w:sz w:val="20"/>
              </w:rPr>
              <w:t>Authentication</w:t>
            </w:r>
          </w:p>
        </w:tc>
        <w:tc>
          <w:tcPr>
            <w:tcW w:type="dxa" w:w="2880"/>
            <w:shd w:fill="FFF7ED"/>
          </w:tcPr>
          <w:p>
            <w:r>
              <w:rPr>
                <w:rFonts w:ascii="Calibri" w:hAnsi="Calibri"/>
                <w:sz w:val="20"/>
              </w:rPr>
              <w:t>JWT + Refresh Tokens</w:t>
            </w:r>
          </w:p>
        </w:tc>
        <w:tc>
          <w:tcPr>
            <w:tcW w:type="dxa" w:w="3888"/>
            <w:shd w:fill="FFF7ED"/>
          </w:tcPr>
          <w:p>
            <w:r>
              <w:rPr>
                <w:rFonts w:ascii="Calibri" w:hAnsi="Calibri"/>
                <w:sz w:val="20"/>
              </w:rPr>
              <w:t>Stateless, scalable authentication</w:t>
            </w:r>
          </w:p>
        </w:tc>
      </w:tr>
      <w:tr>
        <w:tc>
          <w:tcPr>
            <w:tcW w:type="dxa" w:w="2592"/>
            <w:shd w:fill="FFFFFF"/>
          </w:tcPr>
          <w:p>
            <w:r>
              <w:rPr>
                <w:rFonts w:ascii="Calibri" w:hAnsi="Calibri"/>
                <w:sz w:val="20"/>
              </w:rPr>
              <w:t>Authorization</w:t>
            </w:r>
          </w:p>
        </w:tc>
        <w:tc>
          <w:tcPr>
            <w:tcW w:type="dxa" w:w="2880"/>
            <w:shd w:fill="FFFFFF"/>
          </w:tcPr>
          <w:p>
            <w:r>
              <w:rPr>
                <w:rFonts w:ascii="Calibri" w:hAnsi="Calibri"/>
                <w:sz w:val="20"/>
              </w:rPr>
              <w:t>RBAC Middleware</w:t>
            </w:r>
          </w:p>
        </w:tc>
        <w:tc>
          <w:tcPr>
            <w:tcW w:type="dxa" w:w="3888"/>
            <w:shd w:fill="FFFFFF"/>
          </w:tcPr>
          <w:p>
            <w:r>
              <w:rPr>
                <w:rFonts w:ascii="Calibri" w:hAnsi="Calibri"/>
                <w:sz w:val="20"/>
              </w:rPr>
              <w:t>Role-based permission checking on every request</w:t>
            </w:r>
          </w:p>
        </w:tc>
      </w:tr>
      <w:tr>
        <w:tc>
          <w:tcPr>
            <w:tcW w:type="dxa" w:w="2592"/>
            <w:shd w:fill="FFF7ED"/>
          </w:tcPr>
          <w:p>
            <w:r>
              <w:rPr>
                <w:rFonts w:ascii="Calibri" w:hAnsi="Calibri"/>
                <w:sz w:val="20"/>
              </w:rPr>
              <w:t>Storage</w:t>
            </w:r>
          </w:p>
        </w:tc>
        <w:tc>
          <w:tcPr>
            <w:tcW w:type="dxa" w:w="2880"/>
            <w:shd w:fill="FFF7ED"/>
          </w:tcPr>
          <w:p>
            <w:r>
              <w:rPr>
                <w:rFonts w:ascii="Calibri" w:hAnsi="Calibri"/>
                <w:sz w:val="20"/>
              </w:rPr>
              <w:t>JSON File Persistence</w:t>
            </w:r>
          </w:p>
        </w:tc>
        <w:tc>
          <w:tcPr>
            <w:tcW w:type="dxa" w:w="3888"/>
            <w:shd w:fill="FFF7ED"/>
          </w:tcPr>
          <w:p>
            <w:r>
              <w:rPr>
                <w:rFonts w:ascii="Calibri" w:hAnsi="Calibri"/>
                <w:sz w:val="20"/>
              </w:rPr>
              <w:t>Rapid prototyping (database-ready architecture)</w:t>
            </w:r>
          </w:p>
        </w:tc>
      </w:tr>
    </w:tbl>
    <w:p>
      <w:pPr>
        <w:pStyle w:val="Heading2"/>
      </w:pPr>
      <w:r>
        <w:t>Non-Functional Features</w:t>
      </w:r>
    </w:p>
    <w:tbl>
      <w:tblPr>
        <w:tblStyle w:val="TableGrid"/>
        <w:tblW w:type="auto" w:w="0"/>
        <w:jc w:val="center"/>
        <w:tblLook w:firstColumn="1" w:firstRow="1" w:lastColumn="0" w:lastRow="0" w:noHBand="0" w:noVBand="1" w:val="04A0"/>
      </w:tblPr>
      <w:tblGrid>
        <w:gridCol w:w="4320"/>
        <w:gridCol w:w="4320"/>
      </w:tblGrid>
      <w:tr>
        <w:tc>
          <w:tcPr>
            <w:tcW w:type="dxa" w:w="2592"/>
            <w:shd w:fill="1E3A5F"/>
          </w:tcPr>
          <w:p>
            <w:pPr>
              <w:jc w:val="left"/>
            </w:pPr>
            <w:r>
              <w:rPr>
                <w:rFonts w:ascii="Calibri" w:hAnsi="Calibri"/>
                <w:b/>
                <w:color w:val="FFFFFF"/>
                <w:sz w:val="20"/>
              </w:rPr>
              <w:t>Feature</w:t>
            </w:r>
          </w:p>
        </w:tc>
        <w:tc>
          <w:tcPr>
            <w:tcW w:type="dxa" w:w="6768"/>
            <w:shd w:fill="1E3A5F"/>
          </w:tcPr>
          <w:p>
            <w:pPr>
              <w:jc w:val="left"/>
            </w:pPr>
            <w:r>
              <w:rPr>
                <w:rFonts w:ascii="Calibri" w:hAnsi="Calibri"/>
                <w:b/>
                <w:color w:val="FFFFFF"/>
                <w:sz w:val="20"/>
              </w:rPr>
              <w:t>Implementation</w:t>
            </w:r>
          </w:p>
        </w:tc>
      </w:tr>
      <w:tr>
        <w:tc>
          <w:tcPr>
            <w:tcW w:type="dxa" w:w="2592"/>
            <w:shd w:fill="FFF7ED"/>
          </w:tcPr>
          <w:p>
            <w:r>
              <w:rPr>
                <w:rFonts w:ascii="Calibri" w:hAnsi="Calibri"/>
                <w:sz w:val="20"/>
              </w:rPr>
              <w:t>Responsive Design</w:t>
            </w:r>
          </w:p>
        </w:tc>
        <w:tc>
          <w:tcPr>
            <w:tcW w:type="dxa" w:w="6768"/>
            <w:shd w:fill="FFF7ED"/>
          </w:tcPr>
          <w:p>
            <w:r>
              <w:rPr>
                <w:rFonts w:ascii="Calibri" w:hAnsi="Calibri"/>
                <w:sz w:val="20"/>
              </w:rPr>
              <w:t>Works across desktop (1440px+), tablet (768px), and mobile (375px)</w:t>
            </w:r>
          </w:p>
        </w:tc>
      </w:tr>
      <w:tr>
        <w:tc>
          <w:tcPr>
            <w:tcW w:type="dxa" w:w="2592"/>
            <w:shd w:fill="FFFFFF"/>
          </w:tcPr>
          <w:p>
            <w:r>
              <w:rPr>
                <w:rFonts w:ascii="Calibri" w:hAnsi="Calibri"/>
                <w:sz w:val="20"/>
              </w:rPr>
              <w:t>Accessibility</w:t>
            </w:r>
          </w:p>
        </w:tc>
        <w:tc>
          <w:tcPr>
            <w:tcW w:type="dxa" w:w="6768"/>
            <w:shd w:fill="FFFFFF"/>
          </w:tcPr>
          <w:p>
            <w:r>
              <w:rPr>
                <w:rFonts w:ascii="Calibri" w:hAnsi="Calibri"/>
                <w:sz w:val="20"/>
              </w:rPr>
              <w:t>WCAG 2.1 compliant — skip navigation, ARIA labels, keyboard navigation, focus management</w:t>
            </w:r>
          </w:p>
        </w:tc>
      </w:tr>
      <w:tr>
        <w:tc>
          <w:tcPr>
            <w:tcW w:type="dxa" w:w="2592"/>
            <w:shd w:fill="FFF7ED"/>
          </w:tcPr>
          <w:p>
            <w:r>
              <w:rPr>
                <w:rFonts w:ascii="Calibri" w:hAnsi="Calibri"/>
                <w:sz w:val="20"/>
              </w:rPr>
              <w:t>Performance</w:t>
            </w:r>
          </w:p>
        </w:tc>
        <w:tc>
          <w:tcPr>
            <w:tcW w:type="dxa" w:w="6768"/>
            <w:shd w:fill="FFF7ED"/>
          </w:tcPr>
          <w:p>
            <w:r>
              <w:rPr>
                <w:rFonts w:ascii="Calibri" w:hAnsi="Calibri"/>
                <w:sz w:val="20"/>
              </w:rPr>
              <w:t>Skeleton loading states, staggered animations, optimistic updates, lazy loading</w:t>
            </w:r>
          </w:p>
        </w:tc>
      </w:tr>
      <w:tr>
        <w:tc>
          <w:tcPr>
            <w:tcW w:type="dxa" w:w="2592"/>
            <w:shd w:fill="FFFFFF"/>
          </w:tcPr>
          <w:p>
            <w:r>
              <w:rPr>
                <w:rFonts w:ascii="Calibri" w:hAnsi="Calibri"/>
                <w:sz w:val="20"/>
              </w:rPr>
              <w:t>Security</w:t>
            </w:r>
          </w:p>
        </w:tc>
        <w:tc>
          <w:tcPr>
            <w:tcW w:type="dxa" w:w="6768"/>
            <w:shd w:fill="FFFFFF"/>
          </w:tcPr>
          <w:p>
            <w:r>
              <w:rPr>
                <w:rFonts w:ascii="Calibri" w:hAnsi="Calibri"/>
                <w:sz w:val="20"/>
              </w:rPr>
              <w:t>256-bit encryption, JWT tokens, bcrypt password hashing, CORS, input sanitization</w:t>
            </w:r>
          </w:p>
        </w:tc>
      </w:tr>
      <w:tr>
        <w:tc>
          <w:tcPr>
            <w:tcW w:type="dxa" w:w="2592"/>
            <w:shd w:fill="FFF7ED"/>
          </w:tcPr>
          <w:p>
            <w:r>
              <w:rPr>
                <w:rFonts w:ascii="Calibri" w:hAnsi="Calibri"/>
                <w:sz w:val="20"/>
              </w:rPr>
              <w:t>UX Patterns</w:t>
            </w:r>
          </w:p>
        </w:tc>
        <w:tc>
          <w:tcPr>
            <w:tcW w:type="dxa" w:w="6768"/>
            <w:shd w:fill="FFF7ED"/>
          </w:tcPr>
          <w:p>
            <w:r>
              <w:rPr>
                <w:rFonts w:ascii="Calibri" w:hAnsi="Calibri"/>
                <w:sz w:val="20"/>
              </w:rPr>
              <w:t>Toast notifications, confirmation dialogs, breadcrumb navigation, global search (Cmd+K)</w:t>
            </w:r>
          </w:p>
        </w:tc>
      </w:tr>
      <w:tr>
        <w:tc>
          <w:tcPr>
            <w:tcW w:type="dxa" w:w="2592"/>
            <w:shd w:fill="FFFFFF"/>
          </w:tcPr>
          <w:p>
            <w:r>
              <w:rPr>
                <w:rFonts w:ascii="Calibri" w:hAnsi="Calibri"/>
                <w:sz w:val="20"/>
              </w:rPr>
              <w:t>Error Handling</w:t>
            </w:r>
          </w:p>
        </w:tc>
        <w:tc>
          <w:tcPr>
            <w:tcW w:type="dxa" w:w="6768"/>
            <w:shd w:fill="FFFFFF"/>
          </w:tcPr>
          <w:p>
            <w:r>
              <w:rPr>
                <w:rFonts w:ascii="Calibri" w:hAnsi="Calibri"/>
                <w:sz w:val="20"/>
              </w:rPr>
              <w:t>Graceful error boundaries, user-friendly error messages, retry mechanisms</w:t>
            </w:r>
          </w:p>
        </w:tc>
      </w:tr>
      <w:tr>
        <w:tc>
          <w:tcPr>
            <w:tcW w:type="dxa" w:w="2592"/>
            <w:shd w:fill="FFF7ED"/>
          </w:tcPr>
          <w:p>
            <w:r>
              <w:rPr>
                <w:rFonts w:ascii="Calibri" w:hAnsi="Calibri"/>
                <w:sz w:val="20"/>
              </w:rPr>
              <w:t>Theme</w:t>
            </w:r>
          </w:p>
        </w:tc>
        <w:tc>
          <w:tcPr>
            <w:tcW w:type="dxa" w:w="6768"/>
            <w:shd w:fill="FFF7ED"/>
          </w:tcPr>
          <w:p>
            <w:r>
              <w:rPr>
                <w:rFonts w:ascii="Calibri" w:hAnsi="Calibri"/>
                <w:sz w:val="20"/>
              </w:rPr>
              <w:t>Light/dark mode support, default light theme, 30% orange accent coverage</w:t>
            </w:r>
          </w:p>
        </w:tc>
      </w:tr>
    </w:tbl>
    <w:p>
      <w:r>
        <w:br w:type="page"/>
      </w:r>
    </w:p>
    <w:p>
      <w:pPr>
        <w:pStyle w:val="Heading1"/>
      </w:pPr>
      <w:r>
        <w:t>22. User Roles &amp; Permissions</w:t>
      </w:r>
    </w:p>
    <w:p>
      <w:r>
        <w:t>The PAS platform implements Role-Based Access Control (RBAC) with 5 predefined roles. Each role has specific permissions that control access to modules and actions.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872"/>
            <w:shd w:fill="1E3A5F"/>
          </w:tcPr>
          <w:p>
            <w:pPr>
              <w:jc w:val="left"/>
            </w:pPr>
            <w:r>
              <w:rPr>
                <w:rFonts w:ascii="Calibri" w:hAnsi="Calibri"/>
                <w:b/>
                <w:color w:val="FFFFFF"/>
                <w:sz w:val="20"/>
              </w:rPr>
              <w:t>Module</w:t>
            </w:r>
          </w:p>
        </w:tc>
        <w:tc>
          <w:tcPr>
            <w:tcW w:type="dxa" w:w="1440"/>
            <w:shd w:fill="1E3A5F"/>
          </w:tcPr>
          <w:p>
            <w:pPr>
              <w:jc w:val="left"/>
            </w:pPr>
            <w:r>
              <w:rPr>
                <w:rFonts w:ascii="Calibri" w:hAnsi="Calibri"/>
                <w:b/>
                <w:color w:val="FFFFFF"/>
                <w:sz w:val="20"/>
              </w:rPr>
              <w:t>Admin</w:t>
            </w:r>
          </w:p>
        </w:tc>
        <w:tc>
          <w:tcPr>
            <w:tcW w:type="dxa" w:w="1440"/>
            <w:shd w:fill="1E3A5F"/>
          </w:tcPr>
          <w:p>
            <w:pPr>
              <w:jc w:val="left"/>
            </w:pPr>
            <w:r>
              <w:rPr>
                <w:rFonts w:ascii="Calibri" w:hAnsi="Calibri"/>
                <w:b/>
                <w:color w:val="FFFFFF"/>
                <w:sz w:val="20"/>
              </w:rPr>
              <w:t>Underwriter</w:t>
            </w:r>
          </w:p>
        </w:tc>
        <w:tc>
          <w:tcPr>
            <w:tcW w:type="dxa" w:w="1440"/>
            <w:shd w:fill="1E3A5F"/>
          </w:tcPr>
          <w:p>
            <w:pPr>
              <w:jc w:val="left"/>
            </w:pPr>
            <w:r>
              <w:rPr>
                <w:rFonts w:ascii="Calibri" w:hAnsi="Calibri"/>
                <w:b/>
                <w:color w:val="FFFFFF"/>
                <w:sz w:val="20"/>
              </w:rPr>
              <w:t>Claims Adj.</w:t>
            </w:r>
          </w:p>
        </w:tc>
        <w:tc>
          <w:tcPr>
            <w:tcW w:type="dxa" w:w="1440"/>
            <w:shd w:fill="1E3A5F"/>
          </w:tcPr>
          <w:p>
            <w:pPr>
              <w:jc w:val="left"/>
            </w:pPr>
            <w:r>
              <w:rPr>
                <w:rFonts w:ascii="Calibri" w:hAnsi="Calibri"/>
                <w:b/>
                <w:color w:val="FFFFFF"/>
                <w:sz w:val="20"/>
              </w:rPr>
              <w:t>Operations</w:t>
            </w:r>
          </w:p>
        </w:tc>
        <w:tc>
          <w:tcPr>
            <w:tcW w:type="dxa" w:w="1440"/>
            <w:shd w:fill="1E3A5F"/>
          </w:tcPr>
          <w:p>
            <w:pPr>
              <w:jc w:val="left"/>
            </w:pPr>
            <w:r>
              <w:rPr>
                <w:rFonts w:ascii="Calibri" w:hAnsi="Calibri"/>
                <w:b/>
                <w:color w:val="FFFFFF"/>
                <w:sz w:val="20"/>
              </w:rPr>
              <w:t>Viewer</w:t>
            </w:r>
          </w:p>
        </w:tc>
      </w:tr>
      <w:tr>
        <w:tc>
          <w:tcPr>
            <w:tcW w:type="dxa" w:w="1872"/>
            <w:shd w:fill="FFF7ED"/>
          </w:tcPr>
          <w:p>
            <w:r>
              <w:rPr>
                <w:rFonts w:ascii="Calibri" w:hAnsi="Calibri"/>
                <w:sz w:val="20"/>
              </w:rPr>
              <w:t>Dashboard</w:t>
            </w:r>
          </w:p>
        </w:tc>
        <w:tc>
          <w:tcPr>
            <w:tcW w:type="dxa" w:w="1440"/>
            <w:shd w:fill="FFF7ED"/>
          </w:tcPr>
          <w:p>
            <w:r>
              <w:rPr>
                <w:rFonts w:ascii="Calibri" w:hAnsi="Calibri"/>
                <w:sz w:val="20"/>
              </w:rPr>
              <w:t>Full</w:t>
            </w:r>
          </w:p>
        </w:tc>
        <w:tc>
          <w:tcPr>
            <w:tcW w:type="dxa" w:w="1440"/>
            <w:shd w:fill="FFF7ED"/>
          </w:tcPr>
          <w:p>
            <w:r>
              <w:rPr>
                <w:rFonts w:ascii="Calibri" w:hAnsi="Calibri"/>
                <w:sz w:val="20"/>
              </w:rPr>
              <w:t>Full</w:t>
            </w:r>
          </w:p>
        </w:tc>
        <w:tc>
          <w:tcPr>
            <w:tcW w:type="dxa" w:w="1440"/>
            <w:shd w:fill="FFF7ED"/>
          </w:tcPr>
          <w:p>
            <w:r>
              <w:rPr>
                <w:rFonts w:ascii="Calibri" w:hAnsi="Calibri"/>
                <w:sz w:val="20"/>
              </w:rPr>
              <w:t>Full</w:t>
            </w:r>
          </w:p>
        </w:tc>
        <w:tc>
          <w:tcPr>
            <w:tcW w:type="dxa" w:w="1440"/>
            <w:shd w:fill="FFF7ED"/>
          </w:tcPr>
          <w:p>
            <w:r>
              <w:rPr>
                <w:rFonts w:ascii="Calibri" w:hAnsi="Calibri"/>
                <w:sz w:val="20"/>
              </w:rPr>
              <w:t>Full</w:t>
            </w:r>
          </w:p>
        </w:tc>
        <w:tc>
          <w:tcPr>
            <w:tcW w:type="dxa" w:w="1440"/>
            <w:shd w:fill="FFF7ED"/>
          </w:tcPr>
          <w:p>
            <w:r>
              <w:rPr>
                <w:rFonts w:ascii="Calibri" w:hAnsi="Calibri"/>
                <w:sz w:val="20"/>
              </w:rPr>
              <w:t>Read</w:t>
            </w:r>
          </w:p>
        </w:tc>
      </w:tr>
      <w:tr>
        <w:tc>
          <w:tcPr>
            <w:tcW w:type="dxa" w:w="1872"/>
            <w:shd w:fill="FFFFFF"/>
          </w:tcPr>
          <w:p>
            <w:r>
              <w:rPr>
                <w:rFonts w:ascii="Calibri" w:hAnsi="Calibri"/>
                <w:sz w:val="20"/>
              </w:rPr>
              <w:t>Policies</w:t>
            </w:r>
          </w:p>
        </w:tc>
        <w:tc>
          <w:tcPr>
            <w:tcW w:type="dxa" w:w="1440"/>
            <w:shd w:fill="FFFFFF"/>
          </w:tcPr>
          <w:p>
            <w:r>
              <w:rPr>
                <w:rFonts w:ascii="Calibri" w:hAnsi="Calibri"/>
                <w:sz w:val="20"/>
              </w:rPr>
              <w:t>Full CRUD</w:t>
            </w:r>
          </w:p>
        </w:tc>
        <w:tc>
          <w:tcPr>
            <w:tcW w:type="dxa" w:w="1440"/>
            <w:shd w:fill="FFFFFF"/>
          </w:tcPr>
          <w:p>
            <w:r>
              <w:rPr>
                <w:rFonts w:ascii="Calibri" w:hAnsi="Calibri"/>
                <w:sz w:val="20"/>
              </w:rPr>
              <w:t>Read</w:t>
            </w:r>
          </w:p>
        </w:tc>
        <w:tc>
          <w:tcPr>
            <w:tcW w:type="dxa" w:w="1440"/>
            <w:shd w:fill="FFFFFF"/>
          </w:tcPr>
          <w:p>
            <w:r>
              <w:rPr>
                <w:rFonts w:ascii="Calibri" w:hAnsi="Calibri"/>
                <w:sz w:val="20"/>
              </w:rPr>
              <w:t>Read</w:t>
            </w:r>
          </w:p>
        </w:tc>
        <w:tc>
          <w:tcPr>
            <w:tcW w:type="dxa" w:w="1440"/>
            <w:shd w:fill="FFFFFF"/>
          </w:tcPr>
          <w:p>
            <w:r>
              <w:rPr>
                <w:rFonts w:ascii="Calibri" w:hAnsi="Calibri"/>
                <w:sz w:val="20"/>
              </w:rPr>
              <w:t>Create/Read</w:t>
            </w:r>
          </w:p>
        </w:tc>
        <w:tc>
          <w:tcPr>
            <w:tcW w:type="dxa" w:w="1440"/>
            <w:shd w:fill="FFFFFF"/>
          </w:tcPr>
          <w:p>
            <w:r>
              <w:rPr>
                <w:rFonts w:ascii="Calibri" w:hAnsi="Calibri"/>
                <w:sz w:val="20"/>
              </w:rPr>
              <w:t>Read</w:t>
            </w:r>
          </w:p>
        </w:tc>
      </w:tr>
      <w:tr>
        <w:tc>
          <w:tcPr>
            <w:tcW w:type="dxa" w:w="1872"/>
            <w:shd w:fill="FFF7ED"/>
          </w:tcPr>
          <w:p>
            <w:r>
              <w:rPr>
                <w:rFonts w:ascii="Calibri" w:hAnsi="Calibri"/>
                <w:sz w:val="20"/>
              </w:rPr>
              <w:t>Customers</w:t>
            </w:r>
          </w:p>
        </w:tc>
        <w:tc>
          <w:tcPr>
            <w:tcW w:type="dxa" w:w="1440"/>
            <w:shd w:fill="FFF7ED"/>
          </w:tcPr>
          <w:p>
            <w:r>
              <w:rPr>
                <w:rFonts w:ascii="Calibri" w:hAnsi="Calibri"/>
                <w:sz w:val="20"/>
              </w:rPr>
              <w:t>Full CRUD</w:t>
            </w:r>
          </w:p>
        </w:tc>
        <w:tc>
          <w:tcPr>
            <w:tcW w:type="dxa" w:w="1440"/>
            <w:shd w:fill="FFF7ED"/>
          </w:tcPr>
          <w:p>
            <w:r>
              <w:rPr>
                <w:rFonts w:ascii="Calibri" w:hAnsi="Calibri"/>
                <w:sz w:val="20"/>
              </w:rPr>
              <w:t>Read</w:t>
            </w:r>
          </w:p>
        </w:tc>
        <w:tc>
          <w:tcPr>
            <w:tcW w:type="dxa" w:w="1440"/>
            <w:shd w:fill="FFF7ED"/>
          </w:tcPr>
          <w:p>
            <w:r>
              <w:rPr>
                <w:rFonts w:ascii="Calibri" w:hAnsi="Calibri"/>
                <w:sz w:val="20"/>
              </w:rPr>
              <w:t>Read</w:t>
            </w:r>
          </w:p>
        </w:tc>
        <w:tc>
          <w:tcPr>
            <w:tcW w:type="dxa" w:w="1440"/>
            <w:shd w:fill="FFF7ED"/>
          </w:tcPr>
          <w:p>
            <w:r>
              <w:rPr>
                <w:rFonts w:ascii="Calibri" w:hAnsi="Calibri"/>
                <w:sz w:val="20"/>
              </w:rPr>
              <w:t>Full CRUD</w:t>
            </w:r>
          </w:p>
        </w:tc>
        <w:tc>
          <w:tcPr>
            <w:tcW w:type="dxa" w:w="1440"/>
            <w:shd w:fill="FFF7ED"/>
          </w:tcPr>
          <w:p>
            <w:r>
              <w:rPr>
                <w:rFonts w:ascii="Calibri" w:hAnsi="Calibri"/>
                <w:sz w:val="20"/>
              </w:rPr>
              <w:t>Read</w:t>
            </w:r>
          </w:p>
        </w:tc>
      </w:tr>
      <w:tr>
        <w:tc>
          <w:tcPr>
            <w:tcW w:type="dxa" w:w="1872"/>
            <w:shd w:fill="FFFFFF"/>
          </w:tcPr>
          <w:p>
            <w:r>
              <w:rPr>
                <w:rFonts w:ascii="Calibri" w:hAnsi="Calibri"/>
                <w:sz w:val="20"/>
              </w:rPr>
              <w:t>Underwriting</w:t>
            </w:r>
          </w:p>
        </w:tc>
        <w:tc>
          <w:tcPr>
            <w:tcW w:type="dxa" w:w="1440"/>
            <w:shd w:fill="FFFFFF"/>
          </w:tcPr>
          <w:p>
            <w:r>
              <w:rPr>
                <w:rFonts w:ascii="Calibri" w:hAnsi="Calibri"/>
                <w:sz w:val="20"/>
              </w:rPr>
              <w:t>Full</w:t>
            </w:r>
          </w:p>
        </w:tc>
        <w:tc>
          <w:tcPr>
            <w:tcW w:type="dxa" w:w="1440"/>
            <w:shd w:fill="FFFFFF"/>
          </w:tcPr>
          <w:p>
            <w:r>
              <w:rPr>
                <w:rFonts w:ascii="Calibri" w:hAnsi="Calibri"/>
                <w:sz w:val="20"/>
              </w:rPr>
              <w:t>Full</w:t>
            </w:r>
          </w:p>
        </w:tc>
        <w:tc>
          <w:tcPr>
            <w:tcW w:type="dxa" w:w="1440"/>
            <w:shd w:fill="FFFFFF"/>
          </w:tcPr>
          <w:p>
            <w:r>
              <w:rPr>
                <w:rFonts w:ascii="Calibri" w:hAnsi="Calibri"/>
                <w:sz w:val="20"/>
              </w:rPr>
              <w:t>Read</w:t>
            </w:r>
          </w:p>
        </w:tc>
        <w:tc>
          <w:tcPr>
            <w:tcW w:type="dxa" w:w="1440"/>
            <w:shd w:fill="FFFFFF"/>
          </w:tcPr>
          <w:p>
            <w:r>
              <w:rPr>
                <w:rFonts w:ascii="Calibri" w:hAnsi="Calibri"/>
                <w:sz w:val="20"/>
              </w:rPr>
              <w:t>Read</w:t>
            </w:r>
          </w:p>
        </w:tc>
        <w:tc>
          <w:tcPr>
            <w:tcW w:type="dxa" w:w="1440"/>
            <w:shd w:fill="FFFFFF"/>
          </w:tcPr>
          <w:p>
            <w:r>
              <w:rPr>
                <w:rFonts w:ascii="Calibri" w:hAnsi="Calibri"/>
                <w:sz w:val="20"/>
              </w:rPr>
              <w:t>Read</w:t>
            </w:r>
          </w:p>
        </w:tc>
      </w:tr>
      <w:tr>
        <w:tc>
          <w:tcPr>
            <w:tcW w:type="dxa" w:w="1872"/>
            <w:shd w:fill="FFF7ED"/>
          </w:tcPr>
          <w:p>
            <w:r>
              <w:rPr>
                <w:rFonts w:ascii="Calibri" w:hAnsi="Calibri"/>
                <w:sz w:val="20"/>
              </w:rPr>
              <w:t>Referrals</w:t>
            </w:r>
          </w:p>
        </w:tc>
        <w:tc>
          <w:tcPr>
            <w:tcW w:type="dxa" w:w="1440"/>
            <w:shd w:fill="FFF7ED"/>
          </w:tcPr>
          <w:p>
            <w:r>
              <w:rPr>
                <w:rFonts w:ascii="Calibri" w:hAnsi="Calibri"/>
                <w:sz w:val="20"/>
              </w:rPr>
              <w:t>Full</w:t>
            </w:r>
          </w:p>
        </w:tc>
        <w:tc>
          <w:tcPr>
            <w:tcW w:type="dxa" w:w="1440"/>
            <w:shd w:fill="FFF7ED"/>
          </w:tcPr>
          <w:p>
            <w:r>
              <w:rPr>
                <w:rFonts w:ascii="Calibri" w:hAnsi="Calibri"/>
                <w:sz w:val="20"/>
              </w:rPr>
              <w:t>Full</w:t>
            </w:r>
          </w:p>
        </w:tc>
        <w:tc>
          <w:tcPr>
            <w:tcW w:type="dxa" w:w="1440"/>
            <w:shd w:fill="FFF7ED"/>
          </w:tcPr>
          <w:p>
            <w:r>
              <w:rPr>
                <w:rFonts w:ascii="Calibri" w:hAnsi="Calibri"/>
                <w:sz w:val="20"/>
              </w:rPr>
              <w:t>None</w:t>
            </w:r>
          </w:p>
        </w:tc>
        <w:tc>
          <w:tcPr>
            <w:tcW w:type="dxa" w:w="1440"/>
            <w:shd w:fill="FFF7ED"/>
          </w:tcPr>
          <w:p>
            <w:r>
              <w:rPr>
                <w:rFonts w:ascii="Calibri" w:hAnsi="Calibri"/>
                <w:sz w:val="20"/>
              </w:rPr>
              <w:t>None</w:t>
            </w:r>
          </w:p>
        </w:tc>
        <w:tc>
          <w:tcPr>
            <w:tcW w:type="dxa" w:w="1440"/>
            <w:shd w:fill="FFF7ED"/>
          </w:tcPr>
          <w:p>
            <w:r>
              <w:rPr>
                <w:rFonts w:ascii="Calibri" w:hAnsi="Calibri"/>
                <w:sz w:val="20"/>
              </w:rPr>
              <w:t>Read</w:t>
            </w:r>
          </w:p>
        </w:tc>
      </w:tr>
      <w:tr>
        <w:tc>
          <w:tcPr>
            <w:tcW w:type="dxa" w:w="1872"/>
            <w:shd w:fill="FFFFFF"/>
          </w:tcPr>
          <w:p>
            <w:r>
              <w:rPr>
                <w:rFonts w:ascii="Calibri" w:hAnsi="Calibri"/>
                <w:sz w:val="20"/>
              </w:rPr>
              <w:t>Claims</w:t>
            </w:r>
          </w:p>
        </w:tc>
        <w:tc>
          <w:tcPr>
            <w:tcW w:type="dxa" w:w="1440"/>
            <w:shd w:fill="FFFFFF"/>
          </w:tcPr>
          <w:p>
            <w:r>
              <w:rPr>
                <w:rFonts w:ascii="Calibri" w:hAnsi="Calibri"/>
                <w:sz w:val="20"/>
              </w:rPr>
              <w:t>Full CRUD</w:t>
            </w:r>
          </w:p>
        </w:tc>
        <w:tc>
          <w:tcPr>
            <w:tcW w:type="dxa" w:w="1440"/>
            <w:shd w:fill="FFFFFF"/>
          </w:tcPr>
          <w:p>
            <w:r>
              <w:rPr>
                <w:rFonts w:ascii="Calibri" w:hAnsi="Calibri"/>
                <w:sz w:val="20"/>
              </w:rPr>
              <w:t>Read</w:t>
            </w:r>
          </w:p>
        </w:tc>
        <w:tc>
          <w:tcPr>
            <w:tcW w:type="dxa" w:w="1440"/>
            <w:shd w:fill="FFFFFF"/>
          </w:tcPr>
          <w:p>
            <w:r>
              <w:rPr>
                <w:rFonts w:ascii="Calibri" w:hAnsi="Calibri"/>
                <w:sz w:val="20"/>
              </w:rPr>
              <w:t>Full CRUD</w:t>
            </w:r>
          </w:p>
        </w:tc>
        <w:tc>
          <w:tcPr>
            <w:tcW w:type="dxa" w:w="1440"/>
            <w:shd w:fill="FFFFFF"/>
          </w:tcPr>
          <w:p>
            <w:r>
              <w:rPr>
                <w:rFonts w:ascii="Calibri" w:hAnsi="Calibri"/>
                <w:sz w:val="20"/>
              </w:rPr>
              <w:t>Create</w:t>
            </w:r>
          </w:p>
        </w:tc>
        <w:tc>
          <w:tcPr>
            <w:tcW w:type="dxa" w:w="1440"/>
            <w:shd w:fill="FFFFFF"/>
          </w:tcPr>
          <w:p>
            <w:r>
              <w:rPr>
                <w:rFonts w:ascii="Calibri" w:hAnsi="Calibri"/>
                <w:sz w:val="20"/>
              </w:rPr>
              <w:t>Read</w:t>
            </w:r>
          </w:p>
        </w:tc>
      </w:tr>
      <w:tr>
        <w:tc>
          <w:tcPr>
            <w:tcW w:type="dxa" w:w="1872"/>
            <w:shd w:fill="FFF7ED"/>
          </w:tcPr>
          <w:p>
            <w:r>
              <w:rPr>
                <w:rFonts w:ascii="Calibri" w:hAnsi="Calibri"/>
                <w:sz w:val="20"/>
              </w:rPr>
              <w:t>FNOL</w:t>
            </w:r>
          </w:p>
        </w:tc>
        <w:tc>
          <w:tcPr>
            <w:tcW w:type="dxa" w:w="1440"/>
            <w:shd w:fill="FFF7ED"/>
          </w:tcPr>
          <w:p>
            <w:r>
              <w:rPr>
                <w:rFonts w:ascii="Calibri" w:hAnsi="Calibri"/>
                <w:sz w:val="20"/>
              </w:rPr>
              <w:t>Full</w:t>
            </w:r>
          </w:p>
        </w:tc>
        <w:tc>
          <w:tcPr>
            <w:tcW w:type="dxa" w:w="1440"/>
            <w:shd w:fill="FFF7ED"/>
          </w:tcPr>
          <w:p>
            <w:r>
              <w:rPr>
                <w:rFonts w:ascii="Calibri" w:hAnsi="Calibri"/>
                <w:sz w:val="20"/>
              </w:rPr>
              <w:t>None</w:t>
            </w:r>
          </w:p>
        </w:tc>
        <w:tc>
          <w:tcPr>
            <w:tcW w:type="dxa" w:w="1440"/>
            <w:shd w:fill="FFF7ED"/>
          </w:tcPr>
          <w:p>
            <w:r>
              <w:rPr>
                <w:rFonts w:ascii="Calibri" w:hAnsi="Calibri"/>
                <w:sz w:val="20"/>
              </w:rPr>
              <w:t>Full</w:t>
            </w:r>
          </w:p>
        </w:tc>
        <w:tc>
          <w:tcPr>
            <w:tcW w:type="dxa" w:w="1440"/>
            <w:shd w:fill="FFF7ED"/>
          </w:tcPr>
          <w:p>
            <w:r>
              <w:rPr>
                <w:rFonts w:ascii="Calibri" w:hAnsi="Calibri"/>
                <w:sz w:val="20"/>
              </w:rPr>
              <w:t>Create</w:t>
            </w:r>
          </w:p>
        </w:tc>
        <w:tc>
          <w:tcPr>
            <w:tcW w:type="dxa" w:w="1440"/>
            <w:shd w:fill="FFF7ED"/>
          </w:tcPr>
          <w:p>
            <w:r>
              <w:rPr>
                <w:rFonts w:ascii="Calibri" w:hAnsi="Calibri"/>
                <w:sz w:val="20"/>
              </w:rPr>
              <w:t>Read</w:t>
            </w:r>
          </w:p>
        </w:tc>
      </w:tr>
      <w:tr>
        <w:tc>
          <w:tcPr>
            <w:tcW w:type="dxa" w:w="1872"/>
            <w:shd w:fill="FFFFFF"/>
          </w:tcPr>
          <w:p>
            <w:r>
              <w:rPr>
                <w:rFonts w:ascii="Calibri" w:hAnsi="Calibri"/>
                <w:sz w:val="20"/>
              </w:rPr>
              <w:t>Billing</w:t>
            </w:r>
          </w:p>
        </w:tc>
        <w:tc>
          <w:tcPr>
            <w:tcW w:type="dxa" w:w="1440"/>
            <w:shd w:fill="FFFFFF"/>
          </w:tcPr>
          <w:p>
            <w:r>
              <w:rPr>
                <w:rFonts w:ascii="Calibri" w:hAnsi="Calibri"/>
                <w:sz w:val="20"/>
              </w:rPr>
              <w:t>Full</w:t>
            </w:r>
          </w:p>
        </w:tc>
        <w:tc>
          <w:tcPr>
            <w:tcW w:type="dxa" w:w="1440"/>
            <w:shd w:fill="FFFFFF"/>
          </w:tcPr>
          <w:p>
            <w:r>
              <w:rPr>
                <w:rFonts w:ascii="Calibri" w:hAnsi="Calibri"/>
                <w:sz w:val="20"/>
              </w:rPr>
              <w:t>Read</w:t>
            </w:r>
          </w:p>
        </w:tc>
        <w:tc>
          <w:tcPr>
            <w:tcW w:type="dxa" w:w="1440"/>
            <w:shd w:fill="FFFFFF"/>
          </w:tcPr>
          <w:p>
            <w:r>
              <w:rPr>
                <w:rFonts w:ascii="Calibri" w:hAnsi="Calibri"/>
                <w:sz w:val="20"/>
              </w:rPr>
              <w:t>Read</w:t>
            </w:r>
          </w:p>
        </w:tc>
        <w:tc>
          <w:tcPr>
            <w:tcW w:type="dxa" w:w="1440"/>
            <w:shd w:fill="FFFFFF"/>
          </w:tcPr>
          <w:p>
            <w:r>
              <w:rPr>
                <w:rFonts w:ascii="Calibri" w:hAnsi="Calibri"/>
                <w:sz w:val="20"/>
              </w:rPr>
              <w:t>Read</w:t>
            </w:r>
          </w:p>
        </w:tc>
        <w:tc>
          <w:tcPr>
            <w:tcW w:type="dxa" w:w="1440"/>
            <w:shd w:fill="FFFFFF"/>
          </w:tcPr>
          <w:p>
            <w:r>
              <w:rPr>
                <w:rFonts w:ascii="Calibri" w:hAnsi="Calibri"/>
                <w:sz w:val="20"/>
              </w:rPr>
              <w:t>Read</w:t>
            </w:r>
          </w:p>
        </w:tc>
      </w:tr>
      <w:tr>
        <w:tc>
          <w:tcPr>
            <w:tcW w:type="dxa" w:w="1872"/>
            <w:shd w:fill="FFF7ED"/>
          </w:tcPr>
          <w:p>
            <w:r>
              <w:rPr>
                <w:rFonts w:ascii="Calibri" w:hAnsi="Calibri"/>
                <w:sz w:val="20"/>
              </w:rPr>
              <w:t>Tasks</w:t>
            </w:r>
          </w:p>
        </w:tc>
        <w:tc>
          <w:tcPr>
            <w:tcW w:type="dxa" w:w="1440"/>
            <w:shd w:fill="FFF7ED"/>
          </w:tcPr>
          <w:p>
            <w:r>
              <w:rPr>
                <w:rFonts w:ascii="Calibri" w:hAnsi="Calibri"/>
                <w:sz w:val="20"/>
              </w:rPr>
              <w:t>Full</w:t>
            </w:r>
          </w:p>
        </w:tc>
        <w:tc>
          <w:tcPr>
            <w:tcW w:type="dxa" w:w="1440"/>
            <w:shd w:fill="FFF7ED"/>
          </w:tcPr>
          <w:p>
            <w:r>
              <w:rPr>
                <w:rFonts w:ascii="Calibri" w:hAnsi="Calibri"/>
                <w:sz w:val="20"/>
              </w:rPr>
              <w:t>Assigned</w:t>
            </w:r>
          </w:p>
        </w:tc>
        <w:tc>
          <w:tcPr>
            <w:tcW w:type="dxa" w:w="1440"/>
            <w:shd w:fill="FFF7ED"/>
          </w:tcPr>
          <w:p>
            <w:r>
              <w:rPr>
                <w:rFonts w:ascii="Calibri" w:hAnsi="Calibri"/>
                <w:sz w:val="20"/>
              </w:rPr>
              <w:t>Assigned</w:t>
            </w:r>
          </w:p>
        </w:tc>
        <w:tc>
          <w:tcPr>
            <w:tcW w:type="dxa" w:w="1440"/>
            <w:shd w:fill="FFF7ED"/>
          </w:tcPr>
          <w:p>
            <w:r>
              <w:rPr>
                <w:rFonts w:ascii="Calibri" w:hAnsi="Calibri"/>
                <w:sz w:val="20"/>
              </w:rPr>
              <w:t>Assigned</w:t>
            </w:r>
          </w:p>
        </w:tc>
        <w:tc>
          <w:tcPr>
            <w:tcW w:type="dxa" w:w="1440"/>
            <w:shd w:fill="FFF7ED"/>
          </w:tcPr>
          <w:p>
            <w:r>
              <w:rPr>
                <w:rFonts w:ascii="Calibri" w:hAnsi="Calibri"/>
                <w:sz w:val="20"/>
              </w:rPr>
              <w:t>Read</w:t>
            </w:r>
          </w:p>
        </w:tc>
      </w:tr>
      <w:tr>
        <w:tc>
          <w:tcPr>
            <w:tcW w:type="dxa" w:w="1872"/>
            <w:shd w:fill="FFFFFF"/>
          </w:tcPr>
          <w:p>
            <w:r>
              <w:rPr>
                <w:rFonts w:ascii="Calibri" w:hAnsi="Calibri"/>
                <w:sz w:val="20"/>
              </w:rPr>
              <w:t>Documents</w:t>
            </w:r>
          </w:p>
        </w:tc>
        <w:tc>
          <w:tcPr>
            <w:tcW w:type="dxa" w:w="1440"/>
            <w:shd w:fill="FFFFFF"/>
          </w:tcPr>
          <w:p>
            <w:r>
              <w:rPr>
                <w:rFonts w:ascii="Calibri" w:hAnsi="Calibri"/>
                <w:sz w:val="20"/>
              </w:rPr>
              <w:t>Full</w:t>
            </w:r>
          </w:p>
        </w:tc>
        <w:tc>
          <w:tcPr>
            <w:tcW w:type="dxa" w:w="1440"/>
            <w:shd w:fill="FFFFFF"/>
          </w:tcPr>
          <w:p>
            <w:r>
              <w:rPr>
                <w:rFonts w:ascii="Calibri" w:hAnsi="Calibri"/>
                <w:sz w:val="20"/>
              </w:rPr>
              <w:t>Read</w:t>
            </w:r>
          </w:p>
        </w:tc>
        <w:tc>
          <w:tcPr>
            <w:tcW w:type="dxa" w:w="1440"/>
            <w:shd w:fill="FFFFFF"/>
          </w:tcPr>
          <w:p>
            <w:r>
              <w:rPr>
                <w:rFonts w:ascii="Calibri" w:hAnsi="Calibri"/>
                <w:sz w:val="20"/>
              </w:rPr>
              <w:t>Read</w:t>
            </w:r>
          </w:p>
        </w:tc>
        <w:tc>
          <w:tcPr>
            <w:tcW w:type="dxa" w:w="1440"/>
            <w:shd w:fill="FFFFFF"/>
          </w:tcPr>
          <w:p>
            <w:r>
              <w:rPr>
                <w:rFonts w:ascii="Calibri" w:hAnsi="Calibri"/>
                <w:sz w:val="20"/>
              </w:rPr>
              <w:t>Upload</w:t>
            </w:r>
          </w:p>
        </w:tc>
        <w:tc>
          <w:tcPr>
            <w:tcW w:type="dxa" w:w="1440"/>
            <w:shd w:fill="FFFFFF"/>
          </w:tcPr>
          <w:p>
            <w:r>
              <w:rPr>
                <w:rFonts w:ascii="Calibri" w:hAnsi="Calibri"/>
                <w:sz w:val="20"/>
              </w:rPr>
              <w:t>Read</w:t>
            </w:r>
          </w:p>
        </w:tc>
      </w:tr>
      <w:tr>
        <w:tc>
          <w:tcPr>
            <w:tcW w:type="dxa" w:w="1872"/>
            <w:shd w:fill="FFF7ED"/>
          </w:tcPr>
          <w:p>
            <w:r>
              <w:rPr>
                <w:rFonts w:ascii="Calibri" w:hAnsi="Calibri"/>
                <w:sz w:val="20"/>
              </w:rPr>
              <w:t>Reports</w:t>
            </w:r>
          </w:p>
        </w:tc>
        <w:tc>
          <w:tcPr>
            <w:tcW w:type="dxa" w:w="1440"/>
            <w:shd w:fill="FFF7ED"/>
          </w:tcPr>
          <w:p>
            <w:r>
              <w:rPr>
                <w:rFonts w:ascii="Calibri" w:hAnsi="Calibri"/>
                <w:sz w:val="20"/>
              </w:rPr>
              <w:t>Full</w:t>
            </w:r>
          </w:p>
        </w:tc>
        <w:tc>
          <w:tcPr>
            <w:tcW w:type="dxa" w:w="1440"/>
            <w:shd w:fill="FFF7ED"/>
          </w:tcPr>
          <w:p>
            <w:r>
              <w:rPr>
                <w:rFonts w:ascii="Calibri" w:hAnsi="Calibri"/>
                <w:sz w:val="20"/>
              </w:rPr>
              <w:t>Full</w:t>
            </w:r>
          </w:p>
        </w:tc>
        <w:tc>
          <w:tcPr>
            <w:tcW w:type="dxa" w:w="1440"/>
            <w:shd w:fill="FFF7ED"/>
          </w:tcPr>
          <w:p>
            <w:r>
              <w:rPr>
                <w:rFonts w:ascii="Calibri" w:hAnsi="Calibri"/>
                <w:sz w:val="20"/>
              </w:rPr>
              <w:t>Full</w:t>
            </w:r>
          </w:p>
        </w:tc>
        <w:tc>
          <w:tcPr>
            <w:tcW w:type="dxa" w:w="1440"/>
            <w:shd w:fill="FFF7ED"/>
          </w:tcPr>
          <w:p>
            <w:r>
              <w:rPr>
                <w:rFonts w:ascii="Calibri" w:hAnsi="Calibri"/>
                <w:sz w:val="20"/>
              </w:rPr>
              <w:t>Limited</w:t>
            </w:r>
          </w:p>
        </w:tc>
        <w:tc>
          <w:tcPr>
            <w:tcW w:type="dxa" w:w="1440"/>
            <w:shd w:fill="FFF7ED"/>
          </w:tcPr>
          <w:p>
            <w:r>
              <w:rPr>
                <w:rFonts w:ascii="Calibri" w:hAnsi="Calibri"/>
                <w:sz w:val="20"/>
              </w:rPr>
              <w:t>Full</w:t>
            </w:r>
          </w:p>
        </w:tc>
      </w:tr>
      <w:tr>
        <w:tc>
          <w:tcPr>
            <w:tcW w:type="dxa" w:w="1872"/>
            <w:shd w:fill="FFFFFF"/>
          </w:tcPr>
          <w:p>
            <w:r>
              <w:rPr>
                <w:rFonts w:ascii="Calibri" w:hAnsi="Calibri"/>
                <w:sz w:val="20"/>
              </w:rPr>
              <w:t>Compliance</w:t>
            </w:r>
          </w:p>
        </w:tc>
        <w:tc>
          <w:tcPr>
            <w:tcW w:type="dxa" w:w="1440"/>
            <w:shd w:fill="FFFFFF"/>
          </w:tcPr>
          <w:p>
            <w:r>
              <w:rPr>
                <w:rFonts w:ascii="Calibri" w:hAnsi="Calibri"/>
                <w:sz w:val="20"/>
              </w:rPr>
              <w:t>Full</w:t>
            </w:r>
          </w:p>
        </w:tc>
        <w:tc>
          <w:tcPr>
            <w:tcW w:type="dxa" w:w="1440"/>
            <w:shd w:fill="FFFFFF"/>
          </w:tcPr>
          <w:p>
            <w:r>
              <w:rPr>
                <w:rFonts w:ascii="Calibri" w:hAnsi="Calibri"/>
                <w:sz w:val="20"/>
              </w:rPr>
              <w:t>None</w:t>
            </w:r>
          </w:p>
        </w:tc>
        <w:tc>
          <w:tcPr>
            <w:tcW w:type="dxa" w:w="1440"/>
            <w:shd w:fill="FFFFFF"/>
          </w:tcPr>
          <w:p>
            <w:r>
              <w:rPr>
                <w:rFonts w:ascii="Calibri" w:hAnsi="Calibri"/>
                <w:sz w:val="20"/>
              </w:rPr>
              <w:t>None</w:t>
            </w:r>
          </w:p>
        </w:tc>
        <w:tc>
          <w:tcPr>
            <w:tcW w:type="dxa" w:w="1440"/>
            <w:shd w:fill="FFFFFF"/>
          </w:tcPr>
          <w:p>
            <w:r>
              <w:rPr>
                <w:rFonts w:ascii="Calibri" w:hAnsi="Calibri"/>
                <w:sz w:val="20"/>
              </w:rPr>
              <w:t>None</w:t>
            </w:r>
          </w:p>
        </w:tc>
        <w:tc>
          <w:tcPr>
            <w:tcW w:type="dxa" w:w="1440"/>
            <w:shd w:fill="FFFFFF"/>
          </w:tcPr>
          <w:p>
            <w:r>
              <w:rPr>
                <w:rFonts w:ascii="Calibri" w:hAnsi="Calibri"/>
                <w:sz w:val="20"/>
              </w:rPr>
              <w:t>Read</w:t>
            </w:r>
          </w:p>
        </w:tc>
      </w:tr>
      <w:tr>
        <w:tc>
          <w:tcPr>
            <w:tcW w:type="dxa" w:w="1872"/>
            <w:shd w:fill="FFF7ED"/>
          </w:tcPr>
          <w:p>
            <w:r>
              <w:rPr>
                <w:rFonts w:ascii="Calibri" w:hAnsi="Calibri"/>
                <w:sz w:val="20"/>
              </w:rPr>
              <w:t>Admin</w:t>
            </w:r>
          </w:p>
        </w:tc>
        <w:tc>
          <w:tcPr>
            <w:tcW w:type="dxa" w:w="1440"/>
            <w:shd w:fill="FFF7ED"/>
          </w:tcPr>
          <w:p>
            <w:r>
              <w:rPr>
                <w:rFonts w:ascii="Calibri" w:hAnsi="Calibri"/>
                <w:sz w:val="20"/>
              </w:rPr>
              <w:t>Full</w:t>
            </w:r>
          </w:p>
        </w:tc>
        <w:tc>
          <w:tcPr>
            <w:tcW w:type="dxa" w:w="1440"/>
            <w:shd w:fill="FFF7ED"/>
          </w:tcPr>
          <w:p>
            <w:r>
              <w:rPr>
                <w:rFonts w:ascii="Calibri" w:hAnsi="Calibri"/>
                <w:sz w:val="20"/>
              </w:rPr>
              <w:t>None</w:t>
            </w:r>
          </w:p>
        </w:tc>
        <w:tc>
          <w:tcPr>
            <w:tcW w:type="dxa" w:w="1440"/>
            <w:shd w:fill="FFF7ED"/>
          </w:tcPr>
          <w:p>
            <w:r>
              <w:rPr>
                <w:rFonts w:ascii="Calibri" w:hAnsi="Calibri"/>
                <w:sz w:val="20"/>
              </w:rPr>
              <w:t>None</w:t>
            </w:r>
          </w:p>
        </w:tc>
        <w:tc>
          <w:tcPr>
            <w:tcW w:type="dxa" w:w="1440"/>
            <w:shd w:fill="FFF7ED"/>
          </w:tcPr>
          <w:p>
            <w:r>
              <w:rPr>
                <w:rFonts w:ascii="Calibri" w:hAnsi="Calibri"/>
                <w:sz w:val="20"/>
              </w:rPr>
              <w:t>None</w:t>
            </w:r>
          </w:p>
        </w:tc>
        <w:tc>
          <w:tcPr>
            <w:tcW w:type="dxa" w:w="1440"/>
            <w:shd w:fill="FFF7ED"/>
          </w:tcPr>
          <w:p>
            <w:r>
              <w:rPr>
                <w:rFonts w:ascii="Calibri" w:hAnsi="Calibri"/>
                <w:sz w:val="20"/>
              </w:rPr>
              <w:t>None</w:t>
            </w:r>
          </w:p>
        </w:tc>
      </w:tr>
    </w:tbl>
    <w:p>
      <w:r>
        <w:br w:type="page"/>
      </w:r>
    </w:p>
    <w:p>
      <w:pPr>
        <w:pStyle w:val="Heading1"/>
      </w:pPr>
      <w:r>
        <w:t>23. Navigation Reference</w:t>
      </w:r>
    </w:p>
    <w:p>
      <w:r>
        <w:t>The sidebar navigation is organized into 4 sections with role-based visibility: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E3A5F"/>
          </w:tcPr>
          <w:p>
            <w:pPr>
              <w:jc w:val="left"/>
            </w:pPr>
            <w:r>
              <w:rPr>
                <w:rFonts w:ascii="Calibri" w:hAnsi="Calibri"/>
                <w:b/>
                <w:color w:val="FFFFFF"/>
                <w:sz w:val="20"/>
              </w:rPr>
              <w:t>Section</w:t>
            </w:r>
          </w:p>
        </w:tc>
        <w:tc>
          <w:tcPr>
            <w:tcW w:type="dxa" w:w="1872"/>
            <w:shd w:fill="1E3A5F"/>
          </w:tcPr>
          <w:p>
            <w:pPr>
              <w:jc w:val="left"/>
            </w:pPr>
            <w:r>
              <w:rPr>
                <w:rFonts w:ascii="Calibri" w:hAnsi="Calibri"/>
                <w:b/>
                <w:color w:val="FFFFFF"/>
                <w:sz w:val="20"/>
              </w:rPr>
              <w:t>Module</w:t>
            </w:r>
          </w:p>
        </w:tc>
        <w:tc>
          <w:tcPr>
            <w:tcW w:type="dxa" w:w="2880"/>
            <w:shd w:fill="1E3A5F"/>
          </w:tcPr>
          <w:p>
            <w:pPr>
              <w:jc w:val="left"/>
            </w:pPr>
            <w:r>
              <w:rPr>
                <w:rFonts w:ascii="Calibri" w:hAnsi="Calibri"/>
                <w:b/>
                <w:color w:val="FFFFFF"/>
                <w:sz w:val="20"/>
              </w:rPr>
              <w:t>Route</w:t>
            </w:r>
          </w:p>
        </w:tc>
        <w:tc>
          <w:tcPr>
            <w:tcW w:type="dxa" w:w="2448"/>
            <w:shd w:fill="1E3A5F"/>
          </w:tcPr>
          <w:p>
            <w:pPr>
              <w:jc w:val="left"/>
            </w:pPr>
            <w:r>
              <w:rPr>
                <w:rFonts w:ascii="Calibri" w:hAnsi="Calibri"/>
                <w:b/>
                <w:color w:val="FFFFFF"/>
                <w:sz w:val="20"/>
              </w:rPr>
              <w:t>Access</w:t>
            </w:r>
          </w:p>
        </w:tc>
      </w:tr>
      <w:tr>
        <w:tc>
          <w:tcPr>
            <w:tcW w:type="dxa" w:w="2160"/>
            <w:shd w:fill="FFF7ED"/>
          </w:tcPr>
          <w:p>
            <w:r>
              <w:rPr>
                <w:rFonts w:ascii="Calibri" w:hAnsi="Calibri"/>
                <w:sz w:val="20"/>
              </w:rPr>
              <w:t>Core Operations</w:t>
            </w:r>
          </w:p>
        </w:tc>
        <w:tc>
          <w:tcPr>
            <w:tcW w:type="dxa" w:w="1872"/>
            <w:shd w:fill="FFF7ED"/>
          </w:tcPr>
          <w:p>
            <w:r>
              <w:rPr>
                <w:rFonts w:ascii="Calibri" w:hAnsi="Calibri"/>
                <w:sz w:val="20"/>
              </w:rPr>
              <w:t>Dashboard</w:t>
            </w:r>
          </w:p>
        </w:tc>
        <w:tc>
          <w:tcPr>
            <w:tcW w:type="dxa" w:w="2880"/>
            <w:shd w:fill="FFF7ED"/>
          </w:tcPr>
          <w:p>
            <w:r>
              <w:rPr>
                <w:rFonts w:ascii="Calibri" w:hAnsi="Calibri"/>
                <w:sz w:val="20"/>
              </w:rPr>
              <w:t>/dashboard</w:t>
            </w:r>
          </w:p>
        </w:tc>
        <w:tc>
          <w:tcPr>
            <w:tcW w:type="dxa" w:w="2448"/>
            <w:shd w:fill="FFF7ED"/>
          </w:tcPr>
          <w:p>
            <w:r>
              <w:rPr>
                <w:rFonts w:ascii="Calibri" w:hAnsi="Calibri"/>
                <w:sz w:val="20"/>
              </w:rPr>
              <w:t>All roles</w:t>
            </w:r>
          </w:p>
        </w:tc>
      </w:tr>
      <w:tr>
        <w:tc>
          <w:tcPr>
            <w:tcW w:type="dxa" w:w="2160"/>
            <w:shd w:fill="FFFFFF"/>
          </w:tcPr>
          <w:p>
            <w:r>
              <w:rPr>
                <w:rFonts w:ascii="Calibri" w:hAnsi="Calibri"/>
                <w:sz w:val="20"/>
              </w:rPr>
              <w:t>Core Operations</w:t>
            </w:r>
          </w:p>
        </w:tc>
        <w:tc>
          <w:tcPr>
            <w:tcW w:type="dxa" w:w="1872"/>
            <w:shd w:fill="FFFFFF"/>
          </w:tcPr>
          <w:p>
            <w:r>
              <w:rPr>
                <w:rFonts w:ascii="Calibri" w:hAnsi="Calibri"/>
                <w:sz w:val="20"/>
              </w:rPr>
              <w:t>Policies</w:t>
            </w:r>
          </w:p>
        </w:tc>
        <w:tc>
          <w:tcPr>
            <w:tcW w:type="dxa" w:w="2880"/>
            <w:shd w:fill="FFFFFF"/>
          </w:tcPr>
          <w:p>
            <w:r>
              <w:rPr>
                <w:rFonts w:ascii="Calibri" w:hAnsi="Calibri"/>
                <w:sz w:val="20"/>
              </w:rPr>
              <w:t>/policies</w:t>
            </w:r>
          </w:p>
        </w:tc>
        <w:tc>
          <w:tcPr>
            <w:tcW w:type="dxa" w:w="2448"/>
            <w:shd w:fill="FFFFFF"/>
          </w:tcPr>
          <w:p>
            <w:r>
              <w:rPr>
                <w:rFonts w:ascii="Calibri" w:hAnsi="Calibri"/>
                <w:sz w:val="20"/>
              </w:rPr>
              <w:t>All roles</w:t>
            </w:r>
          </w:p>
        </w:tc>
      </w:tr>
      <w:tr>
        <w:tc>
          <w:tcPr>
            <w:tcW w:type="dxa" w:w="2160"/>
            <w:shd w:fill="FFF7ED"/>
          </w:tcPr>
          <w:p>
            <w:r>
              <w:rPr>
                <w:rFonts w:ascii="Calibri" w:hAnsi="Calibri"/>
                <w:sz w:val="20"/>
              </w:rPr>
              <w:t>Core Operations</w:t>
            </w:r>
          </w:p>
        </w:tc>
        <w:tc>
          <w:tcPr>
            <w:tcW w:type="dxa" w:w="1872"/>
            <w:shd w:fill="FFF7ED"/>
          </w:tcPr>
          <w:p>
            <w:r>
              <w:rPr>
                <w:rFonts w:ascii="Calibri" w:hAnsi="Calibri"/>
                <w:sz w:val="20"/>
              </w:rPr>
              <w:t>Renewals</w:t>
            </w:r>
          </w:p>
        </w:tc>
        <w:tc>
          <w:tcPr>
            <w:tcW w:type="dxa" w:w="2880"/>
            <w:shd w:fill="FFF7ED"/>
          </w:tcPr>
          <w:p>
            <w:r>
              <w:rPr>
                <w:rFonts w:ascii="Calibri" w:hAnsi="Calibri"/>
                <w:sz w:val="20"/>
              </w:rPr>
              <w:t>/renewals</w:t>
            </w:r>
          </w:p>
        </w:tc>
        <w:tc>
          <w:tcPr>
            <w:tcW w:type="dxa" w:w="2448"/>
            <w:shd w:fill="FFF7ED"/>
          </w:tcPr>
          <w:p>
            <w:r>
              <w:rPr>
                <w:rFonts w:ascii="Calibri" w:hAnsi="Calibri"/>
                <w:sz w:val="20"/>
              </w:rPr>
              <w:t>All roles</w:t>
            </w:r>
          </w:p>
        </w:tc>
      </w:tr>
      <w:tr>
        <w:tc>
          <w:tcPr>
            <w:tcW w:type="dxa" w:w="2160"/>
            <w:shd w:fill="FFFFFF"/>
          </w:tcPr>
          <w:p>
            <w:r>
              <w:rPr>
                <w:rFonts w:ascii="Calibri" w:hAnsi="Calibri"/>
                <w:sz w:val="20"/>
              </w:rPr>
              <w:t>Core Operations</w:t>
            </w:r>
          </w:p>
        </w:tc>
        <w:tc>
          <w:tcPr>
            <w:tcW w:type="dxa" w:w="1872"/>
            <w:shd w:fill="FFFFFF"/>
          </w:tcPr>
          <w:p>
            <w:r>
              <w:rPr>
                <w:rFonts w:ascii="Calibri" w:hAnsi="Calibri"/>
                <w:sz w:val="20"/>
              </w:rPr>
              <w:t>Customers</w:t>
            </w:r>
          </w:p>
        </w:tc>
        <w:tc>
          <w:tcPr>
            <w:tcW w:type="dxa" w:w="2880"/>
            <w:shd w:fill="FFFFFF"/>
          </w:tcPr>
          <w:p>
            <w:r>
              <w:rPr>
                <w:rFonts w:ascii="Calibri" w:hAnsi="Calibri"/>
                <w:sz w:val="20"/>
              </w:rPr>
              <w:t>/customers</w:t>
            </w:r>
          </w:p>
        </w:tc>
        <w:tc>
          <w:tcPr>
            <w:tcW w:type="dxa" w:w="2448"/>
            <w:shd w:fill="FFFFFF"/>
          </w:tcPr>
          <w:p>
            <w:r>
              <w:rPr>
                <w:rFonts w:ascii="Calibri" w:hAnsi="Calibri"/>
                <w:sz w:val="20"/>
              </w:rPr>
              <w:t>All roles</w:t>
            </w:r>
          </w:p>
        </w:tc>
      </w:tr>
      <w:tr>
        <w:tc>
          <w:tcPr>
            <w:tcW w:type="dxa" w:w="2160"/>
            <w:shd w:fill="FFF7ED"/>
          </w:tcPr>
          <w:p>
            <w:r>
              <w:rPr>
                <w:rFonts w:ascii="Calibri" w:hAnsi="Calibri"/>
                <w:sz w:val="20"/>
              </w:rPr>
              <w:t>Core Operations</w:t>
            </w:r>
          </w:p>
        </w:tc>
        <w:tc>
          <w:tcPr>
            <w:tcW w:type="dxa" w:w="1872"/>
            <w:shd w:fill="FFF7ED"/>
          </w:tcPr>
          <w:p>
            <w:r>
              <w:rPr>
                <w:rFonts w:ascii="Calibri" w:hAnsi="Calibri"/>
                <w:sz w:val="20"/>
              </w:rPr>
              <w:t>Underwriting</w:t>
            </w:r>
          </w:p>
        </w:tc>
        <w:tc>
          <w:tcPr>
            <w:tcW w:type="dxa" w:w="2880"/>
            <w:shd w:fill="FFF7ED"/>
          </w:tcPr>
          <w:p>
            <w:r>
              <w:rPr>
                <w:rFonts w:ascii="Calibri" w:hAnsi="Calibri"/>
                <w:sz w:val="20"/>
              </w:rPr>
              <w:t>/underwriting</w:t>
            </w:r>
          </w:p>
        </w:tc>
        <w:tc>
          <w:tcPr>
            <w:tcW w:type="dxa" w:w="2448"/>
            <w:shd w:fill="FFF7ED"/>
          </w:tcPr>
          <w:p>
            <w:r>
              <w:rPr>
                <w:rFonts w:ascii="Calibri" w:hAnsi="Calibri"/>
                <w:sz w:val="20"/>
              </w:rPr>
              <w:t>Admin, UW, Ops, Viewer</w:t>
            </w:r>
          </w:p>
        </w:tc>
      </w:tr>
      <w:tr>
        <w:tc>
          <w:tcPr>
            <w:tcW w:type="dxa" w:w="2160"/>
            <w:shd w:fill="FFFFFF"/>
          </w:tcPr>
          <w:p>
            <w:r>
              <w:rPr>
                <w:rFonts w:ascii="Calibri" w:hAnsi="Calibri"/>
                <w:sz w:val="20"/>
              </w:rPr>
              <w:t>Core Operations</w:t>
            </w:r>
          </w:p>
        </w:tc>
        <w:tc>
          <w:tcPr>
            <w:tcW w:type="dxa" w:w="1872"/>
            <w:shd w:fill="FFFFFF"/>
          </w:tcPr>
          <w:p>
            <w:r>
              <w:rPr>
                <w:rFonts w:ascii="Calibri" w:hAnsi="Calibri"/>
                <w:sz w:val="20"/>
              </w:rPr>
              <w:t>Claims</w:t>
            </w:r>
          </w:p>
        </w:tc>
        <w:tc>
          <w:tcPr>
            <w:tcW w:type="dxa" w:w="2880"/>
            <w:shd w:fill="FFFFFF"/>
          </w:tcPr>
          <w:p>
            <w:r>
              <w:rPr>
                <w:rFonts w:ascii="Calibri" w:hAnsi="Calibri"/>
                <w:sz w:val="20"/>
              </w:rPr>
              <w:t>/claims</w:t>
            </w:r>
          </w:p>
        </w:tc>
        <w:tc>
          <w:tcPr>
            <w:tcW w:type="dxa" w:w="2448"/>
            <w:shd w:fill="FFFFFF"/>
          </w:tcPr>
          <w:p>
            <w:r>
              <w:rPr>
                <w:rFonts w:ascii="Calibri" w:hAnsi="Calibri"/>
                <w:sz w:val="20"/>
              </w:rPr>
              <w:t>Admin, Claims, Ops, Viewer</w:t>
            </w:r>
          </w:p>
        </w:tc>
      </w:tr>
      <w:tr>
        <w:tc>
          <w:tcPr>
            <w:tcW w:type="dxa" w:w="2160"/>
            <w:shd w:fill="FFF7ED"/>
          </w:tcPr>
          <w:p>
            <w:r>
              <w:rPr>
                <w:rFonts w:ascii="Calibri" w:hAnsi="Calibri"/>
                <w:sz w:val="20"/>
              </w:rPr>
              <w:t>Core Operations</w:t>
            </w:r>
          </w:p>
        </w:tc>
        <w:tc>
          <w:tcPr>
            <w:tcW w:type="dxa" w:w="1872"/>
            <w:shd w:fill="FFF7ED"/>
          </w:tcPr>
          <w:p>
            <w:r>
              <w:rPr>
                <w:rFonts w:ascii="Calibri" w:hAnsi="Calibri"/>
                <w:sz w:val="20"/>
              </w:rPr>
              <w:t>FNOL</w:t>
            </w:r>
          </w:p>
        </w:tc>
        <w:tc>
          <w:tcPr>
            <w:tcW w:type="dxa" w:w="2880"/>
            <w:shd w:fill="FFF7ED"/>
          </w:tcPr>
          <w:p>
            <w:r>
              <w:rPr>
                <w:rFonts w:ascii="Calibri" w:hAnsi="Calibri"/>
                <w:sz w:val="20"/>
              </w:rPr>
              <w:t>/claims/fnol</w:t>
            </w:r>
          </w:p>
        </w:tc>
        <w:tc>
          <w:tcPr>
            <w:tcW w:type="dxa" w:w="2448"/>
            <w:shd w:fill="FFF7ED"/>
          </w:tcPr>
          <w:p>
            <w:r>
              <w:rPr>
                <w:rFonts w:ascii="Calibri" w:hAnsi="Calibri"/>
                <w:sz w:val="20"/>
              </w:rPr>
              <w:t>Admin, Claims, Ops</w:t>
            </w:r>
          </w:p>
        </w:tc>
      </w:tr>
      <w:tr>
        <w:tc>
          <w:tcPr>
            <w:tcW w:type="dxa" w:w="2160"/>
            <w:shd w:fill="FFFFFF"/>
          </w:tcPr>
          <w:p>
            <w:r>
              <w:rPr>
                <w:rFonts w:ascii="Calibri" w:hAnsi="Calibri"/>
                <w:sz w:val="20"/>
              </w:rPr>
              <w:t>Financial</w:t>
            </w:r>
          </w:p>
        </w:tc>
        <w:tc>
          <w:tcPr>
            <w:tcW w:type="dxa" w:w="1872"/>
            <w:shd w:fill="FFFFFF"/>
          </w:tcPr>
          <w:p>
            <w:r>
              <w:rPr>
                <w:rFonts w:ascii="Calibri" w:hAnsi="Calibri"/>
                <w:sz w:val="20"/>
              </w:rPr>
              <w:t>Billing</w:t>
            </w:r>
          </w:p>
        </w:tc>
        <w:tc>
          <w:tcPr>
            <w:tcW w:type="dxa" w:w="2880"/>
            <w:shd w:fill="FFFFFF"/>
          </w:tcPr>
          <w:p>
            <w:r>
              <w:rPr>
                <w:rFonts w:ascii="Calibri" w:hAnsi="Calibri"/>
                <w:sz w:val="20"/>
              </w:rPr>
              <w:t>/billing</w:t>
            </w:r>
          </w:p>
        </w:tc>
        <w:tc>
          <w:tcPr>
            <w:tcW w:type="dxa" w:w="2448"/>
            <w:shd w:fill="FFFFFF"/>
          </w:tcPr>
          <w:p>
            <w:r>
              <w:rPr>
                <w:rFonts w:ascii="Calibri" w:hAnsi="Calibri"/>
                <w:sz w:val="20"/>
              </w:rPr>
              <w:t>Admin, Ops, Viewer</w:t>
            </w:r>
          </w:p>
        </w:tc>
      </w:tr>
      <w:tr>
        <w:tc>
          <w:tcPr>
            <w:tcW w:type="dxa" w:w="2160"/>
            <w:shd w:fill="FFF7ED"/>
          </w:tcPr>
          <w:p>
            <w:r>
              <w:rPr>
                <w:rFonts w:ascii="Calibri" w:hAnsi="Calibri"/>
                <w:sz w:val="20"/>
              </w:rPr>
              <w:t>Financial</w:t>
            </w:r>
          </w:p>
        </w:tc>
        <w:tc>
          <w:tcPr>
            <w:tcW w:type="dxa" w:w="1872"/>
            <w:shd w:fill="FFF7ED"/>
          </w:tcPr>
          <w:p>
            <w:r>
              <w:rPr>
                <w:rFonts w:ascii="Calibri" w:hAnsi="Calibri"/>
                <w:sz w:val="20"/>
              </w:rPr>
              <w:t>Tasks</w:t>
            </w:r>
          </w:p>
        </w:tc>
        <w:tc>
          <w:tcPr>
            <w:tcW w:type="dxa" w:w="2880"/>
            <w:shd w:fill="FFF7ED"/>
          </w:tcPr>
          <w:p>
            <w:r>
              <w:rPr>
                <w:rFonts w:ascii="Calibri" w:hAnsi="Calibri"/>
                <w:sz w:val="20"/>
              </w:rPr>
              <w:t>/tasks</w:t>
            </w:r>
          </w:p>
        </w:tc>
        <w:tc>
          <w:tcPr>
            <w:tcW w:type="dxa" w:w="2448"/>
            <w:shd w:fill="FFF7ED"/>
          </w:tcPr>
          <w:p>
            <w:r>
              <w:rPr>
                <w:rFonts w:ascii="Calibri" w:hAnsi="Calibri"/>
                <w:sz w:val="20"/>
              </w:rPr>
              <w:t>Admin, UW, Claims, Ops</w:t>
            </w:r>
          </w:p>
        </w:tc>
      </w:tr>
      <w:tr>
        <w:tc>
          <w:tcPr>
            <w:tcW w:type="dxa" w:w="2160"/>
            <w:shd w:fill="FFFFFF"/>
          </w:tcPr>
          <w:p>
            <w:r>
              <w:rPr>
                <w:rFonts w:ascii="Calibri" w:hAnsi="Calibri"/>
                <w:sz w:val="20"/>
              </w:rPr>
              <w:t>Reports &amp; Docs</w:t>
            </w:r>
          </w:p>
        </w:tc>
        <w:tc>
          <w:tcPr>
            <w:tcW w:type="dxa" w:w="1872"/>
            <w:shd w:fill="FFFFFF"/>
          </w:tcPr>
          <w:p>
            <w:r>
              <w:rPr>
                <w:rFonts w:ascii="Calibri" w:hAnsi="Calibri"/>
                <w:sz w:val="20"/>
              </w:rPr>
              <w:t>Documents</w:t>
            </w:r>
          </w:p>
        </w:tc>
        <w:tc>
          <w:tcPr>
            <w:tcW w:type="dxa" w:w="2880"/>
            <w:shd w:fill="FFFFFF"/>
          </w:tcPr>
          <w:p>
            <w:r>
              <w:rPr>
                <w:rFonts w:ascii="Calibri" w:hAnsi="Calibri"/>
                <w:sz w:val="20"/>
              </w:rPr>
              <w:t>/documents</w:t>
            </w:r>
          </w:p>
        </w:tc>
        <w:tc>
          <w:tcPr>
            <w:tcW w:type="dxa" w:w="2448"/>
            <w:shd w:fill="FFFFFF"/>
          </w:tcPr>
          <w:p>
            <w:r>
              <w:rPr>
                <w:rFonts w:ascii="Calibri" w:hAnsi="Calibri"/>
                <w:sz w:val="20"/>
              </w:rPr>
              <w:t>Admin, Ops</w:t>
            </w:r>
          </w:p>
        </w:tc>
      </w:tr>
      <w:tr>
        <w:tc>
          <w:tcPr>
            <w:tcW w:type="dxa" w:w="2160"/>
            <w:shd w:fill="FFF7ED"/>
          </w:tcPr>
          <w:p>
            <w:r>
              <w:rPr>
                <w:rFonts w:ascii="Calibri" w:hAnsi="Calibri"/>
                <w:sz w:val="20"/>
              </w:rPr>
              <w:t>Reports &amp; Docs</w:t>
            </w:r>
          </w:p>
        </w:tc>
        <w:tc>
          <w:tcPr>
            <w:tcW w:type="dxa" w:w="1872"/>
            <w:shd w:fill="FFF7ED"/>
          </w:tcPr>
          <w:p>
            <w:r>
              <w:rPr>
                <w:rFonts w:ascii="Calibri" w:hAnsi="Calibri"/>
                <w:sz w:val="20"/>
              </w:rPr>
              <w:t>Reports</w:t>
            </w:r>
          </w:p>
        </w:tc>
        <w:tc>
          <w:tcPr>
            <w:tcW w:type="dxa" w:w="2880"/>
            <w:shd w:fill="FFF7ED"/>
          </w:tcPr>
          <w:p>
            <w:r>
              <w:rPr>
                <w:rFonts w:ascii="Calibri" w:hAnsi="Calibri"/>
                <w:sz w:val="20"/>
              </w:rPr>
              <w:t>/reports</w:t>
            </w:r>
          </w:p>
        </w:tc>
        <w:tc>
          <w:tcPr>
            <w:tcW w:type="dxa" w:w="2448"/>
            <w:shd w:fill="FFF7ED"/>
          </w:tcPr>
          <w:p>
            <w:r>
              <w:rPr>
                <w:rFonts w:ascii="Calibri" w:hAnsi="Calibri"/>
                <w:sz w:val="20"/>
              </w:rPr>
              <w:t>All roles</w:t>
            </w:r>
          </w:p>
        </w:tc>
      </w:tr>
      <w:tr>
        <w:tc>
          <w:tcPr>
            <w:tcW w:type="dxa" w:w="2160"/>
            <w:shd w:fill="FFFFFF"/>
          </w:tcPr>
          <w:p>
            <w:r>
              <w:rPr>
                <w:rFonts w:ascii="Calibri" w:hAnsi="Calibri"/>
                <w:sz w:val="20"/>
              </w:rPr>
              <w:t>Reports &amp; Docs</w:t>
            </w:r>
          </w:p>
        </w:tc>
        <w:tc>
          <w:tcPr>
            <w:tcW w:type="dxa" w:w="1872"/>
            <w:shd w:fill="FFFFFF"/>
          </w:tcPr>
          <w:p>
            <w:r>
              <w:rPr>
                <w:rFonts w:ascii="Calibri" w:hAnsi="Calibri"/>
                <w:sz w:val="20"/>
              </w:rPr>
              <w:t>Docs</w:t>
            </w:r>
          </w:p>
        </w:tc>
        <w:tc>
          <w:tcPr>
            <w:tcW w:type="dxa" w:w="2880"/>
            <w:shd w:fill="FFFFFF"/>
          </w:tcPr>
          <w:p>
            <w:r>
              <w:rPr>
                <w:rFonts w:ascii="Calibri" w:hAnsi="Calibri"/>
                <w:sz w:val="20"/>
              </w:rPr>
              <w:t>/documentation</w:t>
            </w:r>
          </w:p>
        </w:tc>
        <w:tc>
          <w:tcPr>
            <w:tcW w:type="dxa" w:w="2448"/>
            <w:shd w:fill="FFFFFF"/>
          </w:tcPr>
          <w:p>
            <w:r>
              <w:rPr>
                <w:rFonts w:ascii="Calibri" w:hAnsi="Calibri"/>
                <w:sz w:val="20"/>
              </w:rPr>
              <w:t>All roles</w:t>
            </w:r>
          </w:p>
        </w:tc>
      </w:tr>
      <w:tr>
        <w:tc>
          <w:tcPr>
            <w:tcW w:type="dxa" w:w="2160"/>
            <w:shd w:fill="FFF7ED"/>
          </w:tcPr>
          <w:p>
            <w:r>
              <w:rPr>
                <w:rFonts w:ascii="Calibri" w:hAnsi="Calibri"/>
                <w:sz w:val="20"/>
              </w:rPr>
              <w:t>Administration</w:t>
            </w:r>
          </w:p>
        </w:tc>
        <w:tc>
          <w:tcPr>
            <w:tcW w:type="dxa" w:w="1872"/>
            <w:shd w:fill="FFF7ED"/>
          </w:tcPr>
          <w:p>
            <w:r>
              <w:rPr>
                <w:rFonts w:ascii="Calibri" w:hAnsi="Calibri"/>
                <w:sz w:val="20"/>
              </w:rPr>
              <w:t>Compliance</w:t>
            </w:r>
          </w:p>
        </w:tc>
        <w:tc>
          <w:tcPr>
            <w:tcW w:type="dxa" w:w="2880"/>
            <w:shd w:fill="FFF7ED"/>
          </w:tcPr>
          <w:p>
            <w:r>
              <w:rPr>
                <w:rFonts w:ascii="Calibri" w:hAnsi="Calibri"/>
                <w:sz w:val="20"/>
              </w:rPr>
              <w:t>/admin/compliance</w:t>
            </w:r>
          </w:p>
        </w:tc>
        <w:tc>
          <w:tcPr>
            <w:tcW w:type="dxa" w:w="2448"/>
            <w:shd w:fill="FFF7ED"/>
          </w:tcPr>
          <w:p>
            <w:r>
              <w:rPr>
                <w:rFonts w:ascii="Calibri" w:hAnsi="Calibri"/>
                <w:sz w:val="20"/>
              </w:rPr>
              <w:t>Admin only</w:t>
            </w:r>
          </w:p>
        </w:tc>
      </w:tr>
      <w:tr>
        <w:tc>
          <w:tcPr>
            <w:tcW w:type="dxa" w:w="2160"/>
            <w:shd w:fill="FFFFFF"/>
          </w:tcPr>
          <w:p>
            <w:r>
              <w:rPr>
                <w:rFonts w:ascii="Calibri" w:hAnsi="Calibri"/>
                <w:sz w:val="20"/>
              </w:rPr>
              <w:t>Administration</w:t>
            </w:r>
          </w:p>
        </w:tc>
        <w:tc>
          <w:tcPr>
            <w:tcW w:type="dxa" w:w="1872"/>
            <w:shd w:fill="FFFFFF"/>
          </w:tcPr>
          <w:p>
            <w:r>
              <w:rPr>
                <w:rFonts w:ascii="Calibri" w:hAnsi="Calibri"/>
                <w:sz w:val="20"/>
              </w:rPr>
              <w:t>Admin</w:t>
            </w:r>
          </w:p>
        </w:tc>
        <w:tc>
          <w:tcPr>
            <w:tcW w:type="dxa" w:w="2880"/>
            <w:shd w:fill="FFFFFF"/>
          </w:tcPr>
          <w:p>
            <w:r>
              <w:rPr>
                <w:rFonts w:ascii="Calibri" w:hAnsi="Calibri"/>
                <w:sz w:val="20"/>
              </w:rPr>
              <w:t>/admin</w:t>
            </w:r>
          </w:p>
        </w:tc>
        <w:tc>
          <w:tcPr>
            <w:tcW w:type="dxa" w:w="2448"/>
            <w:shd w:fill="FFFFFF"/>
          </w:tcPr>
          <w:p>
            <w:r>
              <w:rPr>
                <w:rFonts w:ascii="Calibri" w:hAnsi="Calibri"/>
                <w:sz w:val="20"/>
              </w:rPr>
              <w:t>Admin only</w:t>
            </w:r>
          </w:p>
        </w:tc>
      </w:tr>
    </w:tbl>
    <w:p>
      <w:r>
        <w:br w:type="page"/>
      </w:r>
    </w:p>
    <w:p>
      <w:pPr>
        <w:pStyle w:val="Heading1"/>
      </w:pPr>
      <w:r>
        <w:t>24. API Endpoints Reference</w:t>
      </w:r>
    </w:p>
    <w:p>
      <w:r>
        <w:t>All API endpoints are prefixed with /api/v1/ and require JWT authentication (except /auth/login).</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fill="1E3A5F"/>
          </w:tcPr>
          <w:p>
            <w:pPr>
              <w:jc w:val="left"/>
            </w:pPr>
            <w:r>
              <w:rPr>
                <w:rFonts w:ascii="Calibri" w:hAnsi="Calibri"/>
                <w:b/>
                <w:color w:val="FFFFFF"/>
                <w:sz w:val="20"/>
              </w:rPr>
              <w:t>Module</w:t>
            </w:r>
          </w:p>
        </w:tc>
        <w:tc>
          <w:tcPr>
            <w:tcW w:type="dxa" w:w="2592"/>
            <w:shd w:fill="1E3A5F"/>
          </w:tcPr>
          <w:p>
            <w:pPr>
              <w:jc w:val="left"/>
            </w:pPr>
            <w:r>
              <w:rPr>
                <w:rFonts w:ascii="Calibri" w:hAnsi="Calibri"/>
                <w:b/>
                <w:color w:val="FFFFFF"/>
                <w:sz w:val="20"/>
              </w:rPr>
              <w:t>Base Route</w:t>
            </w:r>
          </w:p>
        </w:tc>
        <w:tc>
          <w:tcPr>
            <w:tcW w:type="dxa" w:w="5040"/>
            <w:shd w:fill="1E3A5F"/>
          </w:tcPr>
          <w:p>
            <w:pPr>
              <w:jc w:val="left"/>
            </w:pPr>
            <w:r>
              <w:rPr>
                <w:rFonts w:ascii="Calibri" w:hAnsi="Calibri"/>
                <w:b/>
                <w:color w:val="FFFFFF"/>
                <w:sz w:val="20"/>
              </w:rPr>
              <w:t>Key Endpoints</w:t>
            </w:r>
          </w:p>
        </w:tc>
      </w:tr>
      <w:tr>
        <w:tc>
          <w:tcPr>
            <w:tcW w:type="dxa" w:w="1728"/>
            <w:shd w:fill="FFF7ED"/>
          </w:tcPr>
          <w:p>
            <w:r>
              <w:rPr>
                <w:rFonts w:ascii="Calibri" w:hAnsi="Calibri"/>
                <w:sz w:val="20"/>
              </w:rPr>
              <w:t>Authentication</w:t>
            </w:r>
          </w:p>
        </w:tc>
        <w:tc>
          <w:tcPr>
            <w:tcW w:type="dxa" w:w="2592"/>
            <w:shd w:fill="FFF7ED"/>
          </w:tcPr>
          <w:p>
            <w:r>
              <w:rPr>
                <w:rFonts w:ascii="Calibri" w:hAnsi="Calibri"/>
                <w:sz w:val="20"/>
              </w:rPr>
              <w:t>/api/v1/auth</w:t>
            </w:r>
          </w:p>
        </w:tc>
        <w:tc>
          <w:tcPr>
            <w:tcW w:type="dxa" w:w="5040"/>
            <w:shd w:fill="FFF7ED"/>
          </w:tcPr>
          <w:p>
            <w:r>
              <w:rPr>
                <w:rFonts w:ascii="Calibri" w:hAnsi="Calibri"/>
                <w:sz w:val="20"/>
              </w:rPr>
              <w:t>POST /login, POST /refresh, POST /signup, GET /profile</w:t>
            </w:r>
          </w:p>
        </w:tc>
      </w:tr>
      <w:tr>
        <w:tc>
          <w:tcPr>
            <w:tcW w:type="dxa" w:w="1728"/>
            <w:shd w:fill="FFFFFF"/>
          </w:tcPr>
          <w:p>
            <w:r>
              <w:rPr>
                <w:rFonts w:ascii="Calibri" w:hAnsi="Calibri"/>
                <w:sz w:val="20"/>
              </w:rPr>
              <w:t>Policies</w:t>
            </w:r>
          </w:p>
        </w:tc>
        <w:tc>
          <w:tcPr>
            <w:tcW w:type="dxa" w:w="2592"/>
            <w:shd w:fill="FFFFFF"/>
          </w:tcPr>
          <w:p>
            <w:r>
              <w:rPr>
                <w:rFonts w:ascii="Calibri" w:hAnsi="Calibri"/>
                <w:sz w:val="20"/>
              </w:rPr>
              <w:t>/api/v1/policies</w:t>
            </w:r>
          </w:p>
        </w:tc>
        <w:tc>
          <w:tcPr>
            <w:tcW w:type="dxa" w:w="5040"/>
            <w:shd w:fill="FFFFFF"/>
          </w:tcPr>
          <w:p>
            <w:r>
              <w:rPr>
                <w:rFonts w:ascii="Calibri" w:hAnsi="Calibri"/>
                <w:sz w:val="20"/>
              </w:rPr>
              <w:t>GET /, POST /, GET /:id, PUT /:id, POST /:id/endorse, POST /:id/renew</w:t>
            </w:r>
          </w:p>
        </w:tc>
      </w:tr>
      <w:tr>
        <w:tc>
          <w:tcPr>
            <w:tcW w:type="dxa" w:w="1728"/>
            <w:shd w:fill="FFF7ED"/>
          </w:tcPr>
          <w:p>
            <w:r>
              <w:rPr>
                <w:rFonts w:ascii="Calibri" w:hAnsi="Calibri"/>
                <w:sz w:val="20"/>
              </w:rPr>
              <w:t>Customers</w:t>
            </w:r>
          </w:p>
        </w:tc>
        <w:tc>
          <w:tcPr>
            <w:tcW w:type="dxa" w:w="2592"/>
            <w:shd w:fill="FFF7ED"/>
          </w:tcPr>
          <w:p>
            <w:r>
              <w:rPr>
                <w:rFonts w:ascii="Calibri" w:hAnsi="Calibri"/>
                <w:sz w:val="20"/>
              </w:rPr>
              <w:t>/api/v1/customers</w:t>
            </w:r>
          </w:p>
        </w:tc>
        <w:tc>
          <w:tcPr>
            <w:tcW w:type="dxa" w:w="5040"/>
            <w:shd w:fill="FFF7ED"/>
          </w:tcPr>
          <w:p>
            <w:r>
              <w:rPr>
                <w:rFonts w:ascii="Calibri" w:hAnsi="Calibri"/>
                <w:sz w:val="20"/>
              </w:rPr>
              <w:t>GET /, POST /, GET /:id, PUT /:id, DELETE /:id</w:t>
            </w:r>
          </w:p>
        </w:tc>
      </w:tr>
      <w:tr>
        <w:tc>
          <w:tcPr>
            <w:tcW w:type="dxa" w:w="1728"/>
            <w:shd w:fill="FFFFFF"/>
          </w:tcPr>
          <w:p>
            <w:r>
              <w:rPr>
                <w:rFonts w:ascii="Calibri" w:hAnsi="Calibri"/>
                <w:sz w:val="20"/>
              </w:rPr>
              <w:t>Underwriting</w:t>
            </w:r>
          </w:p>
        </w:tc>
        <w:tc>
          <w:tcPr>
            <w:tcW w:type="dxa" w:w="2592"/>
            <w:shd w:fill="FFFFFF"/>
          </w:tcPr>
          <w:p>
            <w:r>
              <w:rPr>
                <w:rFonts w:ascii="Calibri" w:hAnsi="Calibri"/>
                <w:sz w:val="20"/>
              </w:rPr>
              <w:t>/api/v1/underwriting</w:t>
            </w:r>
          </w:p>
        </w:tc>
        <w:tc>
          <w:tcPr>
            <w:tcW w:type="dxa" w:w="5040"/>
            <w:shd w:fill="FFFFFF"/>
          </w:tcPr>
          <w:p>
            <w:r>
              <w:rPr>
                <w:rFonts w:ascii="Calibri" w:hAnsi="Calibri"/>
                <w:sz w:val="20"/>
              </w:rPr>
              <w:t>GET /, POST /evaluate, GET /:id, PUT /:id/override</w:t>
            </w:r>
          </w:p>
        </w:tc>
      </w:tr>
      <w:tr>
        <w:tc>
          <w:tcPr>
            <w:tcW w:type="dxa" w:w="1728"/>
            <w:shd w:fill="FFF7ED"/>
          </w:tcPr>
          <w:p>
            <w:r>
              <w:rPr>
                <w:rFonts w:ascii="Calibri" w:hAnsi="Calibri"/>
                <w:sz w:val="20"/>
              </w:rPr>
              <w:t>UW Rules</w:t>
            </w:r>
          </w:p>
        </w:tc>
        <w:tc>
          <w:tcPr>
            <w:tcW w:type="dxa" w:w="2592"/>
            <w:shd w:fill="FFF7ED"/>
          </w:tcPr>
          <w:p>
            <w:r>
              <w:rPr>
                <w:rFonts w:ascii="Calibri" w:hAnsi="Calibri"/>
                <w:sz w:val="20"/>
              </w:rPr>
              <w:t>/api/v1/uw</w:t>
            </w:r>
          </w:p>
        </w:tc>
        <w:tc>
          <w:tcPr>
            <w:tcW w:type="dxa" w:w="5040"/>
            <w:shd w:fill="FFF7ED"/>
          </w:tcPr>
          <w:p>
            <w:r>
              <w:rPr>
                <w:rFonts w:ascii="Calibri" w:hAnsi="Calibri"/>
                <w:sz w:val="20"/>
              </w:rPr>
              <w:t>GET /rules, POST /rules, PUT /rules/:id, DELETE /rules/:id</w:t>
            </w:r>
          </w:p>
        </w:tc>
      </w:tr>
      <w:tr>
        <w:tc>
          <w:tcPr>
            <w:tcW w:type="dxa" w:w="1728"/>
            <w:shd w:fill="FFFFFF"/>
          </w:tcPr>
          <w:p>
            <w:r>
              <w:rPr>
                <w:rFonts w:ascii="Calibri" w:hAnsi="Calibri"/>
                <w:sz w:val="20"/>
              </w:rPr>
              <w:t>Claims</w:t>
            </w:r>
          </w:p>
        </w:tc>
        <w:tc>
          <w:tcPr>
            <w:tcW w:type="dxa" w:w="2592"/>
            <w:shd w:fill="FFFFFF"/>
          </w:tcPr>
          <w:p>
            <w:r>
              <w:rPr>
                <w:rFonts w:ascii="Calibri" w:hAnsi="Calibri"/>
                <w:sz w:val="20"/>
              </w:rPr>
              <w:t>/api/v1/claims</w:t>
            </w:r>
          </w:p>
        </w:tc>
        <w:tc>
          <w:tcPr>
            <w:tcW w:type="dxa" w:w="5040"/>
            <w:shd w:fill="FFFFFF"/>
          </w:tcPr>
          <w:p>
            <w:r>
              <w:rPr>
                <w:rFonts w:ascii="Calibri" w:hAnsi="Calibri"/>
                <w:sz w:val="20"/>
              </w:rPr>
              <w:t>GET /, POST /, GET /:id, PUT /:id, POST /fnol, PUT /:id/reserve</w:t>
            </w:r>
          </w:p>
        </w:tc>
      </w:tr>
      <w:tr>
        <w:tc>
          <w:tcPr>
            <w:tcW w:type="dxa" w:w="1728"/>
            <w:shd w:fill="FFF7ED"/>
          </w:tcPr>
          <w:p>
            <w:r>
              <w:rPr>
                <w:rFonts w:ascii="Calibri" w:hAnsi="Calibri"/>
                <w:sz w:val="20"/>
              </w:rPr>
              <w:t>Billing</w:t>
            </w:r>
          </w:p>
        </w:tc>
        <w:tc>
          <w:tcPr>
            <w:tcW w:type="dxa" w:w="2592"/>
            <w:shd w:fill="FFF7ED"/>
          </w:tcPr>
          <w:p>
            <w:r>
              <w:rPr>
                <w:rFonts w:ascii="Calibri" w:hAnsi="Calibri"/>
                <w:sz w:val="20"/>
              </w:rPr>
              <w:t>/api/v1/billing</w:t>
            </w:r>
          </w:p>
        </w:tc>
        <w:tc>
          <w:tcPr>
            <w:tcW w:type="dxa" w:w="5040"/>
            <w:shd w:fill="FFF7ED"/>
          </w:tcPr>
          <w:p>
            <w:r>
              <w:rPr>
                <w:rFonts w:ascii="Calibri" w:hAnsi="Calibri"/>
                <w:sz w:val="20"/>
              </w:rPr>
              <w:t>GET /accounts, GET /:id, POST /invoices, POST /payments</w:t>
            </w:r>
          </w:p>
        </w:tc>
      </w:tr>
      <w:tr>
        <w:tc>
          <w:tcPr>
            <w:tcW w:type="dxa" w:w="1728"/>
            <w:shd w:fill="FFFFFF"/>
          </w:tcPr>
          <w:p>
            <w:r>
              <w:rPr>
                <w:rFonts w:ascii="Calibri" w:hAnsi="Calibri"/>
                <w:sz w:val="20"/>
              </w:rPr>
              <w:t>Tasks</w:t>
            </w:r>
          </w:p>
        </w:tc>
        <w:tc>
          <w:tcPr>
            <w:tcW w:type="dxa" w:w="2592"/>
            <w:shd w:fill="FFFFFF"/>
          </w:tcPr>
          <w:p>
            <w:r>
              <w:rPr>
                <w:rFonts w:ascii="Calibri" w:hAnsi="Calibri"/>
                <w:sz w:val="20"/>
              </w:rPr>
              <w:t>/api/v1/tasks</w:t>
            </w:r>
          </w:p>
        </w:tc>
        <w:tc>
          <w:tcPr>
            <w:tcW w:type="dxa" w:w="5040"/>
            <w:shd w:fill="FFFFFF"/>
          </w:tcPr>
          <w:p>
            <w:r>
              <w:rPr>
                <w:rFonts w:ascii="Calibri" w:hAnsi="Calibri"/>
                <w:sz w:val="20"/>
              </w:rPr>
              <w:t>GET /, POST /, GET /:id, PUT /:id, PUT /:id/assign</w:t>
            </w:r>
          </w:p>
        </w:tc>
      </w:tr>
      <w:tr>
        <w:tc>
          <w:tcPr>
            <w:tcW w:type="dxa" w:w="1728"/>
            <w:shd w:fill="FFF7ED"/>
          </w:tcPr>
          <w:p>
            <w:r>
              <w:rPr>
                <w:rFonts w:ascii="Calibri" w:hAnsi="Calibri"/>
                <w:sz w:val="20"/>
              </w:rPr>
              <w:t>Documents</w:t>
            </w:r>
          </w:p>
        </w:tc>
        <w:tc>
          <w:tcPr>
            <w:tcW w:type="dxa" w:w="2592"/>
            <w:shd w:fill="FFF7ED"/>
          </w:tcPr>
          <w:p>
            <w:r>
              <w:rPr>
                <w:rFonts w:ascii="Calibri" w:hAnsi="Calibri"/>
                <w:sz w:val="20"/>
              </w:rPr>
              <w:t>/api/v1/documents</w:t>
            </w:r>
          </w:p>
        </w:tc>
        <w:tc>
          <w:tcPr>
            <w:tcW w:type="dxa" w:w="5040"/>
            <w:shd w:fill="FFF7ED"/>
          </w:tcPr>
          <w:p>
            <w:r>
              <w:rPr>
                <w:rFonts w:ascii="Calibri" w:hAnsi="Calibri"/>
                <w:sz w:val="20"/>
              </w:rPr>
              <w:t>GET /, POST /upload, GET /:id/download, POST /generate</w:t>
            </w:r>
          </w:p>
        </w:tc>
      </w:tr>
      <w:tr>
        <w:tc>
          <w:tcPr>
            <w:tcW w:type="dxa" w:w="1728"/>
            <w:shd w:fill="FFFFFF"/>
          </w:tcPr>
          <w:p>
            <w:r>
              <w:rPr>
                <w:rFonts w:ascii="Calibri" w:hAnsi="Calibri"/>
                <w:sz w:val="20"/>
              </w:rPr>
              <w:t>Reports</w:t>
            </w:r>
          </w:p>
        </w:tc>
        <w:tc>
          <w:tcPr>
            <w:tcW w:type="dxa" w:w="2592"/>
            <w:shd w:fill="FFFFFF"/>
          </w:tcPr>
          <w:p>
            <w:r>
              <w:rPr>
                <w:rFonts w:ascii="Calibri" w:hAnsi="Calibri"/>
                <w:sz w:val="20"/>
              </w:rPr>
              <w:t>/api/v1/reports</w:t>
            </w:r>
          </w:p>
        </w:tc>
        <w:tc>
          <w:tcPr>
            <w:tcW w:type="dxa" w:w="5040"/>
            <w:shd w:fill="FFFFFF"/>
          </w:tcPr>
          <w:p>
            <w:r>
              <w:rPr>
                <w:rFonts w:ascii="Calibri" w:hAnsi="Calibri"/>
                <w:sz w:val="20"/>
              </w:rPr>
              <w:t>GET /policy, GET /claims, GET /executive, GET /financial</w:t>
            </w:r>
          </w:p>
        </w:tc>
      </w:tr>
      <w:tr>
        <w:tc>
          <w:tcPr>
            <w:tcW w:type="dxa" w:w="1728"/>
            <w:shd w:fill="FFF7ED"/>
          </w:tcPr>
          <w:p>
            <w:r>
              <w:rPr>
                <w:rFonts w:ascii="Calibri" w:hAnsi="Calibri"/>
                <w:sz w:val="20"/>
              </w:rPr>
              <w:t>Dashboard</w:t>
            </w:r>
          </w:p>
        </w:tc>
        <w:tc>
          <w:tcPr>
            <w:tcW w:type="dxa" w:w="2592"/>
            <w:shd w:fill="FFF7ED"/>
          </w:tcPr>
          <w:p>
            <w:r>
              <w:rPr>
                <w:rFonts w:ascii="Calibri" w:hAnsi="Calibri"/>
                <w:sz w:val="20"/>
              </w:rPr>
              <w:t>/api/v1/dashboard</w:t>
            </w:r>
          </w:p>
        </w:tc>
        <w:tc>
          <w:tcPr>
            <w:tcW w:type="dxa" w:w="5040"/>
            <w:shd w:fill="FFF7ED"/>
          </w:tcPr>
          <w:p>
            <w:r>
              <w:rPr>
                <w:rFonts w:ascii="Calibri" w:hAnsi="Calibri"/>
                <w:sz w:val="20"/>
              </w:rPr>
              <w:t>GET /, GET /:role</w:t>
            </w:r>
          </w:p>
        </w:tc>
      </w:tr>
      <w:tr>
        <w:tc>
          <w:tcPr>
            <w:tcW w:type="dxa" w:w="1728"/>
            <w:shd w:fill="FFFFFF"/>
          </w:tcPr>
          <w:p>
            <w:r>
              <w:rPr>
                <w:rFonts w:ascii="Calibri" w:hAnsi="Calibri"/>
                <w:sz w:val="20"/>
              </w:rPr>
              <w:t>Notifications</w:t>
            </w:r>
          </w:p>
        </w:tc>
        <w:tc>
          <w:tcPr>
            <w:tcW w:type="dxa" w:w="2592"/>
            <w:shd w:fill="FFFFFF"/>
          </w:tcPr>
          <w:p>
            <w:r>
              <w:rPr>
                <w:rFonts w:ascii="Calibri" w:hAnsi="Calibri"/>
                <w:sz w:val="20"/>
              </w:rPr>
              <w:t>/api/v1/notifications</w:t>
            </w:r>
          </w:p>
        </w:tc>
        <w:tc>
          <w:tcPr>
            <w:tcW w:type="dxa" w:w="5040"/>
            <w:shd w:fill="FFFFFF"/>
          </w:tcPr>
          <w:p>
            <w:r>
              <w:rPr>
                <w:rFonts w:ascii="Calibri" w:hAnsi="Calibri"/>
                <w:sz w:val="20"/>
              </w:rPr>
              <w:t>GET /, PUT /:id/read, PUT /read-all</w:t>
            </w:r>
          </w:p>
        </w:tc>
      </w:tr>
      <w:tr>
        <w:tc>
          <w:tcPr>
            <w:tcW w:type="dxa" w:w="1728"/>
            <w:shd w:fill="FFF7ED"/>
          </w:tcPr>
          <w:p>
            <w:r>
              <w:rPr>
                <w:rFonts w:ascii="Calibri" w:hAnsi="Calibri"/>
                <w:sz w:val="20"/>
              </w:rPr>
              <w:t>Admin</w:t>
            </w:r>
          </w:p>
        </w:tc>
        <w:tc>
          <w:tcPr>
            <w:tcW w:type="dxa" w:w="2592"/>
            <w:shd w:fill="FFF7ED"/>
          </w:tcPr>
          <w:p>
            <w:r>
              <w:rPr>
                <w:rFonts w:ascii="Calibri" w:hAnsi="Calibri"/>
                <w:sz w:val="20"/>
              </w:rPr>
              <w:t>/api/v1/admin</w:t>
            </w:r>
          </w:p>
        </w:tc>
        <w:tc>
          <w:tcPr>
            <w:tcW w:type="dxa" w:w="5040"/>
            <w:shd w:fill="FFF7ED"/>
          </w:tcPr>
          <w:p>
            <w:r>
              <w:rPr>
                <w:rFonts w:ascii="Calibri" w:hAnsi="Calibri"/>
                <w:sz w:val="20"/>
              </w:rPr>
              <w:t>GET /users, POST /users, PUT /users/:id, GET /audit-logs</w:t>
            </w:r>
          </w:p>
        </w:tc>
      </w:tr>
      <w:tr>
        <w:tc>
          <w:tcPr>
            <w:tcW w:type="dxa" w:w="1728"/>
            <w:shd w:fill="FFFFFF"/>
          </w:tcPr>
          <w:p>
            <w:r>
              <w:rPr>
                <w:rFonts w:ascii="Calibri" w:hAnsi="Calibri"/>
                <w:sz w:val="20"/>
              </w:rPr>
              <w:t>Compliance</w:t>
            </w:r>
          </w:p>
        </w:tc>
        <w:tc>
          <w:tcPr>
            <w:tcW w:type="dxa" w:w="2592"/>
            <w:shd w:fill="FFFFFF"/>
          </w:tcPr>
          <w:p>
            <w:r>
              <w:rPr>
                <w:rFonts w:ascii="Calibri" w:hAnsi="Calibri"/>
                <w:sz w:val="20"/>
              </w:rPr>
              <w:t>/api/v1/compliance</w:t>
            </w:r>
          </w:p>
        </w:tc>
        <w:tc>
          <w:tcPr>
            <w:tcW w:type="dxa" w:w="5040"/>
            <w:shd w:fill="FFFFFF"/>
          </w:tcPr>
          <w:p>
            <w:r>
              <w:rPr>
                <w:rFonts w:ascii="Calibri" w:hAnsi="Calibri"/>
                <w:sz w:val="20"/>
              </w:rPr>
              <w:t>GET /requirements, PUT /requirements/:id</w:t>
            </w:r>
          </w:p>
        </w:tc>
      </w:tr>
      <w:tr>
        <w:tc>
          <w:tcPr>
            <w:tcW w:type="dxa" w:w="1728"/>
            <w:shd w:fill="FFF7ED"/>
          </w:tcPr>
          <w:p>
            <w:r>
              <w:rPr>
                <w:rFonts w:ascii="Calibri" w:hAnsi="Calibri"/>
                <w:sz w:val="20"/>
              </w:rPr>
              <w:t>Activity</w:t>
            </w:r>
          </w:p>
        </w:tc>
        <w:tc>
          <w:tcPr>
            <w:tcW w:type="dxa" w:w="2592"/>
            <w:shd w:fill="FFF7ED"/>
          </w:tcPr>
          <w:p>
            <w:r>
              <w:rPr>
                <w:rFonts w:ascii="Calibri" w:hAnsi="Calibri"/>
                <w:sz w:val="20"/>
              </w:rPr>
              <w:t>/api/v1/activity</w:t>
            </w:r>
          </w:p>
        </w:tc>
        <w:tc>
          <w:tcPr>
            <w:tcW w:type="dxa" w:w="5040"/>
            <w:shd w:fill="FFF7ED"/>
          </w:tcPr>
          <w:p>
            <w:r>
              <w:rPr>
                <w:rFonts w:ascii="Calibri" w:hAnsi="Calibri"/>
                <w:sz w:val="20"/>
              </w:rPr>
              <w:t>GET / (paginated activity feed)</w:t>
            </w:r>
          </w:p>
        </w:tc>
      </w:tr>
      <w:tr>
        <w:tc>
          <w:tcPr>
            <w:tcW w:type="dxa" w:w="1728"/>
            <w:shd w:fill="FFFFFF"/>
          </w:tcPr>
          <w:p>
            <w:r>
              <w:rPr>
                <w:rFonts w:ascii="Calibri" w:hAnsi="Calibri"/>
                <w:sz w:val="20"/>
              </w:rPr>
              <w:t>Products</w:t>
            </w:r>
          </w:p>
        </w:tc>
        <w:tc>
          <w:tcPr>
            <w:tcW w:type="dxa" w:w="2592"/>
            <w:shd w:fill="FFFFFF"/>
          </w:tcPr>
          <w:p>
            <w:r>
              <w:rPr>
                <w:rFonts w:ascii="Calibri" w:hAnsi="Calibri"/>
                <w:sz w:val="20"/>
              </w:rPr>
              <w:t>/api/v1/products</w:t>
            </w:r>
          </w:p>
        </w:tc>
        <w:tc>
          <w:tcPr>
            <w:tcW w:type="dxa" w:w="5040"/>
            <w:shd w:fill="FFFFFF"/>
          </w:tcPr>
          <w:p>
            <w:r>
              <w:rPr>
                <w:rFonts w:ascii="Calibri" w:hAnsi="Calibri"/>
                <w:sz w:val="20"/>
              </w:rPr>
              <w:t>GET /, POST /, PUT /:id</w:t>
            </w:r>
          </w:p>
        </w:tc>
      </w:tr>
      <w:tr>
        <w:tc>
          <w:tcPr>
            <w:tcW w:type="dxa" w:w="1728"/>
            <w:shd w:fill="FFF7ED"/>
          </w:tcPr>
          <w:p>
            <w:r>
              <w:rPr>
                <w:rFonts w:ascii="Calibri" w:hAnsi="Calibri"/>
                <w:sz w:val="20"/>
              </w:rPr>
              <w:t>Bulk Ops</w:t>
            </w:r>
          </w:p>
        </w:tc>
        <w:tc>
          <w:tcPr>
            <w:tcW w:type="dxa" w:w="2592"/>
            <w:shd w:fill="FFF7ED"/>
          </w:tcPr>
          <w:p>
            <w:r>
              <w:rPr>
                <w:rFonts w:ascii="Calibri" w:hAnsi="Calibri"/>
                <w:sz w:val="20"/>
              </w:rPr>
              <w:t>/api/v1/bulk</w:t>
            </w:r>
          </w:p>
        </w:tc>
        <w:tc>
          <w:tcPr>
            <w:tcW w:type="dxa" w:w="5040"/>
            <w:shd w:fill="FFF7ED"/>
          </w:tcPr>
          <w:p>
            <w:r>
              <w:rPr>
                <w:rFonts w:ascii="Calibri" w:hAnsi="Calibri"/>
                <w:sz w:val="20"/>
              </w:rPr>
              <w:t>POST /:operation, GET /:operationId/status</w:t>
            </w:r>
          </w:p>
        </w:tc>
      </w:tr>
      <w:tr>
        <w:tc>
          <w:tcPr>
            <w:tcW w:type="dxa" w:w="1728"/>
            <w:shd w:fill="FFFFFF"/>
          </w:tcPr>
          <w:p>
            <w:r>
              <w:rPr>
                <w:rFonts w:ascii="Calibri" w:hAnsi="Calibri"/>
                <w:sz w:val="20"/>
              </w:rPr>
              <w:t>Integrations</w:t>
            </w:r>
          </w:p>
        </w:tc>
        <w:tc>
          <w:tcPr>
            <w:tcW w:type="dxa" w:w="2592"/>
            <w:shd w:fill="FFFFFF"/>
          </w:tcPr>
          <w:p>
            <w:r>
              <w:rPr>
                <w:rFonts w:ascii="Calibri" w:hAnsi="Calibri"/>
                <w:sz w:val="20"/>
              </w:rPr>
              <w:t>/api/v1/integrations</w:t>
            </w:r>
          </w:p>
        </w:tc>
        <w:tc>
          <w:tcPr>
            <w:tcW w:type="dxa" w:w="5040"/>
            <w:shd w:fill="FFFFFF"/>
          </w:tcPr>
          <w:p>
            <w:r>
              <w:rPr>
                <w:rFonts w:ascii="Calibri" w:hAnsi="Calibri"/>
                <w:sz w:val="20"/>
              </w:rPr>
              <w:t>GET /status, POST /webhooks</w:t>
            </w:r>
          </w:p>
        </w:tc>
      </w:tr>
    </w:tbl>
    <w:p/>
    <w:p>
      <w:pPr>
        <w:spacing w:before="120" w:after="120"/>
      </w:pPr>
      <w:r>
        <w:rPr>
          <w:b/>
          <w:color w:val="F59E0B"/>
          <w:sz w:val="20"/>
        </w:rPr>
        <w:t xml:space="preserve">API Note: </w:t>
      </w:r>
      <w:r>
        <w:rPr>
          <w:sz w:val="20"/>
        </w:rPr>
        <w:t>All endpoints return JSON responses. Authentication uses Bearer tokens in the Authorization header. Pagination is supported with ?page= and ?limit= query parameters.</w:t>
      </w:r>
    </w:p>
    <w:p>
      <w:r>
        <w:br w:type="page"/>
      </w:r>
    </w:p>
    <w:p/>
    <w:p/>
    <w:p/>
    <w:p/>
    <w:p/>
    <w:p/>
    <w:p>
      <w:pPr>
        <w:jc w:val="center"/>
      </w:pPr>
      <w:r>
        <w:rPr>
          <w:b/>
          <w:color w:val="1E3A5F"/>
          <w:sz w:val="36"/>
        </w:rPr>
        <w:t>IMGC Corporation</w:t>
      </w:r>
    </w:p>
    <w:p>
      <w:pPr>
        <w:jc w:val="center"/>
      </w:pPr>
      <w:r>
        <w:rPr>
          <w:color w:val="F59E0B"/>
          <w:sz w:val="28"/>
        </w:rPr>
        <w:t>Policy Administration System — Application Guide</w:t>
      </w:r>
    </w:p>
    <w:p/>
    <w:p/>
    <w:p>
      <w:pPr>
        <w:jc w:val="center"/>
      </w:pPr>
      <w:r>
        <w:rPr>
          <w:color w:val="64748B"/>
          <w:sz w:val="22"/>
        </w:rPr>
        <w:t>Version 3.2.1  |  Enterprise Edition  |  March 2026</w:t>
      </w:r>
    </w:p>
    <w:p>
      <w:pPr>
        <w:jc w:val="center"/>
      </w:pPr>
      <w:r>
        <w:rPr>
          <w:color w:val="94A3B8"/>
          <w:sz w:val="20"/>
        </w:rPr>
        <w:t>Confidential — For authorized recipients only</w:t>
      </w:r>
    </w:p>
    <w:p>
      <w:pPr>
        <w:jc w:val="center"/>
      </w:pPr>
      <w:r>
        <w:rPr>
          <w:color w:val="94A3B8"/>
          <w:sz w:val="20"/>
        </w:rPr>
        <w:t>India Mortgage Guarantee Corporation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E3A5F"/>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E3A5F"/>
      <w:sz w:val="3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F59E0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