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D8F9A"/>
    <w:p w14:paraId="0813B722">
      <w:pPr>
        <w:pBdr>
          <w:top w:val="single" w:color="C49A2A" w:sz="36" w:space="12"/>
          <w:bottom w:val="single" w:color="C49A2A" w:sz="36" w:space="12"/>
        </w:pBdr>
        <w:spacing w:before="2400"/>
        <w:jc w:val="center"/>
      </w:pPr>
      <w:r>
        <w:rPr>
          <w:rFonts w:ascii="Calibri" w:hAnsi="Calibri"/>
          <w:b/>
          <w:color w:val="1B3A5C"/>
          <w:spacing w:val="120"/>
          <w:sz w:val="60"/>
          <w:szCs w:val="21"/>
        </w:rPr>
        <w:t>STATEMENT OF WORK</w:t>
      </w:r>
    </w:p>
    <w:p w14:paraId="1F3F2371">
      <w:pPr>
        <w:spacing w:before="320" w:line="240" w:lineRule="auto"/>
        <w:jc w:val="center"/>
      </w:pPr>
      <w:r>
        <w:rPr>
          <w:rFonts w:ascii="Calibri" w:hAnsi="Calibri"/>
          <w:b w:val="0"/>
          <w:color w:val="0D7377"/>
          <w:sz w:val="52"/>
        </w:rPr>
        <w:t>HMS Enterprise Platform</w:t>
      </w:r>
    </w:p>
    <w:p w14:paraId="26FBF2AC">
      <w:pPr>
        <w:spacing w:before="160" w:after="600" w:line="240" w:lineRule="auto"/>
        <w:jc w:val="center"/>
      </w:pPr>
      <w:r>
        <w:rPr>
          <w:rFonts w:ascii="Calibri" w:hAnsi="Calibri"/>
          <w:i/>
          <w:color w:val="718096"/>
          <w:sz w:val="28"/>
        </w:rPr>
        <w:t>Multi-Tenant Hospital Management System</w:t>
      </w:r>
    </w:p>
    <w:tbl>
      <w:tblPr>
        <w:tblStyle w:val="12"/>
        <w:tblW w:w="0" w:type="auto"/>
        <w:jc w:val="center"/>
        <w:tblBorders>
          <w:top w:val="single" w:color="C49A2A" w:sz="18" w:space="0"/>
          <w:left w:val="none" w:color="auto" w:sz="0" w:space="0"/>
          <w:bottom w:val="single" w:color="C49A2A" w:sz="18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5760"/>
      </w:tblGrid>
      <w:tr w14:paraId="753EF16A">
        <w:trPr>
          <w:jc w:val="center"/>
        </w:trPr>
        <w:tc>
          <w:tcPr>
            <w:tcW w:w="2880" w:type="dxa"/>
            <w:shd w:val="clear" w:color="auto" w:fill="1B3A5C"/>
          </w:tcPr>
          <w:p w14:paraId="385D8EC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 ID</w:t>
            </w:r>
          </w:p>
        </w:tc>
        <w:tc>
          <w:tcPr>
            <w:tcW w:w="5760" w:type="dxa"/>
            <w:shd w:val="clear" w:color="auto" w:fill="1B3A5C"/>
          </w:tcPr>
          <w:p w14:paraId="3456347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TGWT-HMS-SOW-2026-001</w:t>
            </w:r>
          </w:p>
        </w:tc>
      </w:tr>
      <w:tr w14:paraId="0C4FDC39">
        <w:trPr>
          <w:jc w:val="center"/>
        </w:trPr>
        <w:tc>
          <w:tcPr>
            <w:tcW w:w="2880" w:type="dxa"/>
            <w:shd w:val="clear" w:color="auto" w:fill="EDF2F7"/>
          </w:tcPr>
          <w:p w14:paraId="2734E52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Version</w:t>
            </w:r>
          </w:p>
        </w:tc>
        <w:tc>
          <w:tcPr>
            <w:tcW w:w="5760" w:type="dxa"/>
            <w:shd w:val="clear" w:color="auto" w:fill="FFFFFF"/>
          </w:tcPr>
          <w:p w14:paraId="101CEE4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1.0</w:t>
            </w:r>
          </w:p>
        </w:tc>
      </w:tr>
      <w:tr w14:paraId="30E6E8C2">
        <w:trPr>
          <w:jc w:val="center"/>
        </w:trPr>
        <w:tc>
          <w:tcPr>
            <w:tcW w:w="2880" w:type="dxa"/>
            <w:shd w:val="clear" w:color="auto" w:fill="EDF2F7"/>
          </w:tcPr>
          <w:p w14:paraId="6CB6CC4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Classification</w:t>
            </w:r>
          </w:p>
        </w:tc>
        <w:tc>
          <w:tcPr>
            <w:tcW w:w="5760" w:type="dxa"/>
            <w:shd w:val="clear" w:color="auto" w:fill="FFFFFF"/>
          </w:tcPr>
          <w:p w14:paraId="178EA27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Confidential</w:t>
            </w:r>
          </w:p>
        </w:tc>
      </w:tr>
      <w:tr w14:paraId="254DB4EB">
        <w:trPr>
          <w:jc w:val="center"/>
        </w:trPr>
        <w:tc>
          <w:tcPr>
            <w:tcW w:w="2880" w:type="dxa"/>
            <w:shd w:val="clear" w:color="auto" w:fill="EDF2F7"/>
          </w:tcPr>
          <w:p w14:paraId="6307938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Prepared By</w:t>
            </w:r>
          </w:p>
        </w:tc>
        <w:tc>
          <w:tcPr>
            <w:tcW w:w="5760" w:type="dxa"/>
            <w:shd w:val="clear" w:color="auto" w:fill="FFFFFF"/>
          </w:tcPr>
          <w:p w14:paraId="4993517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TechDigital WishTree</w:t>
            </w:r>
          </w:p>
        </w:tc>
      </w:tr>
      <w:tr w14:paraId="59F1802B">
        <w:trPr>
          <w:jc w:val="center"/>
        </w:trPr>
        <w:tc>
          <w:tcPr>
            <w:tcW w:w="2880" w:type="dxa"/>
            <w:shd w:val="clear" w:color="auto" w:fill="EDF2F7"/>
          </w:tcPr>
          <w:p w14:paraId="0B5291A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Prepared For</w:t>
            </w:r>
          </w:p>
        </w:tc>
        <w:tc>
          <w:tcPr>
            <w:tcW w:w="5760" w:type="dxa"/>
            <w:shd w:val="clear" w:color="auto" w:fill="FFFFFF"/>
          </w:tcPr>
          <w:p w14:paraId="50BB5A9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[Client Organization]</w:t>
            </w:r>
          </w:p>
        </w:tc>
      </w:tr>
      <w:tr w14:paraId="46D93EAF">
        <w:trPr>
          <w:jc w:val="center"/>
        </w:trPr>
        <w:tc>
          <w:tcPr>
            <w:tcW w:w="2880" w:type="dxa"/>
            <w:shd w:val="clear" w:color="auto" w:fill="EDF2F7"/>
          </w:tcPr>
          <w:p w14:paraId="318CD6F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Date</w:t>
            </w:r>
          </w:p>
        </w:tc>
        <w:tc>
          <w:tcPr>
            <w:tcW w:w="5760" w:type="dxa"/>
            <w:shd w:val="clear" w:color="auto" w:fill="FFFFFF"/>
          </w:tcPr>
          <w:p w14:paraId="0747B10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10 March 2026</w:t>
            </w:r>
          </w:p>
        </w:tc>
      </w:tr>
      <w:tr w14:paraId="1F78CFD6">
        <w:trPr>
          <w:jc w:val="center"/>
        </w:trPr>
        <w:tc>
          <w:tcPr>
            <w:tcW w:w="2880" w:type="dxa"/>
            <w:shd w:val="clear" w:color="auto" w:fill="EDF2F7"/>
          </w:tcPr>
          <w:p w14:paraId="279A108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Valid Until</w:t>
            </w:r>
          </w:p>
        </w:tc>
        <w:tc>
          <w:tcPr>
            <w:tcW w:w="5760" w:type="dxa"/>
            <w:shd w:val="clear" w:color="auto" w:fill="FFFFFF"/>
          </w:tcPr>
          <w:p w14:paraId="4572993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08 June 2026</w:t>
            </w:r>
          </w:p>
        </w:tc>
      </w:tr>
      <w:tr w14:paraId="4D10A904">
        <w:trPr>
          <w:jc w:val="center"/>
        </w:trPr>
        <w:tc>
          <w:tcPr>
            <w:tcW w:w="2880" w:type="dxa"/>
            <w:shd w:val="clear" w:color="auto" w:fill="EDF2F7"/>
          </w:tcPr>
          <w:p w14:paraId="364D91A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b/>
                <w:color w:val="1B3A5C"/>
                <w:sz w:val="18"/>
                <w:szCs w:val="21"/>
              </w:rPr>
              <w:t>Status</w:t>
            </w:r>
          </w:p>
        </w:tc>
        <w:tc>
          <w:tcPr>
            <w:tcW w:w="5760" w:type="dxa"/>
            <w:shd w:val="clear" w:color="auto" w:fill="FFFFFF"/>
          </w:tcPr>
          <w:p w14:paraId="434E48E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DRAFT — For Review</w:t>
            </w:r>
          </w:p>
        </w:tc>
      </w:tr>
    </w:tbl>
    <w:p w14:paraId="38426B52">
      <w:r>
        <w:br w:type="page"/>
      </w:r>
    </w:p>
    <w:p w14:paraId="7E2F9656">
      <w:pPr>
        <w:pStyle w:val="2"/>
        <w:pBdr>
          <w:bottom w:val="single" w:color="C49A2A" w:sz="12" w:space="6"/>
        </w:pBdr>
        <w:rPr>
          <w:sz w:val="36"/>
          <w:szCs w:val="22"/>
        </w:rPr>
      </w:pPr>
      <w:r>
        <w:rPr>
          <w:rFonts w:ascii="Calibri" w:hAnsi="Calibri"/>
          <w:b/>
          <w:color w:val="1B3A5C"/>
          <w:sz w:val="36"/>
          <w:szCs w:val="22"/>
        </w:rPr>
        <w:t>Document Control</w:t>
      </w:r>
    </w:p>
    <w:p w14:paraId="7C023DD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Revision History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33"/>
        <w:gridCol w:w="1649"/>
        <w:gridCol w:w="2758"/>
        <w:gridCol w:w="4106"/>
      </w:tblGrid>
      <w:tr w14:paraId="5BCC7115">
        <w:trPr>
          <w:jc w:val="center"/>
        </w:trPr>
        <w:tc>
          <w:tcPr>
            <w:tcW w:w="1152" w:type="dxa"/>
            <w:shd w:val="clear" w:color="auto" w:fill="1B3A5C"/>
          </w:tcPr>
          <w:p w14:paraId="14E069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w="1728" w:type="dxa"/>
            <w:shd w:val="clear" w:color="auto" w:fill="1B3A5C"/>
          </w:tcPr>
          <w:p w14:paraId="51B21D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w="2880" w:type="dxa"/>
            <w:shd w:val="clear" w:color="auto" w:fill="1B3A5C"/>
          </w:tcPr>
          <w:p w14:paraId="72F23FA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  <w:tc>
          <w:tcPr>
            <w:tcW w:w="4320" w:type="dxa"/>
            <w:shd w:val="clear" w:color="auto" w:fill="1B3A5C"/>
          </w:tcPr>
          <w:p w14:paraId="2130139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14:paraId="3135D0E1">
        <w:trPr>
          <w:jc w:val="center"/>
        </w:trPr>
        <w:tc>
          <w:tcPr>
            <w:tcW w:w="1152" w:type="dxa"/>
            <w:shd w:val="clear" w:color="auto" w:fill="F7F9FC"/>
          </w:tcPr>
          <w:p w14:paraId="0D59B3FB">
            <w:r>
              <w:rPr>
                <w:rFonts w:ascii="Calibri" w:hAnsi="Calibri"/>
                <w:color w:val="2D3748"/>
                <w:sz w:val="18"/>
              </w:rPr>
              <w:t>0.1</w:t>
            </w:r>
          </w:p>
        </w:tc>
        <w:tc>
          <w:tcPr>
            <w:tcW w:w="1728" w:type="dxa"/>
            <w:shd w:val="clear" w:color="auto" w:fill="F7F9FC"/>
          </w:tcPr>
          <w:p w14:paraId="69533EC7">
            <w:r>
              <w:rPr>
                <w:rFonts w:ascii="Calibri" w:hAnsi="Calibri"/>
                <w:color w:val="2D3748"/>
                <w:sz w:val="18"/>
              </w:rPr>
              <w:t>15 Feb 2026</w:t>
            </w:r>
          </w:p>
        </w:tc>
        <w:tc>
          <w:tcPr>
            <w:tcW w:w="2880" w:type="dxa"/>
            <w:shd w:val="clear" w:color="auto" w:fill="F7F9FC"/>
          </w:tcPr>
          <w:p w14:paraId="709E50ED">
            <w:r>
              <w:rPr>
                <w:rFonts w:ascii="Calibri" w:hAnsi="Calibri"/>
                <w:color w:val="2D3748"/>
                <w:sz w:val="18"/>
              </w:rPr>
              <w:t>TGWT Architecture Team</w:t>
            </w:r>
          </w:p>
        </w:tc>
        <w:tc>
          <w:tcPr>
            <w:tcW w:w="4320" w:type="dxa"/>
            <w:shd w:val="clear" w:color="auto" w:fill="F7F9FC"/>
          </w:tcPr>
          <w:p w14:paraId="0DB89BA2">
            <w:r>
              <w:rPr>
                <w:rFonts w:ascii="Calibri" w:hAnsi="Calibri"/>
                <w:color w:val="2D3748"/>
                <w:sz w:val="18"/>
              </w:rPr>
              <w:t>Initial draft — scope definition</w:t>
            </w:r>
          </w:p>
        </w:tc>
      </w:tr>
      <w:tr w14:paraId="328BC345">
        <w:trPr>
          <w:jc w:val="center"/>
        </w:trPr>
        <w:tc>
          <w:tcPr>
            <w:tcW w:w="1152" w:type="dxa"/>
            <w:shd w:val="clear" w:color="auto" w:fill="FFFFFF"/>
          </w:tcPr>
          <w:p w14:paraId="5BB39797">
            <w:r>
              <w:rPr>
                <w:rFonts w:ascii="Calibri" w:hAnsi="Calibri"/>
                <w:color w:val="2D3748"/>
                <w:sz w:val="18"/>
              </w:rPr>
              <w:t>0.5</w:t>
            </w:r>
          </w:p>
        </w:tc>
        <w:tc>
          <w:tcPr>
            <w:tcW w:w="1728" w:type="dxa"/>
            <w:shd w:val="clear" w:color="auto" w:fill="FFFFFF"/>
          </w:tcPr>
          <w:p w14:paraId="473EDB16">
            <w:r>
              <w:rPr>
                <w:rFonts w:ascii="Calibri" w:hAnsi="Calibri"/>
                <w:color w:val="2D3748"/>
                <w:sz w:val="18"/>
              </w:rPr>
              <w:t>01 Mar 2026</w:t>
            </w:r>
          </w:p>
        </w:tc>
        <w:tc>
          <w:tcPr>
            <w:tcW w:w="2880" w:type="dxa"/>
            <w:shd w:val="clear" w:color="auto" w:fill="FFFFFF"/>
          </w:tcPr>
          <w:p w14:paraId="3C864CB2">
            <w:r>
              <w:rPr>
                <w:rFonts w:ascii="Calibri" w:hAnsi="Calibri"/>
                <w:color w:val="2D3748"/>
                <w:sz w:val="18"/>
              </w:rPr>
              <w:t>TGWT Architecture Team</w:t>
            </w:r>
          </w:p>
        </w:tc>
        <w:tc>
          <w:tcPr>
            <w:tcW w:w="4320" w:type="dxa"/>
            <w:shd w:val="clear" w:color="auto" w:fill="FFFFFF"/>
          </w:tcPr>
          <w:p w14:paraId="3877CAA6">
            <w:r>
              <w:rPr>
                <w:rFonts w:ascii="Calibri" w:hAnsi="Calibri"/>
                <w:color w:val="2D3748"/>
                <w:sz w:val="18"/>
              </w:rPr>
              <w:t>Module specifications, RBAC model, data entities</w:t>
            </w:r>
          </w:p>
        </w:tc>
      </w:tr>
      <w:tr w14:paraId="5A2D6F14">
        <w:trPr>
          <w:jc w:val="center"/>
        </w:trPr>
        <w:tc>
          <w:tcPr>
            <w:tcW w:w="1152" w:type="dxa"/>
            <w:shd w:val="clear" w:color="auto" w:fill="F7F9FC"/>
          </w:tcPr>
          <w:p w14:paraId="600AF1A7">
            <w:r>
              <w:rPr>
                <w:rFonts w:ascii="Calibri" w:hAnsi="Calibri"/>
                <w:color w:val="2D3748"/>
                <w:sz w:val="18"/>
              </w:rPr>
              <w:t>0.8</w:t>
            </w:r>
          </w:p>
        </w:tc>
        <w:tc>
          <w:tcPr>
            <w:tcW w:w="1728" w:type="dxa"/>
            <w:shd w:val="clear" w:color="auto" w:fill="F7F9FC"/>
          </w:tcPr>
          <w:p w14:paraId="23EF86B2">
            <w:r>
              <w:rPr>
                <w:rFonts w:ascii="Calibri" w:hAnsi="Calibri"/>
                <w:color w:val="2D3748"/>
                <w:sz w:val="18"/>
              </w:rPr>
              <w:t>05 Mar 2026</w:t>
            </w:r>
          </w:p>
        </w:tc>
        <w:tc>
          <w:tcPr>
            <w:tcW w:w="2880" w:type="dxa"/>
            <w:shd w:val="clear" w:color="auto" w:fill="F7F9FC"/>
          </w:tcPr>
          <w:p w14:paraId="09CAEF26">
            <w:r>
              <w:rPr>
                <w:rFonts w:ascii="Calibri" w:hAnsi="Calibri"/>
                <w:color w:val="2D3748"/>
                <w:sz w:val="18"/>
              </w:rPr>
              <w:t>TGWT Architecture Team</w:t>
            </w:r>
          </w:p>
        </w:tc>
        <w:tc>
          <w:tcPr>
            <w:tcW w:w="4320" w:type="dxa"/>
            <w:shd w:val="clear" w:color="auto" w:fill="F7F9FC"/>
          </w:tcPr>
          <w:p w14:paraId="6107F7DB">
            <w:r>
              <w:rPr>
                <w:rFonts w:ascii="Calibri" w:hAnsi="Calibri"/>
                <w:color w:val="2D3748"/>
                <w:sz w:val="18"/>
              </w:rPr>
              <w:t>Added Pharmacy Billing, Doctor Profiles, Appointments linkage</w:t>
            </w:r>
          </w:p>
        </w:tc>
      </w:tr>
      <w:tr w14:paraId="4CBB75A7">
        <w:trPr>
          <w:jc w:val="center"/>
        </w:trPr>
        <w:tc>
          <w:tcPr>
            <w:tcW w:w="1152" w:type="dxa"/>
            <w:shd w:val="clear" w:color="auto" w:fill="FFFFFF"/>
          </w:tcPr>
          <w:p w14:paraId="56F64A28">
            <w:r>
              <w:rPr>
                <w:rFonts w:ascii="Calibri" w:hAnsi="Calibri"/>
                <w:color w:val="2D3748"/>
                <w:sz w:val="18"/>
              </w:rPr>
              <w:t>1.0</w:t>
            </w:r>
          </w:p>
        </w:tc>
        <w:tc>
          <w:tcPr>
            <w:tcW w:w="1728" w:type="dxa"/>
            <w:shd w:val="clear" w:color="auto" w:fill="FFFFFF"/>
          </w:tcPr>
          <w:p w14:paraId="6928D299">
            <w:r>
              <w:rPr>
                <w:rFonts w:ascii="Calibri" w:hAnsi="Calibri"/>
                <w:color w:val="2D3748"/>
                <w:sz w:val="18"/>
              </w:rPr>
              <w:t>10 Mar 2026</w:t>
            </w:r>
          </w:p>
        </w:tc>
        <w:tc>
          <w:tcPr>
            <w:tcW w:w="2880" w:type="dxa"/>
            <w:shd w:val="clear" w:color="auto" w:fill="FFFFFF"/>
          </w:tcPr>
          <w:p w14:paraId="4990006D">
            <w:r>
              <w:rPr>
                <w:rFonts w:ascii="Calibri" w:hAnsi="Calibri"/>
                <w:color w:val="2D3748"/>
                <w:sz w:val="18"/>
              </w:rPr>
              <w:t>TGWT Architecture Team</w:t>
            </w:r>
          </w:p>
        </w:tc>
        <w:tc>
          <w:tcPr>
            <w:tcW w:w="4320" w:type="dxa"/>
            <w:shd w:val="clear" w:color="auto" w:fill="FFFFFF"/>
          </w:tcPr>
          <w:p w14:paraId="3000312B">
            <w:r>
              <w:rPr>
                <w:rFonts w:ascii="Calibri" w:hAnsi="Calibri"/>
                <w:color w:val="2D3748"/>
                <w:sz w:val="18"/>
              </w:rPr>
              <w:t>Enterprise SOW — final draft for client review</w:t>
            </w:r>
          </w:p>
        </w:tc>
      </w:tr>
    </w:tbl>
    <w:p w14:paraId="0783C2F1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Approval Matrix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62"/>
        <w:gridCol w:w="2045"/>
        <w:gridCol w:w="2490"/>
        <w:gridCol w:w="1674"/>
        <w:gridCol w:w="1375"/>
      </w:tblGrid>
      <w:tr w14:paraId="13D1AFBC">
        <w:trPr>
          <w:jc w:val="center"/>
        </w:trPr>
        <w:tc>
          <w:tcPr>
            <w:tcW w:w="2160" w:type="dxa"/>
            <w:shd w:val="clear" w:color="auto" w:fill="1B3A5C"/>
          </w:tcPr>
          <w:p w14:paraId="41729C5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shd w:val="clear" w:color="auto" w:fill="1B3A5C"/>
          </w:tcPr>
          <w:p w14:paraId="39FA798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592" w:type="dxa"/>
            <w:shd w:val="clear" w:color="auto" w:fill="1B3A5C"/>
          </w:tcPr>
          <w:p w14:paraId="7ACB916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Organization</w:t>
            </w:r>
          </w:p>
        </w:tc>
        <w:tc>
          <w:tcPr>
            <w:tcW w:w="1728" w:type="dxa"/>
            <w:shd w:val="clear" w:color="auto" w:fill="1B3A5C"/>
          </w:tcPr>
          <w:p w14:paraId="1A02D80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w="1440" w:type="dxa"/>
            <w:shd w:val="clear" w:color="auto" w:fill="1B3A5C"/>
          </w:tcPr>
          <w:p w14:paraId="6269838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 w14:paraId="7DE5FEE9">
        <w:trPr>
          <w:jc w:val="center"/>
        </w:trPr>
        <w:tc>
          <w:tcPr>
            <w:tcW w:w="2160" w:type="dxa"/>
            <w:shd w:val="clear" w:color="auto" w:fill="F7F9FC"/>
          </w:tcPr>
          <w:p w14:paraId="1FCB5399">
            <w:r>
              <w:rPr>
                <w:rFonts w:ascii="Calibri" w:hAnsi="Calibri"/>
                <w:color w:val="2D3748"/>
                <w:sz w:val="18"/>
              </w:rPr>
              <w:t>Project Sponsor</w:t>
            </w:r>
          </w:p>
        </w:tc>
        <w:tc>
          <w:tcPr>
            <w:tcW w:w="2160" w:type="dxa"/>
            <w:shd w:val="clear" w:color="auto" w:fill="F7F9FC"/>
          </w:tcPr>
          <w:p w14:paraId="7D85AD65"/>
        </w:tc>
        <w:tc>
          <w:tcPr>
            <w:tcW w:w="2592" w:type="dxa"/>
            <w:shd w:val="clear" w:color="auto" w:fill="F7F9FC"/>
          </w:tcPr>
          <w:p w14:paraId="476F3F4B">
            <w:r>
              <w:rPr>
                <w:rFonts w:ascii="Calibri" w:hAnsi="Calibri"/>
                <w:color w:val="2D3748"/>
                <w:sz w:val="18"/>
              </w:rPr>
              <w:t>[Client]</w:t>
            </w:r>
          </w:p>
        </w:tc>
        <w:tc>
          <w:tcPr>
            <w:tcW w:w="1728" w:type="dxa"/>
            <w:shd w:val="clear" w:color="auto" w:fill="F7F9FC"/>
          </w:tcPr>
          <w:p w14:paraId="12A2DF02"/>
        </w:tc>
        <w:tc>
          <w:tcPr>
            <w:tcW w:w="1440" w:type="dxa"/>
            <w:shd w:val="clear" w:color="auto" w:fill="F7F9FC"/>
          </w:tcPr>
          <w:p w14:paraId="555536B3"/>
        </w:tc>
      </w:tr>
      <w:tr w14:paraId="49C243DF">
        <w:trPr>
          <w:jc w:val="center"/>
        </w:trPr>
        <w:tc>
          <w:tcPr>
            <w:tcW w:w="2160" w:type="dxa"/>
            <w:shd w:val="clear" w:color="auto" w:fill="FFFFFF"/>
          </w:tcPr>
          <w:p w14:paraId="08524C8B">
            <w:r>
              <w:rPr>
                <w:rFonts w:ascii="Calibri" w:hAnsi="Calibri"/>
                <w:color w:val="2D3748"/>
                <w:sz w:val="18"/>
              </w:rPr>
              <w:t>CTO / IT Head</w:t>
            </w:r>
          </w:p>
        </w:tc>
        <w:tc>
          <w:tcPr>
            <w:tcW w:w="2160" w:type="dxa"/>
            <w:shd w:val="clear" w:color="auto" w:fill="FFFFFF"/>
          </w:tcPr>
          <w:p w14:paraId="26C1D4F7"/>
        </w:tc>
        <w:tc>
          <w:tcPr>
            <w:tcW w:w="2592" w:type="dxa"/>
            <w:shd w:val="clear" w:color="auto" w:fill="FFFFFF"/>
          </w:tcPr>
          <w:p w14:paraId="0D31BDC1">
            <w:r>
              <w:rPr>
                <w:rFonts w:ascii="Calibri" w:hAnsi="Calibri"/>
                <w:color w:val="2D3748"/>
                <w:sz w:val="18"/>
              </w:rPr>
              <w:t>[Client]</w:t>
            </w:r>
          </w:p>
        </w:tc>
        <w:tc>
          <w:tcPr>
            <w:tcW w:w="1728" w:type="dxa"/>
            <w:shd w:val="clear" w:color="auto" w:fill="FFFFFF"/>
          </w:tcPr>
          <w:p w14:paraId="0306E9CD"/>
        </w:tc>
        <w:tc>
          <w:tcPr>
            <w:tcW w:w="1440" w:type="dxa"/>
            <w:shd w:val="clear" w:color="auto" w:fill="FFFFFF"/>
          </w:tcPr>
          <w:p w14:paraId="24E44A31"/>
        </w:tc>
      </w:tr>
      <w:tr w14:paraId="141C65CE">
        <w:trPr>
          <w:jc w:val="center"/>
        </w:trPr>
        <w:tc>
          <w:tcPr>
            <w:tcW w:w="2160" w:type="dxa"/>
            <w:shd w:val="clear" w:color="auto" w:fill="F7F9FC"/>
          </w:tcPr>
          <w:p w14:paraId="15579AE6">
            <w:r>
              <w:rPr>
                <w:rFonts w:ascii="Calibri" w:hAnsi="Calibri"/>
                <w:color w:val="2D3748"/>
                <w:sz w:val="18"/>
              </w:rPr>
              <w:t>Delivery Lead</w:t>
            </w:r>
          </w:p>
        </w:tc>
        <w:tc>
          <w:tcPr>
            <w:tcW w:w="2160" w:type="dxa"/>
            <w:shd w:val="clear" w:color="auto" w:fill="F7F9FC"/>
          </w:tcPr>
          <w:p w14:paraId="25DD538B"/>
        </w:tc>
        <w:tc>
          <w:tcPr>
            <w:tcW w:w="2592" w:type="dxa"/>
            <w:shd w:val="clear" w:color="auto" w:fill="F7F9FC"/>
          </w:tcPr>
          <w:p w14:paraId="26A4986F">
            <w:r>
              <w:rPr>
                <w:rFonts w:ascii="Calibri" w:hAnsi="Calibri"/>
                <w:color w:val="2D3748"/>
                <w:sz w:val="18"/>
              </w:rPr>
              <w:t>TechDigital WishTree</w:t>
            </w:r>
          </w:p>
        </w:tc>
        <w:tc>
          <w:tcPr>
            <w:tcW w:w="1728" w:type="dxa"/>
            <w:shd w:val="clear" w:color="auto" w:fill="F7F9FC"/>
          </w:tcPr>
          <w:p w14:paraId="4D2DFA5C"/>
        </w:tc>
        <w:tc>
          <w:tcPr>
            <w:tcW w:w="1440" w:type="dxa"/>
            <w:shd w:val="clear" w:color="auto" w:fill="F7F9FC"/>
          </w:tcPr>
          <w:p w14:paraId="6CE2DD6F"/>
        </w:tc>
      </w:tr>
      <w:tr w14:paraId="691F8598">
        <w:trPr>
          <w:jc w:val="center"/>
        </w:trPr>
        <w:tc>
          <w:tcPr>
            <w:tcW w:w="2160" w:type="dxa"/>
            <w:shd w:val="clear" w:color="auto" w:fill="FFFFFF"/>
          </w:tcPr>
          <w:p w14:paraId="5A6BD2EE">
            <w:r>
              <w:rPr>
                <w:rFonts w:ascii="Calibri" w:hAnsi="Calibri"/>
                <w:color w:val="2D3748"/>
                <w:sz w:val="18"/>
              </w:rPr>
              <w:t>Solution Architect</w:t>
            </w:r>
          </w:p>
        </w:tc>
        <w:tc>
          <w:tcPr>
            <w:tcW w:w="2160" w:type="dxa"/>
            <w:shd w:val="clear" w:color="auto" w:fill="FFFFFF"/>
          </w:tcPr>
          <w:p w14:paraId="500EF2D8"/>
        </w:tc>
        <w:tc>
          <w:tcPr>
            <w:tcW w:w="2592" w:type="dxa"/>
            <w:shd w:val="clear" w:color="auto" w:fill="FFFFFF"/>
          </w:tcPr>
          <w:p w14:paraId="377DE6FF">
            <w:r>
              <w:rPr>
                <w:rFonts w:ascii="Calibri" w:hAnsi="Calibri"/>
                <w:color w:val="2D3748"/>
                <w:sz w:val="18"/>
              </w:rPr>
              <w:t>TechDigital WishTree</w:t>
            </w:r>
          </w:p>
        </w:tc>
        <w:tc>
          <w:tcPr>
            <w:tcW w:w="1728" w:type="dxa"/>
            <w:shd w:val="clear" w:color="auto" w:fill="FFFFFF"/>
          </w:tcPr>
          <w:p w14:paraId="2B5110A0"/>
        </w:tc>
        <w:tc>
          <w:tcPr>
            <w:tcW w:w="1440" w:type="dxa"/>
            <w:shd w:val="clear" w:color="auto" w:fill="FFFFFF"/>
          </w:tcPr>
          <w:p w14:paraId="4F93F678"/>
        </w:tc>
      </w:tr>
    </w:tbl>
    <w:p w14:paraId="488125F2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Distribution List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32"/>
        <w:gridCol w:w="2160"/>
        <w:gridCol w:w="2160"/>
        <w:gridCol w:w="2160"/>
      </w:tblGrid>
      <w:tr w14:paraId="05F2B834">
        <w:trPr>
          <w:jc w:val="center"/>
        </w:trPr>
        <w:tc>
          <w:tcPr>
            <w:tcW w:w="3132" w:type="dxa"/>
            <w:shd w:val="clear" w:color="auto" w:fill="1B3A5C"/>
          </w:tcPr>
          <w:p w14:paraId="75683FA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160" w:type="dxa"/>
            <w:shd w:val="clear" w:color="auto" w:fill="1B3A5C"/>
          </w:tcPr>
          <w:p w14:paraId="4E1FBED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shd w:val="clear" w:color="auto" w:fill="1B3A5C"/>
          </w:tcPr>
          <w:p w14:paraId="1803BAC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Organization</w:t>
            </w:r>
          </w:p>
        </w:tc>
        <w:tc>
          <w:tcPr>
            <w:tcW w:w="2160" w:type="dxa"/>
            <w:shd w:val="clear" w:color="auto" w:fill="1B3A5C"/>
          </w:tcPr>
          <w:p w14:paraId="2355F79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Copy Type</w:t>
            </w:r>
          </w:p>
        </w:tc>
      </w:tr>
      <w:tr w14:paraId="0688EDAE">
        <w:trPr>
          <w:jc w:val="center"/>
        </w:trPr>
        <w:tc>
          <w:tcPr>
            <w:tcW w:w="3132" w:type="dxa"/>
            <w:shd w:val="clear" w:color="auto" w:fill="F7F9FC"/>
          </w:tcPr>
          <w:p w14:paraId="0C9D29F4">
            <w:r>
              <w:rPr>
                <w:rFonts w:ascii="Calibri" w:hAnsi="Calibri"/>
                <w:color w:val="2D3748"/>
                <w:sz w:val="18"/>
              </w:rPr>
              <w:t>[Client Sponsor]</w:t>
            </w:r>
          </w:p>
        </w:tc>
        <w:tc>
          <w:tcPr>
            <w:tcW w:w="2160" w:type="dxa"/>
            <w:shd w:val="clear" w:color="auto" w:fill="F7F9FC"/>
          </w:tcPr>
          <w:p w14:paraId="04B75F28">
            <w:r>
              <w:rPr>
                <w:rFonts w:ascii="Calibri" w:hAnsi="Calibri"/>
                <w:color w:val="2D3748"/>
                <w:sz w:val="18"/>
              </w:rPr>
              <w:t>Project Sponsor</w:t>
            </w:r>
          </w:p>
        </w:tc>
        <w:tc>
          <w:tcPr>
            <w:tcW w:w="2160" w:type="dxa"/>
            <w:shd w:val="clear" w:color="auto" w:fill="F7F9FC"/>
          </w:tcPr>
          <w:p w14:paraId="052FAF03">
            <w:r>
              <w:rPr>
                <w:rFonts w:ascii="Calibri" w:hAnsi="Calibri"/>
                <w:color w:val="2D3748"/>
                <w:sz w:val="18"/>
              </w:rPr>
              <w:t>[Client]</w:t>
            </w:r>
          </w:p>
        </w:tc>
        <w:tc>
          <w:tcPr>
            <w:tcW w:w="2160" w:type="dxa"/>
            <w:shd w:val="clear" w:color="auto" w:fill="F7F9FC"/>
          </w:tcPr>
          <w:p w14:paraId="6D1A5EF7">
            <w:r>
              <w:rPr>
                <w:rFonts w:ascii="Calibri" w:hAnsi="Calibri"/>
                <w:color w:val="2D3748"/>
                <w:sz w:val="18"/>
              </w:rPr>
              <w:t>Original</w:t>
            </w:r>
          </w:p>
        </w:tc>
      </w:tr>
      <w:tr w14:paraId="2C2EF461">
        <w:trPr>
          <w:jc w:val="center"/>
        </w:trPr>
        <w:tc>
          <w:tcPr>
            <w:tcW w:w="3132" w:type="dxa"/>
            <w:shd w:val="clear" w:color="auto" w:fill="FFFFFF"/>
          </w:tcPr>
          <w:p w14:paraId="333E9459">
            <w:r>
              <w:rPr>
                <w:rFonts w:ascii="Calibri" w:hAnsi="Calibri"/>
                <w:color w:val="2D3748"/>
                <w:sz w:val="18"/>
              </w:rPr>
              <w:t>[Client IT Head]</w:t>
            </w:r>
          </w:p>
        </w:tc>
        <w:tc>
          <w:tcPr>
            <w:tcW w:w="2160" w:type="dxa"/>
            <w:shd w:val="clear" w:color="auto" w:fill="FFFFFF"/>
          </w:tcPr>
          <w:p w14:paraId="15624E42">
            <w:r>
              <w:rPr>
                <w:rFonts w:ascii="Calibri" w:hAnsi="Calibri"/>
                <w:color w:val="2D3748"/>
                <w:sz w:val="18"/>
              </w:rPr>
              <w:t>Technical Reviewer</w:t>
            </w:r>
          </w:p>
        </w:tc>
        <w:tc>
          <w:tcPr>
            <w:tcW w:w="2160" w:type="dxa"/>
            <w:shd w:val="clear" w:color="auto" w:fill="FFFFFF"/>
          </w:tcPr>
          <w:p w14:paraId="30FECFCD">
            <w:r>
              <w:rPr>
                <w:rFonts w:ascii="Calibri" w:hAnsi="Calibri"/>
                <w:color w:val="2D3748"/>
                <w:sz w:val="18"/>
              </w:rPr>
              <w:t>[Client]</w:t>
            </w:r>
          </w:p>
        </w:tc>
        <w:tc>
          <w:tcPr>
            <w:tcW w:w="2160" w:type="dxa"/>
            <w:shd w:val="clear" w:color="auto" w:fill="FFFFFF"/>
          </w:tcPr>
          <w:p w14:paraId="598CBC8D">
            <w:r>
              <w:rPr>
                <w:rFonts w:ascii="Calibri" w:hAnsi="Calibri"/>
                <w:color w:val="2D3748"/>
                <w:sz w:val="18"/>
              </w:rPr>
              <w:t>Copy</w:t>
            </w:r>
          </w:p>
        </w:tc>
      </w:tr>
      <w:tr w14:paraId="5A367BB8">
        <w:trPr>
          <w:jc w:val="center"/>
        </w:trPr>
        <w:tc>
          <w:tcPr>
            <w:tcW w:w="3132" w:type="dxa"/>
            <w:shd w:val="clear" w:color="auto" w:fill="F7F9FC"/>
          </w:tcPr>
          <w:p w14:paraId="0CCB0E54">
            <w:r>
              <w:rPr>
                <w:rFonts w:ascii="Calibri" w:hAnsi="Calibri"/>
                <w:color w:val="2D3748"/>
                <w:sz w:val="18"/>
              </w:rPr>
              <w:t>[TGWT Delivery Lead]</w:t>
            </w:r>
          </w:p>
        </w:tc>
        <w:tc>
          <w:tcPr>
            <w:tcW w:w="2160" w:type="dxa"/>
            <w:shd w:val="clear" w:color="auto" w:fill="F7F9FC"/>
          </w:tcPr>
          <w:p w14:paraId="348CFB15">
            <w:r>
              <w:rPr>
                <w:rFonts w:ascii="Calibri" w:hAnsi="Calibri"/>
                <w:color w:val="2D3748"/>
                <w:sz w:val="18"/>
              </w:rPr>
              <w:t>Delivery Manager</w:t>
            </w:r>
          </w:p>
        </w:tc>
        <w:tc>
          <w:tcPr>
            <w:tcW w:w="2160" w:type="dxa"/>
            <w:shd w:val="clear" w:color="auto" w:fill="F7F9FC"/>
          </w:tcPr>
          <w:p w14:paraId="2EAC4E68">
            <w:r>
              <w:rPr>
                <w:rFonts w:ascii="Calibri" w:hAnsi="Calibri"/>
                <w:color w:val="2D3748"/>
                <w:sz w:val="18"/>
              </w:rPr>
              <w:t>TechDigital WishTree</w:t>
            </w:r>
          </w:p>
        </w:tc>
        <w:tc>
          <w:tcPr>
            <w:tcW w:w="2160" w:type="dxa"/>
            <w:shd w:val="clear" w:color="auto" w:fill="F7F9FC"/>
          </w:tcPr>
          <w:p w14:paraId="676CE6E9">
            <w:r>
              <w:rPr>
                <w:rFonts w:ascii="Calibri" w:hAnsi="Calibri"/>
                <w:color w:val="2D3748"/>
                <w:sz w:val="18"/>
              </w:rPr>
              <w:t>Original</w:t>
            </w:r>
          </w:p>
        </w:tc>
      </w:tr>
      <w:tr w14:paraId="30699BF6">
        <w:trPr>
          <w:jc w:val="center"/>
        </w:trPr>
        <w:tc>
          <w:tcPr>
            <w:tcW w:w="3132" w:type="dxa"/>
            <w:shd w:val="clear" w:color="auto" w:fill="FFFFFF"/>
          </w:tcPr>
          <w:p w14:paraId="3A25C7FF">
            <w:r>
              <w:rPr>
                <w:rFonts w:ascii="Calibri" w:hAnsi="Calibri"/>
                <w:color w:val="2D3748"/>
                <w:sz w:val="18"/>
              </w:rPr>
              <w:t>[TGWT Architect]</w:t>
            </w:r>
          </w:p>
        </w:tc>
        <w:tc>
          <w:tcPr>
            <w:tcW w:w="2160" w:type="dxa"/>
            <w:shd w:val="clear" w:color="auto" w:fill="FFFFFF"/>
          </w:tcPr>
          <w:p w14:paraId="03F29D29">
            <w:r>
              <w:rPr>
                <w:rFonts w:ascii="Calibri" w:hAnsi="Calibri"/>
                <w:color w:val="2D3748"/>
                <w:sz w:val="18"/>
              </w:rPr>
              <w:t>Solution Architect</w:t>
            </w:r>
          </w:p>
        </w:tc>
        <w:tc>
          <w:tcPr>
            <w:tcW w:w="2160" w:type="dxa"/>
            <w:shd w:val="clear" w:color="auto" w:fill="FFFFFF"/>
          </w:tcPr>
          <w:p w14:paraId="5A9CCD80">
            <w:r>
              <w:rPr>
                <w:rFonts w:ascii="Calibri" w:hAnsi="Calibri"/>
                <w:color w:val="2D3748"/>
                <w:sz w:val="18"/>
              </w:rPr>
              <w:t>TechDigital WishTree</w:t>
            </w:r>
          </w:p>
        </w:tc>
        <w:tc>
          <w:tcPr>
            <w:tcW w:w="2160" w:type="dxa"/>
            <w:shd w:val="clear" w:color="auto" w:fill="FFFFFF"/>
          </w:tcPr>
          <w:p w14:paraId="6574FAE0">
            <w:r>
              <w:rPr>
                <w:rFonts w:ascii="Calibri" w:hAnsi="Calibri"/>
                <w:color w:val="2D3748"/>
                <w:sz w:val="18"/>
              </w:rPr>
              <w:t>Copy</w:t>
            </w:r>
          </w:p>
        </w:tc>
      </w:tr>
    </w:tbl>
    <w:p w14:paraId="6B44A235">
      <w:r>
        <w:br w:type="page"/>
      </w:r>
    </w:p>
    <w:p w14:paraId="1CF9EB27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1. Executive Summary</w:t>
      </w:r>
    </w:p>
    <w:p w14:paraId="0A310D96">
      <w:r>
        <w:t>This Statement of Work (SOW) defines the scope, deliverables, timelines, acceptance criteria, and commercial terms for the design, development, deployment, and post-launch support of the HMS Enterprise Platform — a cloud-native, multi-tenant Hospital Management System built for the Indian healthcare market.</w:t>
      </w:r>
    </w:p>
    <w:p w14:paraId="340982F0">
      <w:r>
        <w:t>The HMS platform will serve as a unified digital backbone for hospitals, clinics, and healthcare chains, integrating 12 core modules spanning clinical operations (OPD, IPD, Pharmacy, Laboratory), administrative functions (Finance, HR &amp; Payroll, Inventory), business intelligence, patient engagement, regulatory compliance (DISHA, ABDM/ABHA), and platform administration. The system is architected for enterprise-grade scalability using Kubernetes-orchestrated microservices, Apache Kafka event streaming, schema-per-tenant PostgreSQL isolation, and a 6-tier Role-Based Access Control (RBAC) model governing 200+ granular permissions.</w:t>
      </w:r>
    </w:p>
    <w:p w14:paraId="31BCAFDE">
      <w:r>
        <w:t>Benchmarked against leading HMS platforms — including Epic Systems, Oracle Health (Cerner), MEDITECH, Practo, BahmniHMS, and MocDoc — the HMS Enterprise Platform incorporates best-in-class features such as FIFO drug dispensing, real-time drug interaction checking, SOAP-based EMR, FHIR-compliant health record exchange, biometric attendance integration, automated GST-compliant billing, and a Progressive Web App (PWA) patient portal with self-service appointment booking and online payments.</w:t>
      </w:r>
    </w:p>
    <w:p w14:paraId="2C2C1EA0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1.1 Key Differentiators</w:t>
      </w:r>
    </w:p>
    <w:p w14:paraId="4F772ECF">
      <w:pPr>
        <w:pStyle w:val="23"/>
      </w:pPr>
      <w:r>
        <w:rPr>
          <w:rFonts w:ascii="Calibri" w:hAnsi="Calibri"/>
          <w:b/>
          <w:sz w:val="20"/>
        </w:rPr>
        <w:t xml:space="preserve">Multi-Tenant SaaS Architecture: </w:t>
      </w:r>
      <w:r>
        <w:rPr>
          <w:rFonts w:ascii="Calibri" w:hAnsi="Calibri"/>
          <w:color w:val="2D3748"/>
          <w:sz w:val="20"/>
        </w:rPr>
        <w:t>Schema-per-tenant PostgreSQL with Flyway-managed migrations, enabling complete data isolation with shared infrastructure economics</w:t>
      </w:r>
    </w:p>
    <w:p w14:paraId="49C05A28">
      <w:pPr>
        <w:pStyle w:val="23"/>
      </w:pPr>
      <w:r>
        <w:rPr>
          <w:rFonts w:ascii="Calibri" w:hAnsi="Calibri"/>
          <w:b/>
          <w:sz w:val="20"/>
        </w:rPr>
        <w:t xml:space="preserve">Event-Driven Real-Time Integration: </w:t>
      </w:r>
      <w:r>
        <w:rPr>
          <w:rFonts w:ascii="Calibri" w:hAnsi="Calibri"/>
          <w:color w:val="2D3748"/>
          <w:sz w:val="20"/>
        </w:rPr>
        <w:t>Apache Kafka event bus with 6 topic namespaces, dead-letter queues, idempotent consumers, and Socket.IO live UI updates</w:t>
      </w:r>
    </w:p>
    <w:p w14:paraId="5823E4C4">
      <w:pPr>
        <w:pStyle w:val="23"/>
      </w:pPr>
      <w:r>
        <w:rPr>
          <w:rFonts w:ascii="Calibri" w:hAnsi="Calibri"/>
          <w:b/>
          <w:sz w:val="20"/>
        </w:rPr>
        <w:t xml:space="preserve">Indian Regulatory Compliance: </w:t>
      </w:r>
      <w:r>
        <w:rPr>
          <w:rFonts w:ascii="Calibri" w:hAnsi="Calibri"/>
          <w:color w:val="2D3748"/>
          <w:sz w:val="20"/>
        </w:rPr>
        <w:t>DISHA Act consent management, ABDM/ABHA health ID integration, GST-compliant invoicing (CGST+SGST), MCI/NMC doctor registration verification</w:t>
      </w:r>
    </w:p>
    <w:p w14:paraId="0A25AD1E">
      <w:pPr>
        <w:pStyle w:val="23"/>
      </w:pPr>
      <w:r>
        <w:rPr>
          <w:rFonts w:ascii="Calibri" w:hAnsi="Calibri"/>
          <w:b/>
          <w:sz w:val="20"/>
        </w:rPr>
        <w:t xml:space="preserve">Enterprise RBAC: </w:t>
      </w:r>
      <w:r>
        <w:rPr>
          <w:rFonts w:ascii="Calibri" w:hAnsi="Calibri"/>
          <w:color w:val="2D3748"/>
          <w:sz w:val="20"/>
        </w:rPr>
        <w:t>6-tier role hierarchy (L1 Super Admin → L6 Patient) with 200+ permissions, @PreAuthorize guard on every service method, JWT + MFA for L1-L3 roles</w:t>
      </w:r>
    </w:p>
    <w:p w14:paraId="51FB6D90">
      <w:pPr>
        <w:pStyle w:val="23"/>
      </w:pPr>
      <w:r>
        <w:rPr>
          <w:rFonts w:ascii="Calibri" w:hAnsi="Calibri"/>
          <w:b/>
          <w:sz w:val="20"/>
        </w:rPr>
        <w:t xml:space="preserve">Clinical Excellence: </w:t>
      </w:r>
      <w:r>
        <w:rPr>
          <w:rFonts w:ascii="Calibri" w:hAnsi="Calibri"/>
          <w:color w:val="2D3748"/>
          <w:sz w:val="20"/>
        </w:rPr>
        <w:t>SOAP-based EMR, ICD-10 diagnosis coding, drug interaction checker (Rxnorm), FIFO batch-aware dispensing, NABL-aligned lab workflows</w:t>
      </w:r>
    </w:p>
    <w:p w14:paraId="4E67B58E">
      <w:pPr>
        <w:pStyle w:val="23"/>
      </w:pPr>
      <w:r>
        <w:rPr>
          <w:rFonts w:ascii="Calibri" w:hAnsi="Calibri"/>
          <w:b/>
          <w:sz w:val="20"/>
        </w:rPr>
        <w:t xml:space="preserve">Scalable Infrastructure: </w:t>
      </w:r>
      <w:r>
        <w:rPr>
          <w:rFonts w:ascii="Calibri" w:hAnsi="Calibri"/>
          <w:color w:val="2D3748"/>
          <w:sz w:val="20"/>
        </w:rPr>
        <w:t>Kubernetes with horizontal pod autoscaling, Redis caching layer, Elasticsearch for BI aggregation, S3 document storage (Mumbai + Singapore DR)</w:t>
      </w:r>
    </w:p>
    <w:p w14:paraId="37E62968">
      <w:r>
        <w:br w:type="page"/>
      </w:r>
    </w:p>
    <w:p w14:paraId="67B4E739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2. Project Objectives &amp; Success Criteria</w:t>
      </w:r>
    </w:p>
    <w:p w14:paraId="32B48729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2.1 Business Objectives</w:t>
      </w:r>
    </w:p>
    <w:p w14:paraId="763A033F">
      <w:pPr>
        <w:pStyle w:val="23"/>
      </w:pPr>
      <w:r>
        <w:rPr>
          <w:rFonts w:ascii="Calibri" w:hAnsi="Calibri"/>
          <w:color w:val="2D3748"/>
          <w:sz w:val="20"/>
        </w:rPr>
        <w:t>Digitize end-to-end hospital operations across OPD, IPD, Pharmacy, Lab, Finance, HR, and Inventory workflows</w:t>
      </w:r>
    </w:p>
    <w:p w14:paraId="4187D19E">
      <w:pPr>
        <w:pStyle w:val="23"/>
      </w:pPr>
      <w:r>
        <w:rPr>
          <w:rFonts w:ascii="Calibri" w:hAnsi="Calibri"/>
          <w:color w:val="2D3748"/>
          <w:sz w:val="20"/>
        </w:rPr>
        <w:t>Enable multi-branch hospital chains to operate on a single unified platform with branch-level data segregation</w:t>
      </w:r>
    </w:p>
    <w:p w14:paraId="23C72A90">
      <w:pPr>
        <w:pStyle w:val="23"/>
      </w:pPr>
      <w:r>
        <w:rPr>
          <w:rFonts w:ascii="Calibri" w:hAnsi="Calibri"/>
          <w:color w:val="2D3748"/>
          <w:sz w:val="20"/>
        </w:rPr>
        <w:t>Achieve NABH/JCI accreditation readiness through standardized clinical workflows and audit trails</w:t>
      </w:r>
    </w:p>
    <w:p w14:paraId="18321320">
      <w:pPr>
        <w:pStyle w:val="23"/>
      </w:pPr>
      <w:r>
        <w:rPr>
          <w:rFonts w:ascii="Calibri" w:hAnsi="Calibri"/>
          <w:color w:val="2D3748"/>
          <w:sz w:val="20"/>
        </w:rPr>
        <w:t>Reduce patient wait times by 40% through real-time token queue management and appointment scheduling</w:t>
      </w:r>
    </w:p>
    <w:p w14:paraId="40AE22F8">
      <w:pPr>
        <w:pStyle w:val="23"/>
      </w:pPr>
      <w:r>
        <w:rPr>
          <w:rFonts w:ascii="Calibri" w:hAnsi="Calibri"/>
          <w:color w:val="2D3748"/>
          <w:sz w:val="20"/>
        </w:rPr>
        <w:t>Eliminate revenue leakage through automated charge capture from OPD, Pharmacy, Lab, and IPD to Finance</w:t>
      </w:r>
    </w:p>
    <w:p w14:paraId="243B62AC">
      <w:pPr>
        <w:pStyle w:val="23"/>
      </w:pPr>
      <w:r>
        <w:rPr>
          <w:rFonts w:ascii="Calibri" w:hAnsi="Calibri"/>
          <w:color w:val="2D3748"/>
          <w:sz w:val="20"/>
        </w:rPr>
        <w:t>Ensure 100% regulatory compliance with DISHA, ABDM, GST, PF/ESIC, and IT Act 2000 requirements</w:t>
      </w:r>
    </w:p>
    <w:p w14:paraId="502FC4E0">
      <w:pPr>
        <w:pStyle w:val="23"/>
      </w:pPr>
      <w:r>
        <w:rPr>
          <w:rFonts w:ascii="Calibri" w:hAnsi="Calibri"/>
          <w:color w:val="2D3748"/>
          <w:sz w:val="20"/>
        </w:rPr>
        <w:t>Provide self-service patient engagement through PWA portal with appointment booking, report access, and online payments</w:t>
      </w:r>
    </w:p>
    <w:p w14:paraId="7AD72C00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2.2 Technical Objectives</w:t>
      </w:r>
    </w:p>
    <w:p w14:paraId="349F787A">
      <w:pPr>
        <w:pStyle w:val="23"/>
      </w:pPr>
      <w:r>
        <w:rPr>
          <w:rFonts w:ascii="Calibri" w:hAnsi="Calibri"/>
          <w:color w:val="2D3748"/>
          <w:sz w:val="20"/>
        </w:rPr>
        <w:t>Achieve 99.9% platform uptime SLA with &lt; 500ms API P95 latency</w:t>
      </w:r>
    </w:p>
    <w:p w14:paraId="279E8F5F">
      <w:pPr>
        <w:pStyle w:val="23"/>
      </w:pPr>
      <w:r>
        <w:rPr>
          <w:rFonts w:ascii="Calibri" w:hAnsi="Calibri"/>
          <w:color w:val="2D3748"/>
          <w:sz w:val="20"/>
        </w:rPr>
        <w:t>Support 50+ concurrent tenants with schema-level data isolation</w:t>
      </w:r>
    </w:p>
    <w:p w14:paraId="104B129C">
      <w:pPr>
        <w:pStyle w:val="23"/>
      </w:pPr>
      <w:r>
        <w:rPr>
          <w:rFonts w:ascii="Calibri" w:hAnsi="Calibri"/>
          <w:color w:val="2D3748"/>
          <w:sz w:val="20"/>
        </w:rPr>
        <w:t>Process 10,000+ Kafka events per second with &lt; 2 second end-to-end propagation</w:t>
      </w:r>
    </w:p>
    <w:p w14:paraId="1DBE6435">
      <w:pPr>
        <w:pStyle w:val="23"/>
      </w:pPr>
      <w:r>
        <w:rPr>
          <w:rFonts w:ascii="Calibri" w:hAnsi="Calibri"/>
          <w:color w:val="2D3748"/>
          <w:sz w:val="20"/>
        </w:rPr>
        <w:t>Maintain RTO of 4 hours and RPO of 15 minutes for disaster recovery</w:t>
      </w:r>
    </w:p>
    <w:p w14:paraId="243E20A3">
      <w:pPr>
        <w:pStyle w:val="23"/>
      </w:pPr>
      <w:r>
        <w:rPr>
          <w:rFonts w:ascii="Calibri" w:hAnsi="Calibri"/>
          <w:color w:val="2D3748"/>
          <w:sz w:val="20"/>
        </w:rPr>
        <w:t>Achieve OWASP Top 10 compliance with zero critical/high vulnerabilities at launch</w:t>
      </w:r>
    </w:p>
    <w:p w14:paraId="142D4DCC">
      <w:pPr>
        <w:pStyle w:val="23"/>
      </w:pPr>
      <w:r>
        <w:rPr>
          <w:rFonts w:ascii="Calibri" w:hAnsi="Calibri"/>
          <w:color w:val="2D3748"/>
          <w:sz w:val="20"/>
        </w:rPr>
        <w:t>Deliver 80+ interactive wireframe screens across all 12 modules</w:t>
      </w:r>
    </w:p>
    <w:p w14:paraId="0727A9A0">
      <w:pPr>
        <w:pStyle w:val="23"/>
      </w:pPr>
      <w:r>
        <w:rPr>
          <w:rFonts w:ascii="Calibri" w:hAnsi="Calibri"/>
          <w:color w:val="2D3748"/>
          <w:sz w:val="20"/>
        </w:rPr>
        <w:t>Implement 200+ RBAC permissions with runtime enforcement on every API endpoint</w:t>
      </w:r>
    </w:p>
    <w:p w14:paraId="2BC01C7B"/>
    <w:p w14:paraId="52E88A3F"/>
    <w:p w14:paraId="0B525755"/>
    <w:p w14:paraId="2D63B721"/>
    <w:p w14:paraId="7FB760A0"/>
    <w:p w14:paraId="12F6D920"/>
    <w:p w14:paraId="3CE62316"/>
    <w:p w14:paraId="53E5751C"/>
    <w:p w14:paraId="1D56AF91"/>
    <w:p w14:paraId="7C43DAA9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2.3 Success Criteria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10"/>
        <w:gridCol w:w="2880"/>
        <w:gridCol w:w="2880"/>
      </w:tblGrid>
      <w:tr w14:paraId="04B17CF9">
        <w:trPr>
          <w:jc w:val="center"/>
        </w:trPr>
        <w:tc>
          <w:tcPr>
            <w:tcW w:w="3210" w:type="dxa"/>
            <w:shd w:val="clear" w:color="auto" w:fill="1B3A5C"/>
          </w:tcPr>
          <w:p w14:paraId="63A9906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w="2880" w:type="dxa"/>
            <w:shd w:val="clear" w:color="auto" w:fill="1B3A5C"/>
          </w:tcPr>
          <w:p w14:paraId="6930CCA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2880" w:type="dxa"/>
            <w:shd w:val="clear" w:color="auto" w:fill="1B3A5C"/>
          </w:tcPr>
          <w:p w14:paraId="2BA5333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 Method</w:t>
            </w:r>
          </w:p>
        </w:tc>
      </w:tr>
      <w:tr w14:paraId="1C57A9E1">
        <w:trPr>
          <w:jc w:val="center"/>
        </w:trPr>
        <w:tc>
          <w:tcPr>
            <w:tcW w:w="3210" w:type="dxa"/>
            <w:shd w:val="clear" w:color="auto" w:fill="F7F9FC"/>
          </w:tcPr>
          <w:p w14:paraId="72C40251">
            <w:r>
              <w:rPr>
                <w:rFonts w:ascii="Calibri" w:hAnsi="Calibri"/>
                <w:color w:val="2D3748"/>
                <w:sz w:val="18"/>
              </w:rPr>
              <w:t>Platform Uptime</w:t>
            </w:r>
          </w:p>
        </w:tc>
        <w:tc>
          <w:tcPr>
            <w:tcW w:w="2880" w:type="dxa"/>
            <w:shd w:val="clear" w:color="auto" w:fill="F7F9FC"/>
          </w:tcPr>
          <w:p w14:paraId="1E73CF52">
            <w:r>
              <w:rPr>
                <w:rFonts w:ascii="Calibri" w:hAnsi="Calibri"/>
                <w:color w:val="2D3748"/>
                <w:sz w:val="18"/>
              </w:rPr>
              <w:t>99.9% (Monthly)</w:t>
            </w:r>
          </w:p>
        </w:tc>
        <w:tc>
          <w:tcPr>
            <w:tcW w:w="2880" w:type="dxa"/>
            <w:shd w:val="clear" w:color="auto" w:fill="F7F9FC"/>
          </w:tcPr>
          <w:p w14:paraId="65AF859E">
            <w:r>
              <w:rPr>
                <w:rFonts w:ascii="Calibri" w:hAnsi="Calibri"/>
                <w:color w:val="2D3748"/>
                <w:sz w:val="18"/>
              </w:rPr>
              <w:t>Kubernetes health probes + Prometheus</w:t>
            </w:r>
          </w:p>
        </w:tc>
      </w:tr>
      <w:tr w14:paraId="1D34939E">
        <w:trPr>
          <w:jc w:val="center"/>
        </w:trPr>
        <w:tc>
          <w:tcPr>
            <w:tcW w:w="3210" w:type="dxa"/>
            <w:shd w:val="clear" w:color="auto" w:fill="FFFFFF"/>
          </w:tcPr>
          <w:p w14:paraId="2BF7A412">
            <w:r>
              <w:rPr>
                <w:rFonts w:ascii="Calibri" w:hAnsi="Calibri"/>
                <w:color w:val="2D3748"/>
                <w:sz w:val="18"/>
              </w:rPr>
              <w:t>API Response Time (P95)</w:t>
            </w:r>
          </w:p>
        </w:tc>
        <w:tc>
          <w:tcPr>
            <w:tcW w:w="2880" w:type="dxa"/>
            <w:shd w:val="clear" w:color="auto" w:fill="FFFFFF"/>
          </w:tcPr>
          <w:p w14:paraId="72C8D4E1">
            <w:r>
              <w:rPr>
                <w:rFonts w:ascii="Calibri" w:hAnsi="Calibri"/>
                <w:color w:val="2D3748"/>
                <w:sz w:val="18"/>
              </w:rPr>
              <w:t>&lt; 500ms</w:t>
            </w:r>
          </w:p>
        </w:tc>
        <w:tc>
          <w:tcPr>
            <w:tcW w:w="2880" w:type="dxa"/>
            <w:shd w:val="clear" w:color="auto" w:fill="FFFFFF"/>
          </w:tcPr>
          <w:p w14:paraId="04EC4B49">
            <w:r>
              <w:rPr>
                <w:rFonts w:ascii="Calibri" w:hAnsi="Calibri"/>
                <w:color w:val="2D3748"/>
                <w:sz w:val="18"/>
              </w:rPr>
              <w:t>APM tool (Datadog/New Relic)</w:t>
            </w:r>
          </w:p>
        </w:tc>
      </w:tr>
      <w:tr w14:paraId="3D92EDE3">
        <w:trPr>
          <w:jc w:val="center"/>
        </w:trPr>
        <w:tc>
          <w:tcPr>
            <w:tcW w:w="3210" w:type="dxa"/>
            <w:shd w:val="clear" w:color="auto" w:fill="F7F9FC"/>
          </w:tcPr>
          <w:p w14:paraId="2FC56874">
            <w:r>
              <w:rPr>
                <w:rFonts w:ascii="Calibri" w:hAnsi="Calibri"/>
                <w:color w:val="2D3748"/>
                <w:sz w:val="18"/>
              </w:rPr>
              <w:t>Patient Registration Time</w:t>
            </w:r>
          </w:p>
        </w:tc>
        <w:tc>
          <w:tcPr>
            <w:tcW w:w="2880" w:type="dxa"/>
            <w:shd w:val="clear" w:color="auto" w:fill="F7F9FC"/>
          </w:tcPr>
          <w:p w14:paraId="2BF7B681">
            <w:r>
              <w:rPr>
                <w:rFonts w:ascii="Calibri" w:hAnsi="Calibri"/>
                <w:color w:val="2D3748"/>
                <w:sz w:val="18"/>
              </w:rPr>
              <w:t>&lt; 3 minutes</w:t>
            </w:r>
          </w:p>
        </w:tc>
        <w:tc>
          <w:tcPr>
            <w:tcW w:w="2880" w:type="dxa"/>
            <w:shd w:val="clear" w:color="auto" w:fill="F7F9FC"/>
          </w:tcPr>
          <w:p w14:paraId="394EF894">
            <w:r>
              <w:rPr>
                <w:rFonts w:ascii="Calibri" w:hAnsi="Calibri"/>
                <w:color w:val="2D3748"/>
                <w:sz w:val="18"/>
              </w:rPr>
              <w:t>Time-to-UHID measurement</w:t>
            </w:r>
          </w:p>
        </w:tc>
      </w:tr>
      <w:tr w14:paraId="4D35CEB4">
        <w:trPr>
          <w:jc w:val="center"/>
        </w:trPr>
        <w:tc>
          <w:tcPr>
            <w:tcW w:w="3210" w:type="dxa"/>
            <w:shd w:val="clear" w:color="auto" w:fill="FFFFFF"/>
          </w:tcPr>
          <w:p w14:paraId="027821D3">
            <w:r>
              <w:rPr>
                <w:rFonts w:ascii="Calibri" w:hAnsi="Calibri"/>
                <w:color w:val="2D3748"/>
                <w:sz w:val="18"/>
              </w:rPr>
              <w:t>Prescription-to-Dispensing</w:t>
            </w:r>
          </w:p>
        </w:tc>
        <w:tc>
          <w:tcPr>
            <w:tcW w:w="2880" w:type="dxa"/>
            <w:shd w:val="clear" w:color="auto" w:fill="FFFFFF"/>
          </w:tcPr>
          <w:p w14:paraId="6C7A5C37">
            <w:r>
              <w:rPr>
                <w:rFonts w:ascii="Calibri" w:hAnsi="Calibri"/>
                <w:color w:val="2D3748"/>
                <w:sz w:val="18"/>
              </w:rPr>
              <w:t>&lt; 60 seconds (Kafka event)</w:t>
            </w:r>
          </w:p>
        </w:tc>
        <w:tc>
          <w:tcPr>
            <w:tcW w:w="2880" w:type="dxa"/>
            <w:shd w:val="clear" w:color="auto" w:fill="FFFFFF"/>
          </w:tcPr>
          <w:p w14:paraId="6878BC78">
            <w:r>
              <w:rPr>
                <w:rFonts w:ascii="Calibri" w:hAnsi="Calibri"/>
                <w:color w:val="2D3748"/>
                <w:sz w:val="18"/>
              </w:rPr>
              <w:t>Event timestamp delta</w:t>
            </w:r>
          </w:p>
        </w:tc>
      </w:tr>
      <w:tr w14:paraId="25D2D81F">
        <w:trPr>
          <w:jc w:val="center"/>
        </w:trPr>
        <w:tc>
          <w:tcPr>
            <w:tcW w:w="3210" w:type="dxa"/>
            <w:shd w:val="clear" w:color="auto" w:fill="F7F9FC"/>
          </w:tcPr>
          <w:p w14:paraId="3B8BA7C1">
            <w:r>
              <w:rPr>
                <w:rFonts w:ascii="Calibri" w:hAnsi="Calibri"/>
                <w:color w:val="2D3748"/>
                <w:sz w:val="18"/>
              </w:rPr>
              <w:t>Lab TAT (Routine)</w:t>
            </w:r>
          </w:p>
        </w:tc>
        <w:tc>
          <w:tcPr>
            <w:tcW w:w="2880" w:type="dxa"/>
            <w:shd w:val="clear" w:color="auto" w:fill="F7F9FC"/>
          </w:tcPr>
          <w:p w14:paraId="78347634">
            <w:r>
              <w:rPr>
                <w:rFonts w:ascii="Calibri" w:hAnsi="Calibri"/>
                <w:color w:val="2D3748"/>
                <w:sz w:val="18"/>
              </w:rPr>
              <w:t>&lt; 4 hours</w:t>
            </w:r>
          </w:p>
        </w:tc>
        <w:tc>
          <w:tcPr>
            <w:tcW w:w="2880" w:type="dxa"/>
            <w:shd w:val="clear" w:color="auto" w:fill="F7F9FC"/>
          </w:tcPr>
          <w:p w14:paraId="0807C374">
            <w:r>
              <w:rPr>
                <w:rFonts w:ascii="Calibri" w:hAnsi="Calibri"/>
                <w:color w:val="2D3748"/>
                <w:sz w:val="18"/>
              </w:rPr>
              <w:t>Sample collection → report validated</w:t>
            </w:r>
          </w:p>
        </w:tc>
      </w:tr>
      <w:tr w14:paraId="4FC7F701">
        <w:trPr>
          <w:jc w:val="center"/>
        </w:trPr>
        <w:tc>
          <w:tcPr>
            <w:tcW w:w="3210" w:type="dxa"/>
            <w:shd w:val="clear" w:color="auto" w:fill="FFFFFF"/>
          </w:tcPr>
          <w:p w14:paraId="75F19B81">
            <w:r>
              <w:rPr>
                <w:rFonts w:ascii="Calibri" w:hAnsi="Calibri"/>
                <w:color w:val="2D3748"/>
                <w:sz w:val="18"/>
              </w:rPr>
              <w:t>Revenue Leakage</w:t>
            </w:r>
          </w:p>
        </w:tc>
        <w:tc>
          <w:tcPr>
            <w:tcW w:w="2880" w:type="dxa"/>
            <w:shd w:val="clear" w:color="auto" w:fill="FFFFFF"/>
          </w:tcPr>
          <w:p w14:paraId="24648C37">
            <w:r>
              <w:rPr>
                <w:rFonts w:ascii="Calibri" w:hAnsi="Calibri"/>
                <w:color w:val="2D3748"/>
                <w:sz w:val="18"/>
              </w:rPr>
              <w:t>&lt; 0.1%</w:t>
            </w:r>
          </w:p>
        </w:tc>
        <w:tc>
          <w:tcPr>
            <w:tcW w:w="2880" w:type="dxa"/>
            <w:shd w:val="clear" w:color="auto" w:fill="FFFFFF"/>
          </w:tcPr>
          <w:p w14:paraId="1ACEBE42">
            <w:r>
              <w:rPr>
                <w:rFonts w:ascii="Calibri" w:hAnsi="Calibri"/>
                <w:color w:val="2D3748"/>
                <w:sz w:val="18"/>
              </w:rPr>
              <w:t>Finance reconciliation audit</w:t>
            </w:r>
          </w:p>
        </w:tc>
      </w:tr>
      <w:tr w14:paraId="4B24FDED">
        <w:trPr>
          <w:jc w:val="center"/>
        </w:trPr>
        <w:tc>
          <w:tcPr>
            <w:tcW w:w="3210" w:type="dxa"/>
            <w:shd w:val="clear" w:color="auto" w:fill="F7F9FC"/>
          </w:tcPr>
          <w:p w14:paraId="27D25F5B">
            <w:r>
              <w:rPr>
                <w:rFonts w:ascii="Calibri" w:hAnsi="Calibri"/>
                <w:color w:val="2D3748"/>
                <w:sz w:val="18"/>
              </w:rPr>
              <w:t>DISHA Consent Coverage</w:t>
            </w:r>
          </w:p>
        </w:tc>
        <w:tc>
          <w:tcPr>
            <w:tcW w:w="2880" w:type="dxa"/>
            <w:shd w:val="clear" w:color="auto" w:fill="F7F9FC"/>
          </w:tcPr>
          <w:p w14:paraId="48C247F5">
            <w:r>
              <w:rPr>
                <w:rFonts w:ascii="Calibri" w:hAnsi="Calibri"/>
                <w:color w:val="2D3748"/>
                <w:sz w:val="18"/>
              </w:rPr>
              <w:t>100% patient records</w:t>
            </w:r>
          </w:p>
        </w:tc>
        <w:tc>
          <w:tcPr>
            <w:tcW w:w="2880" w:type="dxa"/>
            <w:shd w:val="clear" w:color="auto" w:fill="F7F9FC"/>
          </w:tcPr>
          <w:p w14:paraId="1ED2628D">
            <w:r>
              <w:rPr>
                <w:rFonts w:ascii="Calibri" w:hAnsi="Calibri"/>
                <w:color w:val="2D3748"/>
                <w:sz w:val="18"/>
              </w:rPr>
              <w:t>Audit module report</w:t>
            </w:r>
          </w:p>
        </w:tc>
      </w:tr>
      <w:tr w14:paraId="680C1C27">
        <w:trPr>
          <w:jc w:val="center"/>
        </w:trPr>
        <w:tc>
          <w:tcPr>
            <w:tcW w:w="3210" w:type="dxa"/>
            <w:shd w:val="clear" w:color="auto" w:fill="FFFFFF"/>
          </w:tcPr>
          <w:p w14:paraId="3F9463D6">
            <w:r>
              <w:rPr>
                <w:rFonts w:ascii="Calibri" w:hAnsi="Calibri"/>
                <w:color w:val="2D3748"/>
                <w:sz w:val="18"/>
              </w:rPr>
              <w:t>User Adoption</w:t>
            </w:r>
          </w:p>
        </w:tc>
        <w:tc>
          <w:tcPr>
            <w:tcW w:w="2880" w:type="dxa"/>
            <w:shd w:val="clear" w:color="auto" w:fill="FFFFFF"/>
          </w:tcPr>
          <w:p w14:paraId="61E7ABB5">
            <w:r>
              <w:rPr>
                <w:rFonts w:ascii="Calibri" w:hAnsi="Calibri"/>
                <w:color w:val="2D3748"/>
                <w:sz w:val="18"/>
              </w:rPr>
              <w:t>&gt; 90% active users by Month 3</w:t>
            </w:r>
          </w:p>
        </w:tc>
        <w:tc>
          <w:tcPr>
            <w:tcW w:w="2880" w:type="dxa"/>
            <w:shd w:val="clear" w:color="auto" w:fill="FFFFFF"/>
          </w:tcPr>
          <w:p w14:paraId="61295023">
            <w:r>
              <w:rPr>
                <w:rFonts w:ascii="Calibri" w:hAnsi="Calibri"/>
                <w:color w:val="2D3748"/>
                <w:sz w:val="18"/>
              </w:rPr>
              <w:t>Login analytics</w:t>
            </w:r>
          </w:p>
        </w:tc>
      </w:tr>
      <w:tr w14:paraId="1044D517">
        <w:trPr>
          <w:jc w:val="center"/>
        </w:trPr>
        <w:tc>
          <w:tcPr>
            <w:tcW w:w="3210" w:type="dxa"/>
            <w:shd w:val="clear" w:color="auto" w:fill="F7F9FC"/>
          </w:tcPr>
          <w:p w14:paraId="69674BD3">
            <w:r>
              <w:rPr>
                <w:rFonts w:ascii="Calibri" w:hAnsi="Calibri"/>
                <w:color w:val="2D3748"/>
                <w:sz w:val="18"/>
              </w:rPr>
              <w:t>Patient Portal Adoption</w:t>
            </w:r>
          </w:p>
        </w:tc>
        <w:tc>
          <w:tcPr>
            <w:tcW w:w="2880" w:type="dxa"/>
            <w:shd w:val="clear" w:color="auto" w:fill="F7F9FC"/>
          </w:tcPr>
          <w:p w14:paraId="26D7D6B4">
            <w:r>
              <w:rPr>
                <w:rFonts w:ascii="Calibri" w:hAnsi="Calibri"/>
                <w:color w:val="2D3748"/>
                <w:sz w:val="18"/>
              </w:rPr>
              <w:t>&gt; 30% patients by Month 6</w:t>
            </w:r>
          </w:p>
        </w:tc>
        <w:tc>
          <w:tcPr>
            <w:tcW w:w="2880" w:type="dxa"/>
            <w:shd w:val="clear" w:color="auto" w:fill="F7F9FC"/>
          </w:tcPr>
          <w:p w14:paraId="31B96BE4">
            <w:r>
              <w:rPr>
                <w:rFonts w:ascii="Calibri" w:hAnsi="Calibri"/>
                <w:color w:val="2D3748"/>
                <w:sz w:val="18"/>
              </w:rPr>
              <w:t>PWA registration rate</w:t>
            </w:r>
          </w:p>
        </w:tc>
      </w:tr>
      <w:tr w14:paraId="3F3907D4">
        <w:trPr>
          <w:jc w:val="center"/>
        </w:trPr>
        <w:tc>
          <w:tcPr>
            <w:tcW w:w="3210" w:type="dxa"/>
            <w:shd w:val="clear" w:color="auto" w:fill="FFFFFF"/>
          </w:tcPr>
          <w:p w14:paraId="71672222">
            <w:r>
              <w:rPr>
                <w:rFonts w:ascii="Calibri" w:hAnsi="Calibri"/>
                <w:color w:val="2D3748"/>
                <w:sz w:val="18"/>
              </w:rPr>
              <w:t>Zero Critical Defects</w:t>
            </w:r>
          </w:p>
        </w:tc>
        <w:tc>
          <w:tcPr>
            <w:tcW w:w="2880" w:type="dxa"/>
            <w:shd w:val="clear" w:color="auto" w:fill="FFFFFF"/>
          </w:tcPr>
          <w:p w14:paraId="25C900E7">
            <w:r>
              <w:rPr>
                <w:rFonts w:ascii="Calibri" w:hAnsi="Calibri"/>
                <w:color w:val="2D3748"/>
                <w:sz w:val="18"/>
              </w:rPr>
              <w:t>0 P1 bugs in production</w:t>
            </w:r>
          </w:p>
        </w:tc>
        <w:tc>
          <w:tcPr>
            <w:tcW w:w="2880" w:type="dxa"/>
            <w:shd w:val="clear" w:color="auto" w:fill="FFFFFF"/>
          </w:tcPr>
          <w:p w14:paraId="590AD6DA">
            <w:r>
              <w:rPr>
                <w:rFonts w:ascii="Calibri" w:hAnsi="Calibri"/>
                <w:color w:val="2D3748"/>
                <w:sz w:val="18"/>
              </w:rPr>
              <w:t>JIRA defect tracking</w:t>
            </w:r>
          </w:p>
        </w:tc>
      </w:tr>
    </w:tbl>
    <w:p w14:paraId="3B49B055">
      <w:r>
        <w:br w:type="page"/>
      </w:r>
    </w:p>
    <w:p w14:paraId="1ECEC096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3. Scope of Work — Overview</w:t>
      </w:r>
    </w:p>
    <w:p w14:paraId="1B1D1DC0">
      <w:r>
        <w:t>The HMS Enterprise Platform comprises 12 integrated modules, 3 cross-cutting system capabilities, and a comprehensive deployment and support framework. This section provides the high-level scope; detailed module specifications follow in Section 4.</w:t>
      </w:r>
    </w:p>
    <w:p w14:paraId="4FD907FA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3.1 Module Inventory</w:t>
      </w:r>
    </w:p>
    <w:tbl>
      <w:tblPr>
        <w:tblStyle w:val="35"/>
        <w:tblW w:w="9154" w:type="dxa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80"/>
        <w:gridCol w:w="2237"/>
        <w:gridCol w:w="1423"/>
        <w:gridCol w:w="941"/>
        <w:gridCol w:w="3673"/>
      </w:tblGrid>
      <w:tr w14:paraId="46F90B2E">
        <w:trPr>
          <w:jc w:val="center"/>
        </w:trPr>
        <w:tc>
          <w:tcPr>
            <w:tcW w:w="489" w:type="dxa"/>
            <w:shd w:val="clear" w:color="auto" w:fill="1B3A5C"/>
          </w:tcPr>
          <w:p w14:paraId="55362EA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ID</w:t>
            </w:r>
          </w:p>
        </w:tc>
        <w:tc>
          <w:tcPr>
            <w:tcW w:w="2343" w:type="dxa"/>
            <w:shd w:val="clear" w:color="auto" w:fill="1B3A5C"/>
          </w:tcPr>
          <w:p w14:paraId="11FA520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w="1428" w:type="dxa"/>
            <w:shd w:val="clear" w:color="auto" w:fill="1B3A5C"/>
          </w:tcPr>
          <w:p w14:paraId="7BD8985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941" w:type="dxa"/>
            <w:shd w:val="clear" w:color="auto" w:fill="1B3A5C"/>
          </w:tcPr>
          <w:p w14:paraId="3DEBE55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Screens</w:t>
            </w:r>
          </w:p>
        </w:tc>
        <w:tc>
          <w:tcPr>
            <w:tcW w:w="3953" w:type="dxa"/>
            <w:shd w:val="clear" w:color="auto" w:fill="1B3A5C"/>
          </w:tcPr>
          <w:p w14:paraId="19C17B8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Capability</w:t>
            </w:r>
          </w:p>
        </w:tc>
      </w:tr>
      <w:tr w14:paraId="36F50722">
        <w:trPr>
          <w:jc w:val="center"/>
        </w:trPr>
        <w:tc>
          <w:tcPr>
            <w:tcW w:w="489" w:type="dxa"/>
            <w:shd w:val="clear" w:color="auto" w:fill="F7F9FC"/>
          </w:tcPr>
          <w:p w14:paraId="213B8659">
            <w:r>
              <w:rPr>
                <w:rFonts w:ascii="Calibri" w:hAnsi="Calibri"/>
                <w:color w:val="2D3748"/>
                <w:sz w:val="18"/>
              </w:rPr>
              <w:t>M01</w:t>
            </w:r>
          </w:p>
        </w:tc>
        <w:tc>
          <w:tcPr>
            <w:tcW w:w="2343" w:type="dxa"/>
            <w:shd w:val="clear" w:color="auto" w:fill="F7F9FC"/>
          </w:tcPr>
          <w:p w14:paraId="3A0F773E">
            <w:r>
              <w:rPr>
                <w:rFonts w:ascii="Calibri" w:hAnsi="Calibri"/>
                <w:color w:val="2D3748"/>
                <w:sz w:val="18"/>
              </w:rPr>
              <w:t>OPD &amp; Clinical</w:t>
            </w:r>
          </w:p>
        </w:tc>
        <w:tc>
          <w:tcPr>
            <w:tcW w:w="1428" w:type="dxa"/>
            <w:shd w:val="clear" w:color="auto" w:fill="F7F9FC"/>
          </w:tcPr>
          <w:p w14:paraId="3613BE4B">
            <w:r>
              <w:rPr>
                <w:rFonts w:ascii="Calibri" w:hAnsi="Calibri"/>
                <w:color w:val="2D3748"/>
                <w:sz w:val="18"/>
              </w:rPr>
              <w:t>Clinical</w:t>
            </w:r>
          </w:p>
        </w:tc>
        <w:tc>
          <w:tcPr>
            <w:tcW w:w="941" w:type="dxa"/>
            <w:shd w:val="clear" w:color="auto" w:fill="F7F9FC"/>
          </w:tcPr>
          <w:p w14:paraId="405E33F0"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w="3953" w:type="dxa"/>
            <w:shd w:val="clear" w:color="auto" w:fill="F7F9FC"/>
          </w:tcPr>
          <w:p w14:paraId="4A21A1D1">
            <w:r>
              <w:rPr>
                <w:rFonts w:ascii="Calibri" w:hAnsi="Calibri"/>
                <w:color w:val="2D3748"/>
                <w:sz w:val="18"/>
              </w:rPr>
              <w:t>Patient registration, token queue, EMR, e-prescription</w:t>
            </w:r>
          </w:p>
        </w:tc>
      </w:tr>
      <w:tr w14:paraId="7F37C561">
        <w:trPr>
          <w:jc w:val="center"/>
        </w:trPr>
        <w:tc>
          <w:tcPr>
            <w:tcW w:w="489" w:type="dxa"/>
            <w:shd w:val="clear" w:color="auto" w:fill="FFFFFF"/>
          </w:tcPr>
          <w:p w14:paraId="53D5FEB4">
            <w:r>
              <w:rPr>
                <w:rFonts w:ascii="Calibri" w:hAnsi="Calibri"/>
                <w:color w:val="2D3748"/>
                <w:sz w:val="18"/>
              </w:rPr>
              <w:t>M02</w:t>
            </w:r>
          </w:p>
        </w:tc>
        <w:tc>
          <w:tcPr>
            <w:tcW w:w="2343" w:type="dxa"/>
            <w:shd w:val="clear" w:color="auto" w:fill="FFFFFF"/>
          </w:tcPr>
          <w:p w14:paraId="2F2C8127">
            <w:r>
              <w:rPr>
                <w:rFonts w:ascii="Calibri" w:hAnsi="Calibri"/>
                <w:color w:val="2D3748"/>
                <w:sz w:val="18"/>
              </w:rPr>
              <w:t>Pharmacy &amp; Drug Management</w:t>
            </w:r>
          </w:p>
        </w:tc>
        <w:tc>
          <w:tcPr>
            <w:tcW w:w="1428" w:type="dxa"/>
            <w:shd w:val="clear" w:color="auto" w:fill="FFFFFF"/>
          </w:tcPr>
          <w:p w14:paraId="0D75BC58">
            <w:r>
              <w:rPr>
                <w:rFonts w:ascii="Calibri" w:hAnsi="Calibri"/>
                <w:color w:val="2D3748"/>
                <w:sz w:val="18"/>
              </w:rPr>
              <w:t>Clinical</w:t>
            </w:r>
          </w:p>
        </w:tc>
        <w:tc>
          <w:tcPr>
            <w:tcW w:w="941" w:type="dxa"/>
            <w:shd w:val="clear" w:color="auto" w:fill="FFFFFF"/>
          </w:tcPr>
          <w:p w14:paraId="4FA81BDB"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w="3953" w:type="dxa"/>
            <w:shd w:val="clear" w:color="auto" w:fill="FFFFFF"/>
          </w:tcPr>
          <w:p w14:paraId="15CEB00A">
            <w:r>
              <w:rPr>
                <w:rFonts w:ascii="Calibri" w:hAnsi="Calibri"/>
                <w:color w:val="2D3748"/>
                <w:sz w:val="18"/>
              </w:rPr>
              <w:t>FIFO dispensing, drug interactions, billing, procurement</w:t>
            </w:r>
          </w:p>
        </w:tc>
      </w:tr>
      <w:tr w14:paraId="1760D3E0">
        <w:trPr>
          <w:jc w:val="center"/>
        </w:trPr>
        <w:tc>
          <w:tcPr>
            <w:tcW w:w="489" w:type="dxa"/>
            <w:shd w:val="clear" w:color="auto" w:fill="F7F9FC"/>
          </w:tcPr>
          <w:p w14:paraId="5F830150">
            <w:r>
              <w:rPr>
                <w:rFonts w:ascii="Calibri" w:hAnsi="Calibri"/>
                <w:color w:val="2D3748"/>
                <w:sz w:val="18"/>
              </w:rPr>
              <w:t>M03</w:t>
            </w:r>
          </w:p>
        </w:tc>
        <w:tc>
          <w:tcPr>
            <w:tcW w:w="2343" w:type="dxa"/>
            <w:shd w:val="clear" w:color="auto" w:fill="F7F9FC"/>
          </w:tcPr>
          <w:p w14:paraId="39533B23">
            <w:r>
              <w:rPr>
                <w:rFonts w:ascii="Calibri" w:hAnsi="Calibri"/>
                <w:color w:val="2D3748"/>
                <w:sz w:val="18"/>
              </w:rPr>
              <w:t>Laboratory &amp; Diagnostics</w:t>
            </w:r>
          </w:p>
        </w:tc>
        <w:tc>
          <w:tcPr>
            <w:tcW w:w="1428" w:type="dxa"/>
            <w:shd w:val="clear" w:color="auto" w:fill="F7F9FC"/>
          </w:tcPr>
          <w:p w14:paraId="0401833D">
            <w:r>
              <w:rPr>
                <w:rFonts w:ascii="Calibri" w:hAnsi="Calibri"/>
                <w:color w:val="2D3748"/>
                <w:sz w:val="18"/>
              </w:rPr>
              <w:t>Clinical</w:t>
            </w:r>
          </w:p>
        </w:tc>
        <w:tc>
          <w:tcPr>
            <w:tcW w:w="941" w:type="dxa"/>
            <w:shd w:val="clear" w:color="auto" w:fill="F7F9FC"/>
          </w:tcPr>
          <w:p w14:paraId="106FAD1C"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w="3953" w:type="dxa"/>
            <w:shd w:val="clear" w:color="auto" w:fill="F7F9FC"/>
          </w:tcPr>
          <w:p w14:paraId="55DFB70A">
            <w:r>
              <w:rPr>
                <w:rFonts w:ascii="Calibri" w:hAnsi="Calibri"/>
                <w:color w:val="2D3748"/>
                <w:sz w:val="18"/>
              </w:rPr>
              <w:t>Sample tracking, result validation, NABL-aligned TAT</w:t>
            </w:r>
          </w:p>
        </w:tc>
      </w:tr>
      <w:tr w14:paraId="3352C599">
        <w:trPr>
          <w:jc w:val="center"/>
        </w:trPr>
        <w:tc>
          <w:tcPr>
            <w:tcW w:w="489" w:type="dxa"/>
            <w:shd w:val="clear" w:color="auto" w:fill="FFFFFF"/>
          </w:tcPr>
          <w:p w14:paraId="6A08DA98">
            <w:r>
              <w:rPr>
                <w:rFonts w:ascii="Calibri" w:hAnsi="Calibri"/>
                <w:color w:val="2D3748"/>
                <w:sz w:val="18"/>
              </w:rPr>
              <w:t>M04</w:t>
            </w:r>
          </w:p>
        </w:tc>
        <w:tc>
          <w:tcPr>
            <w:tcW w:w="2343" w:type="dxa"/>
            <w:shd w:val="clear" w:color="auto" w:fill="FFFFFF"/>
          </w:tcPr>
          <w:p w14:paraId="4A791309">
            <w:r>
              <w:rPr>
                <w:rFonts w:ascii="Calibri" w:hAnsi="Calibri"/>
                <w:color w:val="2D3748"/>
                <w:sz w:val="18"/>
              </w:rPr>
              <w:t>Finance &amp; Billing</w:t>
            </w:r>
          </w:p>
        </w:tc>
        <w:tc>
          <w:tcPr>
            <w:tcW w:w="1428" w:type="dxa"/>
            <w:shd w:val="clear" w:color="auto" w:fill="FFFFFF"/>
          </w:tcPr>
          <w:p w14:paraId="3B380933">
            <w:r>
              <w:rPr>
                <w:rFonts w:ascii="Calibri" w:hAnsi="Calibri"/>
                <w:color w:val="2D3748"/>
                <w:sz w:val="18"/>
              </w:rPr>
              <w:t>Administrative</w:t>
            </w:r>
          </w:p>
        </w:tc>
        <w:tc>
          <w:tcPr>
            <w:tcW w:w="941" w:type="dxa"/>
            <w:shd w:val="clear" w:color="auto" w:fill="FFFFFF"/>
          </w:tcPr>
          <w:p w14:paraId="59688D3E"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w="3953" w:type="dxa"/>
            <w:shd w:val="clear" w:color="auto" w:fill="FFFFFF"/>
          </w:tcPr>
          <w:p w14:paraId="6360B5BA">
            <w:r>
              <w:rPr>
                <w:rFonts w:ascii="Calibri" w:hAnsi="Calibri"/>
                <w:color w:val="2D3748"/>
                <w:sz w:val="18"/>
              </w:rPr>
              <w:t>Auto charge capture, TPA/insurance, GST, day-close</w:t>
            </w:r>
          </w:p>
        </w:tc>
      </w:tr>
      <w:tr w14:paraId="7C11F965">
        <w:trPr>
          <w:jc w:val="center"/>
        </w:trPr>
        <w:tc>
          <w:tcPr>
            <w:tcW w:w="489" w:type="dxa"/>
            <w:shd w:val="clear" w:color="auto" w:fill="F7F9FC"/>
          </w:tcPr>
          <w:p w14:paraId="5040349E">
            <w:r>
              <w:rPr>
                <w:rFonts w:ascii="Calibri" w:hAnsi="Calibri"/>
                <w:color w:val="2D3748"/>
                <w:sz w:val="18"/>
              </w:rPr>
              <w:t>M05</w:t>
            </w:r>
          </w:p>
        </w:tc>
        <w:tc>
          <w:tcPr>
            <w:tcW w:w="2343" w:type="dxa"/>
            <w:shd w:val="clear" w:color="auto" w:fill="F7F9FC"/>
          </w:tcPr>
          <w:p w14:paraId="19CDD4B1">
            <w:r>
              <w:rPr>
                <w:rFonts w:ascii="Calibri" w:hAnsi="Calibri"/>
                <w:color w:val="2D3748"/>
                <w:sz w:val="18"/>
              </w:rPr>
              <w:t>HR &amp; Payroll</w:t>
            </w:r>
          </w:p>
        </w:tc>
        <w:tc>
          <w:tcPr>
            <w:tcW w:w="1428" w:type="dxa"/>
            <w:shd w:val="clear" w:color="auto" w:fill="F7F9FC"/>
          </w:tcPr>
          <w:p w14:paraId="31CD2468">
            <w:r>
              <w:rPr>
                <w:rFonts w:ascii="Calibri" w:hAnsi="Calibri"/>
                <w:color w:val="2D3748"/>
                <w:sz w:val="18"/>
              </w:rPr>
              <w:t>Administrative</w:t>
            </w:r>
          </w:p>
        </w:tc>
        <w:tc>
          <w:tcPr>
            <w:tcW w:w="941" w:type="dxa"/>
            <w:shd w:val="clear" w:color="auto" w:fill="F7F9FC"/>
          </w:tcPr>
          <w:p w14:paraId="73E646BC"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w="3953" w:type="dxa"/>
            <w:shd w:val="clear" w:color="auto" w:fill="F7F9FC"/>
          </w:tcPr>
          <w:p w14:paraId="5686924C">
            <w:r>
              <w:rPr>
                <w:rFonts w:ascii="Calibri" w:hAnsi="Calibri"/>
                <w:color w:val="2D3748"/>
                <w:sz w:val="18"/>
              </w:rPr>
              <w:t>Doctor profiles, biometric attendance, payroll, compliance</w:t>
            </w:r>
          </w:p>
        </w:tc>
      </w:tr>
      <w:tr w14:paraId="7BFDF54A">
        <w:trPr>
          <w:jc w:val="center"/>
        </w:trPr>
        <w:tc>
          <w:tcPr>
            <w:tcW w:w="489" w:type="dxa"/>
            <w:shd w:val="clear" w:color="auto" w:fill="FFFFFF"/>
          </w:tcPr>
          <w:p w14:paraId="2A416949">
            <w:r>
              <w:rPr>
                <w:rFonts w:ascii="Calibri" w:hAnsi="Calibri"/>
                <w:color w:val="2D3748"/>
                <w:sz w:val="18"/>
              </w:rPr>
              <w:t>M06</w:t>
            </w:r>
          </w:p>
        </w:tc>
        <w:tc>
          <w:tcPr>
            <w:tcW w:w="2343" w:type="dxa"/>
            <w:shd w:val="clear" w:color="auto" w:fill="FFFFFF"/>
          </w:tcPr>
          <w:p w14:paraId="61BFA345">
            <w:r>
              <w:rPr>
                <w:rFonts w:ascii="Calibri" w:hAnsi="Calibri"/>
                <w:color w:val="2D3748"/>
                <w:sz w:val="18"/>
              </w:rPr>
              <w:t>Inventory &amp; Procurement</w:t>
            </w:r>
          </w:p>
        </w:tc>
        <w:tc>
          <w:tcPr>
            <w:tcW w:w="1428" w:type="dxa"/>
            <w:shd w:val="clear" w:color="auto" w:fill="FFFFFF"/>
          </w:tcPr>
          <w:p w14:paraId="6BFE5E87">
            <w:r>
              <w:rPr>
                <w:rFonts w:ascii="Calibri" w:hAnsi="Calibri"/>
                <w:color w:val="2D3748"/>
                <w:sz w:val="18"/>
              </w:rPr>
              <w:t>Administrative</w:t>
            </w:r>
          </w:p>
        </w:tc>
        <w:tc>
          <w:tcPr>
            <w:tcW w:w="941" w:type="dxa"/>
            <w:shd w:val="clear" w:color="auto" w:fill="FFFFFF"/>
          </w:tcPr>
          <w:p w14:paraId="4FE53FA1"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w="3953" w:type="dxa"/>
            <w:shd w:val="clear" w:color="auto" w:fill="FFFFFF"/>
          </w:tcPr>
          <w:p w14:paraId="1291C753">
            <w:r>
              <w:rPr>
                <w:rFonts w:ascii="Calibri" w:hAnsi="Calibri"/>
                <w:color w:val="2D3748"/>
                <w:sz w:val="18"/>
              </w:rPr>
              <w:t>Stock management, PO workflow, vendor management</w:t>
            </w:r>
          </w:p>
        </w:tc>
      </w:tr>
      <w:tr w14:paraId="7ADF8050">
        <w:trPr>
          <w:jc w:val="center"/>
        </w:trPr>
        <w:tc>
          <w:tcPr>
            <w:tcW w:w="489" w:type="dxa"/>
            <w:shd w:val="clear" w:color="auto" w:fill="F7F9FC"/>
          </w:tcPr>
          <w:p w14:paraId="20261FB8">
            <w:r>
              <w:rPr>
                <w:rFonts w:ascii="Calibri" w:hAnsi="Calibri"/>
                <w:color w:val="2D3748"/>
                <w:sz w:val="18"/>
              </w:rPr>
              <w:t>M07</w:t>
            </w:r>
          </w:p>
        </w:tc>
        <w:tc>
          <w:tcPr>
            <w:tcW w:w="2343" w:type="dxa"/>
            <w:shd w:val="clear" w:color="auto" w:fill="F7F9FC"/>
          </w:tcPr>
          <w:p w14:paraId="59251E17">
            <w:r>
              <w:rPr>
                <w:rFonts w:ascii="Calibri" w:hAnsi="Calibri"/>
                <w:color w:val="2D3748"/>
                <w:sz w:val="18"/>
              </w:rPr>
              <w:t>Business Intelligence</w:t>
            </w:r>
          </w:p>
        </w:tc>
        <w:tc>
          <w:tcPr>
            <w:tcW w:w="1428" w:type="dxa"/>
            <w:shd w:val="clear" w:color="auto" w:fill="F7F9FC"/>
          </w:tcPr>
          <w:p w14:paraId="56098E36">
            <w:r>
              <w:rPr>
                <w:rFonts w:ascii="Calibri" w:hAnsi="Calibri"/>
                <w:color w:val="2D3748"/>
                <w:sz w:val="18"/>
              </w:rPr>
              <w:t>Analytics</w:t>
            </w:r>
          </w:p>
        </w:tc>
        <w:tc>
          <w:tcPr>
            <w:tcW w:w="941" w:type="dxa"/>
            <w:shd w:val="clear" w:color="auto" w:fill="F7F9FC"/>
          </w:tcPr>
          <w:p w14:paraId="6ABA1EAC"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w="3953" w:type="dxa"/>
            <w:shd w:val="clear" w:color="auto" w:fill="F7F9FC"/>
          </w:tcPr>
          <w:p w14:paraId="59C407E2">
            <w:r>
              <w:rPr>
                <w:rFonts w:ascii="Calibri" w:hAnsi="Calibri"/>
                <w:color w:val="2D3748"/>
                <w:sz w:val="18"/>
              </w:rPr>
              <w:t>Executive dashboards, KPI monitoring, report builder</w:t>
            </w:r>
          </w:p>
        </w:tc>
      </w:tr>
      <w:tr w14:paraId="7BAB8CE2">
        <w:trPr>
          <w:jc w:val="center"/>
        </w:trPr>
        <w:tc>
          <w:tcPr>
            <w:tcW w:w="489" w:type="dxa"/>
            <w:shd w:val="clear" w:color="auto" w:fill="FFFFFF"/>
          </w:tcPr>
          <w:p w14:paraId="0DB336EB">
            <w:r>
              <w:rPr>
                <w:rFonts w:ascii="Calibri" w:hAnsi="Calibri"/>
                <w:color w:val="2D3748"/>
                <w:sz w:val="18"/>
              </w:rPr>
              <w:t>M08</w:t>
            </w:r>
          </w:p>
        </w:tc>
        <w:tc>
          <w:tcPr>
            <w:tcW w:w="2343" w:type="dxa"/>
            <w:shd w:val="clear" w:color="auto" w:fill="FFFFFF"/>
          </w:tcPr>
          <w:p w14:paraId="41D2398E">
            <w:r>
              <w:rPr>
                <w:rFonts w:ascii="Calibri" w:hAnsi="Calibri"/>
                <w:color w:val="2D3748"/>
                <w:sz w:val="18"/>
              </w:rPr>
              <w:t>Patient Portal (PWA)</w:t>
            </w:r>
          </w:p>
        </w:tc>
        <w:tc>
          <w:tcPr>
            <w:tcW w:w="1428" w:type="dxa"/>
            <w:shd w:val="clear" w:color="auto" w:fill="FFFFFF"/>
          </w:tcPr>
          <w:p w14:paraId="2054FBD9">
            <w:r>
              <w:rPr>
                <w:rFonts w:ascii="Calibri" w:hAnsi="Calibri"/>
                <w:color w:val="2D3748"/>
                <w:sz w:val="18"/>
              </w:rPr>
              <w:t>Engagement</w:t>
            </w:r>
          </w:p>
        </w:tc>
        <w:tc>
          <w:tcPr>
            <w:tcW w:w="941" w:type="dxa"/>
            <w:shd w:val="clear" w:color="auto" w:fill="FFFFFF"/>
          </w:tcPr>
          <w:p w14:paraId="5BCE0F33"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w="3953" w:type="dxa"/>
            <w:shd w:val="clear" w:color="auto" w:fill="FFFFFF"/>
          </w:tcPr>
          <w:p w14:paraId="3FD29A65">
            <w:r>
              <w:rPr>
                <w:rFonts w:ascii="Calibri" w:hAnsi="Calibri"/>
                <w:color w:val="2D3748"/>
                <w:sz w:val="18"/>
              </w:rPr>
              <w:t>Self-service booking, health records, online payment</w:t>
            </w:r>
          </w:p>
        </w:tc>
      </w:tr>
      <w:tr w14:paraId="0C55B25D">
        <w:trPr>
          <w:jc w:val="center"/>
        </w:trPr>
        <w:tc>
          <w:tcPr>
            <w:tcW w:w="489" w:type="dxa"/>
            <w:shd w:val="clear" w:color="auto" w:fill="F7F9FC"/>
          </w:tcPr>
          <w:p w14:paraId="76250EEC">
            <w:r>
              <w:rPr>
                <w:rFonts w:ascii="Calibri" w:hAnsi="Calibri"/>
                <w:color w:val="2D3748"/>
                <w:sz w:val="18"/>
              </w:rPr>
              <w:t>M09</w:t>
            </w:r>
          </w:p>
        </w:tc>
        <w:tc>
          <w:tcPr>
            <w:tcW w:w="2343" w:type="dxa"/>
            <w:shd w:val="clear" w:color="auto" w:fill="F7F9FC"/>
          </w:tcPr>
          <w:p w14:paraId="758C717E">
            <w:r>
              <w:rPr>
                <w:rFonts w:ascii="Calibri" w:hAnsi="Calibri"/>
                <w:color w:val="2D3748"/>
                <w:sz w:val="18"/>
              </w:rPr>
              <w:t>Audit &amp; Compliance</w:t>
            </w:r>
          </w:p>
        </w:tc>
        <w:tc>
          <w:tcPr>
            <w:tcW w:w="1428" w:type="dxa"/>
            <w:shd w:val="clear" w:color="auto" w:fill="F7F9FC"/>
          </w:tcPr>
          <w:p w14:paraId="587714D9">
            <w:r>
              <w:rPr>
                <w:rFonts w:ascii="Calibri" w:hAnsi="Calibri"/>
                <w:color w:val="2D3748"/>
                <w:sz w:val="18"/>
              </w:rPr>
              <w:t>Governance</w:t>
            </w:r>
          </w:p>
        </w:tc>
        <w:tc>
          <w:tcPr>
            <w:tcW w:w="941" w:type="dxa"/>
            <w:shd w:val="clear" w:color="auto" w:fill="F7F9FC"/>
          </w:tcPr>
          <w:p w14:paraId="1088689A"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w="3953" w:type="dxa"/>
            <w:shd w:val="clear" w:color="auto" w:fill="F7F9FC"/>
          </w:tcPr>
          <w:p w14:paraId="31F4D4F2">
            <w:r>
              <w:rPr>
                <w:rFonts w:ascii="Calibri" w:hAnsi="Calibri"/>
                <w:color w:val="2D3748"/>
                <w:sz w:val="18"/>
              </w:rPr>
              <w:t>Immutable audit log, DISHA compliance, security monitoring</w:t>
            </w:r>
          </w:p>
        </w:tc>
      </w:tr>
      <w:tr w14:paraId="2992C690">
        <w:trPr>
          <w:jc w:val="center"/>
        </w:trPr>
        <w:tc>
          <w:tcPr>
            <w:tcW w:w="489" w:type="dxa"/>
            <w:shd w:val="clear" w:color="auto" w:fill="FFFFFF"/>
          </w:tcPr>
          <w:p w14:paraId="5AAD8A8D">
            <w:r>
              <w:rPr>
                <w:rFonts w:ascii="Calibri" w:hAnsi="Calibri"/>
                <w:color w:val="2D3748"/>
                <w:sz w:val="18"/>
              </w:rPr>
              <w:t>M10</w:t>
            </w:r>
          </w:p>
        </w:tc>
        <w:tc>
          <w:tcPr>
            <w:tcW w:w="2343" w:type="dxa"/>
            <w:shd w:val="clear" w:color="auto" w:fill="FFFFFF"/>
          </w:tcPr>
          <w:p w14:paraId="5E21EEE6">
            <w:r>
              <w:rPr>
                <w:rFonts w:ascii="Calibri" w:hAnsi="Calibri"/>
                <w:color w:val="2D3748"/>
                <w:sz w:val="18"/>
              </w:rPr>
              <w:t>IPD (Inpatient)</w:t>
            </w:r>
          </w:p>
        </w:tc>
        <w:tc>
          <w:tcPr>
            <w:tcW w:w="1428" w:type="dxa"/>
            <w:shd w:val="clear" w:color="auto" w:fill="FFFFFF"/>
          </w:tcPr>
          <w:p w14:paraId="6C57B57E">
            <w:r>
              <w:rPr>
                <w:rFonts w:ascii="Calibri" w:hAnsi="Calibri"/>
                <w:color w:val="2D3748"/>
                <w:sz w:val="18"/>
              </w:rPr>
              <w:t>Clinical</w:t>
            </w:r>
          </w:p>
        </w:tc>
        <w:tc>
          <w:tcPr>
            <w:tcW w:w="941" w:type="dxa"/>
            <w:shd w:val="clear" w:color="auto" w:fill="FFFFFF"/>
          </w:tcPr>
          <w:p w14:paraId="763FB288"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w="3953" w:type="dxa"/>
            <w:shd w:val="clear" w:color="auto" w:fill="FFFFFF"/>
          </w:tcPr>
          <w:p w14:paraId="14E525DB">
            <w:r>
              <w:rPr>
                <w:rFonts w:ascii="Calibri" w:hAnsi="Calibri"/>
                <w:color w:val="2D3748"/>
                <w:sz w:val="18"/>
              </w:rPr>
              <w:t>Bed management, nursing station, doctor rounds, discharge</w:t>
            </w:r>
          </w:p>
        </w:tc>
      </w:tr>
      <w:tr w14:paraId="612334C4">
        <w:trPr>
          <w:jc w:val="center"/>
        </w:trPr>
        <w:tc>
          <w:tcPr>
            <w:tcW w:w="489" w:type="dxa"/>
            <w:shd w:val="clear" w:color="auto" w:fill="F7F9FC"/>
          </w:tcPr>
          <w:p w14:paraId="1B77FC5B">
            <w:r>
              <w:rPr>
                <w:rFonts w:ascii="Calibri" w:hAnsi="Calibri"/>
                <w:color w:val="2D3748"/>
                <w:sz w:val="18"/>
              </w:rPr>
              <w:t>M11</w:t>
            </w:r>
          </w:p>
        </w:tc>
        <w:tc>
          <w:tcPr>
            <w:tcW w:w="2343" w:type="dxa"/>
            <w:shd w:val="clear" w:color="auto" w:fill="F7F9FC"/>
          </w:tcPr>
          <w:p w14:paraId="05D321BF">
            <w:r>
              <w:rPr>
                <w:rFonts w:ascii="Calibri" w:hAnsi="Calibri"/>
                <w:color w:val="2D3748"/>
                <w:sz w:val="18"/>
              </w:rPr>
              <w:t>Appointment Scheduling</w:t>
            </w:r>
          </w:p>
        </w:tc>
        <w:tc>
          <w:tcPr>
            <w:tcW w:w="1428" w:type="dxa"/>
            <w:shd w:val="clear" w:color="auto" w:fill="F7F9FC"/>
          </w:tcPr>
          <w:p w14:paraId="3217C691">
            <w:r>
              <w:rPr>
                <w:rFonts w:ascii="Calibri" w:hAnsi="Calibri"/>
                <w:color w:val="2D3748"/>
                <w:sz w:val="18"/>
              </w:rPr>
              <w:t>Clinical</w:t>
            </w:r>
          </w:p>
        </w:tc>
        <w:tc>
          <w:tcPr>
            <w:tcW w:w="941" w:type="dxa"/>
            <w:shd w:val="clear" w:color="auto" w:fill="F7F9FC"/>
          </w:tcPr>
          <w:p w14:paraId="427974D3"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w="3953" w:type="dxa"/>
            <w:shd w:val="clear" w:color="auto" w:fill="F7F9FC"/>
          </w:tcPr>
          <w:p w14:paraId="0DC478A2">
            <w:r>
              <w:rPr>
                <w:rFonts w:ascii="Calibri" w:hAnsi="Calibri"/>
                <w:color w:val="2D3748"/>
                <w:sz w:val="18"/>
              </w:rPr>
              <w:t>Doctor schedules, real-time booking, no-show tracking</w:t>
            </w:r>
          </w:p>
        </w:tc>
      </w:tr>
      <w:tr w14:paraId="38B1ED72">
        <w:trPr>
          <w:jc w:val="center"/>
        </w:trPr>
        <w:tc>
          <w:tcPr>
            <w:tcW w:w="489" w:type="dxa"/>
            <w:shd w:val="clear" w:color="auto" w:fill="FFFFFF"/>
          </w:tcPr>
          <w:p w14:paraId="7238AB41">
            <w:r>
              <w:rPr>
                <w:rFonts w:ascii="Calibri" w:hAnsi="Calibri"/>
                <w:color w:val="2D3748"/>
                <w:sz w:val="18"/>
              </w:rPr>
              <w:t>M12</w:t>
            </w:r>
          </w:p>
        </w:tc>
        <w:tc>
          <w:tcPr>
            <w:tcW w:w="2343" w:type="dxa"/>
            <w:shd w:val="clear" w:color="auto" w:fill="FFFFFF"/>
          </w:tcPr>
          <w:p w14:paraId="18F98533">
            <w:r>
              <w:rPr>
                <w:rFonts w:ascii="Calibri" w:hAnsi="Calibri"/>
                <w:color w:val="2D3748"/>
                <w:sz w:val="18"/>
              </w:rPr>
              <w:t>Platform Administration</w:t>
            </w:r>
          </w:p>
        </w:tc>
        <w:tc>
          <w:tcPr>
            <w:tcW w:w="1428" w:type="dxa"/>
            <w:shd w:val="clear" w:color="auto" w:fill="FFFFFF"/>
          </w:tcPr>
          <w:p w14:paraId="55BEE844">
            <w:r>
              <w:rPr>
                <w:rFonts w:ascii="Calibri" w:hAnsi="Calibri"/>
                <w:color w:val="2D3748"/>
                <w:sz w:val="18"/>
              </w:rPr>
              <w:t>Infrastructure</w:t>
            </w:r>
          </w:p>
        </w:tc>
        <w:tc>
          <w:tcPr>
            <w:tcW w:w="941" w:type="dxa"/>
            <w:shd w:val="clear" w:color="auto" w:fill="FFFFFF"/>
          </w:tcPr>
          <w:p w14:paraId="6D619C95"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w="3953" w:type="dxa"/>
            <w:shd w:val="clear" w:color="auto" w:fill="FFFFFF"/>
          </w:tcPr>
          <w:p w14:paraId="25EFF824">
            <w:r>
              <w:rPr>
                <w:rFonts w:ascii="Calibri" w:hAnsi="Calibri"/>
                <w:color w:val="2D3748"/>
                <w:sz w:val="18"/>
              </w:rPr>
              <w:t>Tenant lifecycle, health monitoring, global config</w:t>
            </w:r>
          </w:p>
        </w:tc>
      </w:tr>
    </w:tbl>
    <w:p w14:paraId="7F5C7154">
      <w:pPr>
        <w:pStyle w:val="3"/>
        <w:pBdr>
          <w:left w:val="single" w:color="0D7377" w:sz="24" w:space="8"/>
        </w:pBdr>
        <w:ind w:left="0" w:leftChars="0" w:firstLine="0" w:firstLineChars="0"/>
      </w:pPr>
      <w:r>
        <w:rPr>
          <w:rFonts w:ascii="Calibri" w:hAnsi="Calibri"/>
          <w:b/>
          <w:color w:val="0D7377"/>
          <w:sz w:val="28"/>
        </w:rPr>
        <w:t>3.2 Cross-Cutting Capabilities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53"/>
        <w:gridCol w:w="4318"/>
      </w:tblGrid>
      <w:tr w14:paraId="0C0A4AA0">
        <w:trPr>
          <w:jc w:val="center"/>
        </w:trPr>
        <w:tc>
          <w:tcPr>
            <w:tcW w:w="5053" w:type="dxa"/>
            <w:shd w:val="clear" w:color="auto" w:fill="1B3A5C"/>
          </w:tcPr>
          <w:p w14:paraId="67A15C6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w="4318" w:type="dxa"/>
            <w:shd w:val="clear" w:color="auto" w:fill="1B3A5C"/>
          </w:tcPr>
          <w:p w14:paraId="6EC4C76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14:paraId="12D6F25A">
        <w:trPr>
          <w:jc w:val="center"/>
        </w:trPr>
        <w:tc>
          <w:tcPr>
            <w:tcW w:w="5053" w:type="dxa"/>
            <w:shd w:val="clear" w:color="auto" w:fill="F7F9FC"/>
          </w:tcPr>
          <w:p w14:paraId="2127D326">
            <w:r>
              <w:rPr>
                <w:rFonts w:ascii="Calibri" w:hAnsi="Calibri"/>
                <w:color w:val="2D3748"/>
                <w:sz w:val="18"/>
              </w:rPr>
              <w:t>Authentication &amp; Authorization</w:t>
            </w:r>
          </w:p>
        </w:tc>
        <w:tc>
          <w:tcPr>
            <w:tcW w:w="4318" w:type="dxa"/>
            <w:shd w:val="clear" w:color="auto" w:fill="F7F9FC"/>
          </w:tcPr>
          <w:p w14:paraId="222B9A82">
            <w:r>
              <w:rPr>
                <w:rFonts w:ascii="Calibri" w:hAnsi="Calibri"/>
                <w:color w:val="2D3748"/>
                <w:sz w:val="18"/>
              </w:rPr>
              <w:t>6-tier RBAC, JWT (15min) + Refresh tokens, MFA for L1-L3, tenant-aware @PreAuthorize guards</w:t>
            </w:r>
          </w:p>
        </w:tc>
      </w:tr>
      <w:tr w14:paraId="03E3D5F5">
        <w:trPr>
          <w:jc w:val="center"/>
        </w:trPr>
        <w:tc>
          <w:tcPr>
            <w:tcW w:w="5053" w:type="dxa"/>
            <w:shd w:val="clear" w:color="auto" w:fill="FFFFFF"/>
          </w:tcPr>
          <w:p w14:paraId="4EF71EF2">
            <w:r>
              <w:rPr>
                <w:rFonts w:ascii="Calibri" w:hAnsi="Calibri"/>
                <w:color w:val="2D3748"/>
                <w:sz w:val="18"/>
              </w:rPr>
              <w:t>Event-Driven Architecture</w:t>
            </w:r>
          </w:p>
        </w:tc>
        <w:tc>
          <w:tcPr>
            <w:tcW w:w="4318" w:type="dxa"/>
            <w:shd w:val="clear" w:color="auto" w:fill="FFFFFF"/>
          </w:tcPr>
          <w:p w14:paraId="15A8DA47">
            <w:r>
              <w:rPr>
                <w:rFonts w:ascii="Calibri" w:hAnsi="Calibri"/>
                <w:color w:val="2D3748"/>
                <w:sz w:val="18"/>
              </w:rPr>
              <w:t>Apache Kafka (6 topic namespaces), DLQ + 3 retries, idempotent consumers, Socket.IO live updates</w:t>
            </w:r>
          </w:p>
        </w:tc>
      </w:tr>
      <w:tr w14:paraId="47640D98">
        <w:trPr>
          <w:jc w:val="center"/>
        </w:trPr>
        <w:tc>
          <w:tcPr>
            <w:tcW w:w="5053" w:type="dxa"/>
            <w:shd w:val="clear" w:color="auto" w:fill="F7F9FC"/>
          </w:tcPr>
          <w:p w14:paraId="236102F8">
            <w:r>
              <w:rPr>
                <w:rFonts w:ascii="Calibri" w:hAnsi="Calibri"/>
                <w:color w:val="2D3748"/>
                <w:sz w:val="18"/>
              </w:rPr>
              <w:t>Notification Engine</w:t>
            </w:r>
          </w:p>
        </w:tc>
        <w:tc>
          <w:tcPr>
            <w:tcW w:w="4318" w:type="dxa"/>
            <w:shd w:val="clear" w:color="auto" w:fill="F7F9FC"/>
          </w:tcPr>
          <w:p w14:paraId="45ADBC8F">
            <w:r>
              <w:rPr>
                <w:rFonts w:ascii="Calibri" w:hAnsi="Calibri"/>
                <w:color w:val="2D3748"/>
                <w:sz w:val="18"/>
              </w:rPr>
              <w:t>SMS (Twilio/MSG91), WhatsApp (WABA), Email, Push (FCM), multi-language templates</w:t>
            </w:r>
          </w:p>
        </w:tc>
      </w:tr>
      <w:tr w14:paraId="6B98BA1D">
        <w:trPr>
          <w:jc w:val="center"/>
        </w:trPr>
        <w:tc>
          <w:tcPr>
            <w:tcW w:w="5053" w:type="dxa"/>
            <w:shd w:val="clear" w:color="auto" w:fill="FFFFFF"/>
          </w:tcPr>
          <w:p w14:paraId="42FD8DE2">
            <w:r>
              <w:rPr>
                <w:rFonts w:ascii="Calibri" w:hAnsi="Calibri"/>
                <w:color w:val="2D3748"/>
                <w:sz w:val="18"/>
              </w:rPr>
              <w:t>Document Management</w:t>
            </w:r>
          </w:p>
        </w:tc>
        <w:tc>
          <w:tcPr>
            <w:tcW w:w="4318" w:type="dxa"/>
            <w:shd w:val="clear" w:color="auto" w:fill="FFFFFF"/>
          </w:tcPr>
          <w:p w14:paraId="0E9C972B">
            <w:r>
              <w:rPr>
                <w:rFonts w:ascii="Calibri" w:hAnsi="Calibri"/>
                <w:color w:val="2D3748"/>
                <w:sz w:val="18"/>
              </w:rPr>
              <w:t>S3 storage (Mumbai + Singapore), presigned URLs (72h), AES-256 encryption at rest</w:t>
            </w:r>
          </w:p>
        </w:tc>
      </w:tr>
      <w:tr w14:paraId="384B4F12">
        <w:trPr>
          <w:jc w:val="center"/>
        </w:trPr>
        <w:tc>
          <w:tcPr>
            <w:tcW w:w="5053" w:type="dxa"/>
            <w:shd w:val="clear" w:color="auto" w:fill="F7F9FC"/>
          </w:tcPr>
          <w:p w14:paraId="1ADF34B7">
            <w:r>
              <w:rPr>
                <w:rFonts w:ascii="Calibri" w:hAnsi="Calibri"/>
                <w:color w:val="2D3748"/>
                <w:sz w:val="18"/>
              </w:rPr>
              <w:t>Backup &amp; DR</w:t>
            </w:r>
          </w:p>
        </w:tc>
        <w:tc>
          <w:tcPr>
            <w:tcW w:w="4318" w:type="dxa"/>
            <w:shd w:val="clear" w:color="auto" w:fill="F7F9FC"/>
          </w:tcPr>
          <w:p w14:paraId="7F957366">
            <w:r>
              <w:rPr>
                <w:rFonts w:ascii="Calibri" w:hAnsi="Calibri"/>
                <w:color w:val="2D3748"/>
                <w:sz w:val="18"/>
              </w:rPr>
              <w:t>PostgreSQL WAL archiving, 7-day PITR, RTO 4h, RPO 15min, automated daily snapshots</w:t>
            </w:r>
          </w:p>
        </w:tc>
      </w:tr>
    </w:tbl>
    <w:p w14:paraId="1732C91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3.3 Out of Scope</w:t>
      </w:r>
    </w:p>
    <w:p w14:paraId="5769D25B">
      <w:pPr>
        <w:pStyle w:val="23"/>
      </w:pPr>
      <w:r>
        <w:rPr>
          <w:rFonts w:ascii="Calibri" w:hAnsi="Calibri"/>
          <w:color w:val="2D3748"/>
          <w:sz w:val="20"/>
        </w:rPr>
        <w:t>Radiology Information System (RIS) / PACS integration — Phase 2 consideration</w:t>
      </w:r>
    </w:p>
    <w:p w14:paraId="046DE375">
      <w:pPr>
        <w:pStyle w:val="23"/>
      </w:pPr>
      <w:r>
        <w:rPr>
          <w:rFonts w:ascii="Calibri" w:hAnsi="Calibri"/>
          <w:color w:val="2D3748"/>
          <w:sz w:val="20"/>
        </w:rPr>
        <w:t>Blood Bank Management — Phase 2 consideration</w:t>
      </w:r>
    </w:p>
    <w:p w14:paraId="4C6D8ACB">
      <w:pPr>
        <w:pStyle w:val="23"/>
      </w:pPr>
      <w:r>
        <w:rPr>
          <w:rFonts w:ascii="Calibri" w:hAnsi="Calibri"/>
          <w:color w:val="2D3748"/>
          <w:sz w:val="20"/>
        </w:rPr>
        <w:t>Operation Theatre (OT) Scheduling — Phase 2 consideration</w:t>
      </w:r>
    </w:p>
    <w:p w14:paraId="19193076">
      <w:pPr>
        <w:pStyle w:val="23"/>
      </w:pPr>
      <w:r>
        <w:rPr>
          <w:rFonts w:ascii="Calibri" w:hAnsi="Calibri"/>
          <w:color w:val="2D3748"/>
          <w:sz w:val="20"/>
        </w:rPr>
        <w:t>CSSD (Central Sterile Supply Department) — Phase 2 consideration</w:t>
      </w:r>
    </w:p>
    <w:p w14:paraId="4F73A560">
      <w:pPr>
        <w:pStyle w:val="23"/>
      </w:pPr>
      <w:r>
        <w:rPr>
          <w:rFonts w:ascii="Calibri" w:hAnsi="Calibri"/>
          <w:color w:val="2D3748"/>
          <w:sz w:val="20"/>
        </w:rPr>
        <w:t>Dietary Management System — Phase 2 consideration</w:t>
      </w:r>
    </w:p>
    <w:p w14:paraId="7BE2A624">
      <w:pPr>
        <w:pStyle w:val="23"/>
      </w:pPr>
      <w:r>
        <w:rPr>
          <w:rFonts w:ascii="Calibri" w:hAnsi="Calibri"/>
          <w:color w:val="2D3748"/>
          <w:sz w:val="20"/>
        </w:rPr>
        <w:t>Ambulance / Emergency Triage — Phase 2 consideration</w:t>
      </w:r>
    </w:p>
    <w:p w14:paraId="049CD9BA">
      <w:pPr>
        <w:pStyle w:val="23"/>
      </w:pPr>
      <w:r>
        <w:rPr>
          <w:rFonts w:ascii="Calibri" w:hAnsi="Calibri"/>
          <w:color w:val="2D3748"/>
          <w:sz w:val="20"/>
        </w:rPr>
        <w:t>Mortuary Management — Phase 2 consideration</w:t>
      </w:r>
    </w:p>
    <w:p w14:paraId="6622E821">
      <w:pPr>
        <w:pStyle w:val="23"/>
      </w:pPr>
      <w:r>
        <w:rPr>
          <w:rFonts w:ascii="Calibri" w:hAnsi="Calibri"/>
          <w:color w:val="2D3748"/>
          <w:sz w:val="20"/>
        </w:rPr>
        <w:t>Biomedical Waste Tracking — Phase 2 consideration</w:t>
      </w:r>
    </w:p>
    <w:p w14:paraId="29D39E9E">
      <w:pPr>
        <w:pStyle w:val="23"/>
      </w:pPr>
      <w:r>
        <w:rPr>
          <w:rFonts w:ascii="Calibri" w:hAnsi="Calibri"/>
          <w:color w:val="2D3748"/>
          <w:sz w:val="20"/>
        </w:rPr>
        <w:t>Telemedicine / Video Consultation — Phase 2 consideration</w:t>
      </w:r>
    </w:p>
    <w:p w14:paraId="3A5D2562">
      <w:pPr>
        <w:pStyle w:val="23"/>
      </w:pPr>
      <w:r>
        <w:rPr>
          <w:rFonts w:ascii="Calibri" w:hAnsi="Calibri"/>
          <w:color w:val="2D3748"/>
          <w:sz w:val="20"/>
        </w:rPr>
        <w:t>AI/ML Clinical Decision Support (CDSS) — Phase 2 consideration</w:t>
      </w:r>
    </w:p>
    <w:p w14:paraId="4E0D396B">
      <w:pPr>
        <w:pStyle w:val="23"/>
      </w:pPr>
      <w:r>
        <w:rPr>
          <w:rFonts w:ascii="Calibri" w:hAnsi="Calibri"/>
          <w:color w:val="2D3748"/>
          <w:sz w:val="20"/>
        </w:rPr>
        <w:t>Third-party EHR data migration from legacy systems</w:t>
      </w:r>
    </w:p>
    <w:p w14:paraId="50088748">
      <w:pPr>
        <w:pStyle w:val="23"/>
      </w:pPr>
      <w:r>
        <w:rPr>
          <w:rFonts w:ascii="Calibri" w:hAnsi="Calibri"/>
          <w:color w:val="2D3748"/>
          <w:sz w:val="20"/>
        </w:rPr>
        <w:t>Hardware procurement (biometric devices, barcode scanners, kiosks)</w:t>
      </w:r>
    </w:p>
    <w:p w14:paraId="43A471A5">
      <w:pPr>
        <w:pStyle w:val="23"/>
      </w:pPr>
      <w:r>
        <w:rPr>
          <w:rFonts w:ascii="Calibri" w:hAnsi="Calibri"/>
          <w:color w:val="2D3748"/>
          <w:sz w:val="20"/>
        </w:rPr>
        <w:t>Internet connectivity and LAN infrastructure at client sites</w:t>
      </w:r>
    </w:p>
    <w:p w14:paraId="4EAC9926">
      <w:pPr>
        <w:pStyle w:val="23"/>
      </w:pPr>
      <w:r>
        <w:rPr>
          <w:rFonts w:ascii="Calibri" w:hAnsi="Calibri"/>
          <w:color w:val="2D3748"/>
          <w:sz w:val="20"/>
        </w:rPr>
        <w:t>Custom report development beyond the standard report builder</w:t>
      </w:r>
    </w:p>
    <w:p w14:paraId="06F35020">
      <w:pPr>
        <w:shd w:val="clear"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Items marked "Phase 2 consideration" may be included in subsequent SOW amendments through the Change Control process defined in Section 14.</w:t>
      </w:r>
    </w:p>
    <w:p w14:paraId="7C4EA18A">
      <w:r>
        <w:br w:type="page"/>
      </w:r>
    </w:p>
    <w:p w14:paraId="47395AEF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4. Detailed Module Specifications</w:t>
      </w:r>
    </w:p>
    <w:p w14:paraId="2779B7E5">
      <w:r>
        <w:t>Each module specification includes: functional description, screen inventory, workflow steps, data entities, integration points, role-based access, use cases, and edge cases/error handling scenarios.</w:t>
      </w:r>
    </w:p>
    <w:p w14:paraId="625D1994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4.01 M01 — OPD &amp; Clinical Operations</w:t>
      </w:r>
    </w:p>
    <w:p w14:paraId="5F3838AB">
      <w:pPr>
        <w:shd w:val="clear"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Primary patient entry point managing registration, token queue, doctor consultations (SOAP-based EMR), e-prescriptions, lab orders, and discharge summaries.</w:t>
      </w:r>
    </w:p>
    <w:p w14:paraId="521D5CFD">
      <w:pPr>
        <w:pStyle w:val="4"/>
      </w:pPr>
      <w:r>
        <w:rPr>
          <w:rFonts w:ascii="Calibri" w:hAnsi="Calibri"/>
          <w:b/>
          <w:color w:val="2D3748"/>
          <w:sz w:val="24"/>
        </w:rPr>
        <w:t>Screens (7)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45"/>
        <w:gridCol w:w="2572"/>
        <w:gridCol w:w="5109"/>
      </w:tblGrid>
      <w:tr w14:paraId="2DC5ECC0">
        <w:trPr>
          <w:jc w:val="center"/>
        </w:trPr>
        <w:tc>
          <w:tcPr>
            <w:tcW w:w="1545" w:type="dxa"/>
            <w:shd w:val="clear" w:color="auto" w:fill="1B3A5C"/>
          </w:tcPr>
          <w:p w14:paraId="6B754BE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572" w:type="dxa"/>
            <w:shd w:val="clear" w:color="auto" w:fill="1B3A5C"/>
          </w:tcPr>
          <w:p w14:paraId="48137D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109" w:type="dxa"/>
            <w:shd w:val="clear" w:color="auto" w:fill="1B3A5C"/>
          </w:tcPr>
          <w:p w14:paraId="3884879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 w14:paraId="087E9ACE">
        <w:trPr>
          <w:jc w:val="center"/>
        </w:trPr>
        <w:tc>
          <w:tcPr>
            <w:tcW w:w="1545" w:type="dxa"/>
            <w:shd w:val="clear" w:color="auto" w:fill="F7F9FC"/>
          </w:tcPr>
          <w:p w14:paraId="3EE0DAC3">
            <w:r>
              <w:rPr>
                <w:rFonts w:ascii="Calibri" w:hAnsi="Calibri"/>
                <w:color w:val="2D3748"/>
                <w:sz w:val="18"/>
              </w:rPr>
              <w:t>Patient Registration</w:t>
            </w:r>
          </w:p>
        </w:tc>
        <w:tc>
          <w:tcPr>
            <w:tcW w:w="2572" w:type="dxa"/>
            <w:shd w:val="clear" w:color="auto" w:fill="F7F9FC"/>
          </w:tcPr>
          <w:p w14:paraId="74D8BC1D">
            <w:r>
              <w:rPr>
                <w:rFonts w:ascii="Calibri" w:hAnsi="Calibri"/>
                <w:color w:val="2D3748"/>
                <w:sz w:val="18"/>
              </w:rPr>
              <w:t>New patient UHID generation with demographics</w:t>
            </w:r>
          </w:p>
        </w:tc>
        <w:tc>
          <w:tcPr>
            <w:tcW w:w="5109" w:type="dxa"/>
            <w:shd w:val="clear" w:color="auto" w:fill="F7F9FC"/>
          </w:tcPr>
          <w:p w14:paraId="0342E2F9">
            <w:r>
              <w:rPr>
                <w:rFonts w:ascii="Calibri" w:hAnsi="Calibri"/>
                <w:color w:val="2D3748"/>
                <w:sz w:val="18"/>
              </w:rPr>
              <w:t>Name, DOB, Gender, Aadhaar, Phone, ABHA ID, Blood Group, Emergency Contact, DISHA Consent checkboxes</w:t>
            </w:r>
          </w:p>
        </w:tc>
      </w:tr>
      <w:tr w14:paraId="25C03099">
        <w:trPr>
          <w:jc w:val="center"/>
        </w:trPr>
        <w:tc>
          <w:tcPr>
            <w:tcW w:w="1545" w:type="dxa"/>
            <w:shd w:val="clear" w:color="auto" w:fill="FFFFFF"/>
          </w:tcPr>
          <w:p w14:paraId="51C5286D">
            <w:r>
              <w:rPr>
                <w:rFonts w:ascii="Calibri" w:hAnsi="Calibri"/>
                <w:color w:val="2D3748"/>
                <w:sz w:val="18"/>
              </w:rPr>
              <w:t>Token Queue</w:t>
            </w:r>
          </w:p>
        </w:tc>
        <w:tc>
          <w:tcPr>
            <w:tcW w:w="2572" w:type="dxa"/>
            <w:shd w:val="clear" w:color="auto" w:fill="FFFFFF"/>
          </w:tcPr>
          <w:p w14:paraId="44EA7A38">
            <w:r>
              <w:rPr>
                <w:rFonts w:ascii="Calibri" w:hAnsi="Calibri"/>
                <w:color w:val="2D3748"/>
                <w:sz w:val="18"/>
              </w:rPr>
              <w:t>Real-time department-wise queue with color-coded status</w:t>
            </w:r>
          </w:p>
        </w:tc>
        <w:tc>
          <w:tcPr>
            <w:tcW w:w="5109" w:type="dxa"/>
            <w:shd w:val="clear" w:color="auto" w:fill="FFFFFF"/>
          </w:tcPr>
          <w:p w14:paraId="106F7DFA">
            <w:r>
              <w:rPr>
                <w:rFonts w:ascii="Calibri" w:hAnsi="Calibri"/>
                <w:color w:val="2D3748"/>
                <w:sz w:val="18"/>
              </w:rPr>
              <w:t>Token No, Patient, Doctor, Status (Waiting/In-Consult/Done/No-Show), Auto-assign, Priority override</w:t>
            </w:r>
          </w:p>
        </w:tc>
      </w:tr>
      <w:tr w14:paraId="37B77888">
        <w:trPr>
          <w:jc w:val="center"/>
        </w:trPr>
        <w:tc>
          <w:tcPr>
            <w:tcW w:w="1545" w:type="dxa"/>
            <w:shd w:val="clear" w:color="auto" w:fill="F7F9FC"/>
          </w:tcPr>
          <w:p w14:paraId="012E5CFD">
            <w:r>
              <w:rPr>
                <w:rFonts w:ascii="Calibri" w:hAnsi="Calibri"/>
                <w:color w:val="2D3748"/>
                <w:sz w:val="18"/>
              </w:rPr>
              <w:t>Doctor Consultation (EMR)</w:t>
            </w:r>
          </w:p>
        </w:tc>
        <w:tc>
          <w:tcPr>
            <w:tcW w:w="2572" w:type="dxa"/>
            <w:shd w:val="clear" w:color="auto" w:fill="F7F9FC"/>
          </w:tcPr>
          <w:p w14:paraId="42A1CF7B">
            <w:r>
              <w:rPr>
                <w:rFonts w:ascii="Calibri" w:hAnsi="Calibri"/>
                <w:color w:val="2D3748"/>
                <w:sz w:val="18"/>
              </w:rPr>
              <w:t>SOAP-format clinical documentation with ICD-10</w:t>
            </w:r>
          </w:p>
        </w:tc>
        <w:tc>
          <w:tcPr>
            <w:tcW w:w="5109" w:type="dxa"/>
            <w:shd w:val="clear" w:color="auto" w:fill="F7F9FC"/>
          </w:tcPr>
          <w:p w14:paraId="5A7890EA">
            <w:r>
              <w:rPr>
                <w:rFonts w:ascii="Calibri" w:hAnsi="Calibri"/>
                <w:color w:val="2D3748"/>
                <w:sz w:val="18"/>
              </w:rPr>
              <w:t>Subjective, Objective (Vitals: BP/Pulse/Temp/SpO2/Weight), Assessment (ICD-10 search), Plan, History tabs</w:t>
            </w:r>
          </w:p>
        </w:tc>
      </w:tr>
      <w:tr w14:paraId="303A72C9">
        <w:trPr>
          <w:jc w:val="center"/>
        </w:trPr>
        <w:tc>
          <w:tcPr>
            <w:tcW w:w="1545" w:type="dxa"/>
            <w:shd w:val="clear" w:color="auto" w:fill="FFFFFF"/>
          </w:tcPr>
          <w:p w14:paraId="22FD159B">
            <w:r>
              <w:rPr>
                <w:rFonts w:ascii="Calibri" w:hAnsi="Calibri"/>
                <w:color w:val="2D3748"/>
                <w:sz w:val="18"/>
              </w:rPr>
              <w:t>E-Prescription</w:t>
            </w:r>
          </w:p>
        </w:tc>
        <w:tc>
          <w:tcPr>
            <w:tcW w:w="2572" w:type="dxa"/>
            <w:shd w:val="clear" w:color="auto" w:fill="FFFFFF"/>
          </w:tcPr>
          <w:p w14:paraId="1D28BEFC">
            <w:r>
              <w:rPr>
                <w:rFonts w:ascii="Calibri" w:hAnsi="Calibri"/>
                <w:color w:val="2D3748"/>
                <w:sz w:val="18"/>
              </w:rPr>
              <w:t>Drug prescribing with interaction alerts</w:t>
            </w:r>
          </w:p>
        </w:tc>
        <w:tc>
          <w:tcPr>
            <w:tcW w:w="5109" w:type="dxa"/>
            <w:shd w:val="clear" w:color="auto" w:fill="FFFFFF"/>
          </w:tcPr>
          <w:p w14:paraId="58C333E9">
            <w:r>
              <w:rPr>
                <w:rFonts w:ascii="Calibri" w:hAnsi="Calibri"/>
                <w:color w:val="2D3748"/>
                <w:sz w:val="18"/>
              </w:rPr>
              <w:t>Drug name (autocomplete from formulary), Dosage, Frequency, Duration, Route, Interaction alerts, Print/Digital</w:t>
            </w:r>
          </w:p>
        </w:tc>
      </w:tr>
      <w:tr w14:paraId="74BB34E7">
        <w:trPr>
          <w:jc w:val="center"/>
        </w:trPr>
        <w:tc>
          <w:tcPr>
            <w:tcW w:w="1545" w:type="dxa"/>
            <w:shd w:val="clear" w:color="auto" w:fill="F7F9FC"/>
          </w:tcPr>
          <w:p w14:paraId="2D9D8AD3">
            <w:r>
              <w:rPr>
                <w:rFonts w:ascii="Calibri" w:hAnsi="Calibri"/>
                <w:color w:val="2D3748"/>
                <w:sz w:val="18"/>
              </w:rPr>
              <w:t>Lab Order</w:t>
            </w:r>
          </w:p>
        </w:tc>
        <w:tc>
          <w:tcPr>
            <w:tcW w:w="2572" w:type="dxa"/>
            <w:shd w:val="clear" w:color="auto" w:fill="F7F9FC"/>
          </w:tcPr>
          <w:p w14:paraId="64D60A81">
            <w:r>
              <w:rPr>
                <w:rFonts w:ascii="Calibri" w:hAnsi="Calibri"/>
                <w:color w:val="2D3748"/>
                <w:sz w:val="18"/>
              </w:rPr>
              <w:t>Test panel ordering with priority flags</w:t>
            </w:r>
          </w:p>
        </w:tc>
        <w:tc>
          <w:tcPr>
            <w:tcW w:w="5109" w:type="dxa"/>
            <w:shd w:val="clear" w:color="auto" w:fill="F7F9FC"/>
          </w:tcPr>
          <w:p w14:paraId="6FA0B413">
            <w:r>
              <w:rPr>
                <w:rFonts w:ascii="Calibri" w:hAnsi="Calibri"/>
                <w:color w:val="2D3748"/>
                <w:sz w:val="18"/>
              </w:rPr>
              <w:t>Test panel search, Priority (Routine/Urgent/STAT), Clinical notes, Fasting requirement, Specimen type</w:t>
            </w:r>
          </w:p>
        </w:tc>
      </w:tr>
      <w:tr w14:paraId="6596C53F">
        <w:trPr>
          <w:jc w:val="center"/>
        </w:trPr>
        <w:tc>
          <w:tcPr>
            <w:tcW w:w="1545" w:type="dxa"/>
            <w:shd w:val="clear" w:color="auto" w:fill="FFFFFF"/>
          </w:tcPr>
          <w:p w14:paraId="6F1A6854">
            <w:r>
              <w:rPr>
                <w:rFonts w:ascii="Calibri" w:hAnsi="Calibri"/>
                <w:color w:val="2D3748"/>
                <w:sz w:val="18"/>
              </w:rPr>
              <w:t>Discharge Summary</w:t>
            </w:r>
          </w:p>
        </w:tc>
        <w:tc>
          <w:tcPr>
            <w:tcW w:w="2572" w:type="dxa"/>
            <w:shd w:val="clear" w:color="auto" w:fill="FFFFFF"/>
          </w:tcPr>
          <w:p w14:paraId="30E5BACB">
            <w:r>
              <w:rPr>
                <w:rFonts w:ascii="Calibri" w:hAnsi="Calibri"/>
                <w:color w:val="2D3748"/>
                <w:sz w:val="18"/>
              </w:rPr>
              <w:t>Structured discharge with follow-up</w:t>
            </w:r>
          </w:p>
        </w:tc>
        <w:tc>
          <w:tcPr>
            <w:tcW w:w="5109" w:type="dxa"/>
            <w:shd w:val="clear" w:color="auto" w:fill="FFFFFF"/>
          </w:tcPr>
          <w:p w14:paraId="23F852CE">
            <w:r>
              <w:rPr>
                <w:rFonts w:ascii="Calibri" w:hAnsi="Calibri"/>
                <w:color w:val="2D3748"/>
                <w:sz w:val="18"/>
              </w:rPr>
              <w:t>Diagnosis, Procedures, Medications at discharge, Follow-up date, Referrals, Diet instructions, PDF generation</w:t>
            </w:r>
          </w:p>
        </w:tc>
      </w:tr>
      <w:tr w14:paraId="38674452">
        <w:trPr>
          <w:jc w:val="center"/>
        </w:trPr>
        <w:tc>
          <w:tcPr>
            <w:tcW w:w="1545" w:type="dxa"/>
            <w:shd w:val="clear" w:color="auto" w:fill="F7F9FC"/>
          </w:tcPr>
          <w:p w14:paraId="37B4879B">
            <w:r>
              <w:rPr>
                <w:rFonts w:ascii="Calibri" w:hAnsi="Calibri"/>
                <w:color w:val="2D3748"/>
                <w:sz w:val="18"/>
              </w:rPr>
              <w:t>OPD Dashboard</w:t>
            </w:r>
          </w:p>
        </w:tc>
        <w:tc>
          <w:tcPr>
            <w:tcW w:w="2572" w:type="dxa"/>
            <w:shd w:val="clear" w:color="auto" w:fill="F7F9FC"/>
          </w:tcPr>
          <w:p w14:paraId="34C81C76">
            <w:r>
              <w:rPr>
                <w:rFonts w:ascii="Calibri" w:hAnsi="Calibri"/>
                <w:color w:val="2D3748"/>
                <w:sz w:val="18"/>
              </w:rPr>
              <w:t>Department-level operational metrics</w:t>
            </w:r>
          </w:p>
        </w:tc>
        <w:tc>
          <w:tcPr>
            <w:tcW w:w="5109" w:type="dxa"/>
            <w:shd w:val="clear" w:color="auto" w:fill="F7F9FC"/>
          </w:tcPr>
          <w:p w14:paraId="34358148">
            <w:r>
              <w:rPr>
                <w:rFonts w:ascii="Calibri" w:hAnsi="Calibri"/>
                <w:color w:val="2D3748"/>
                <w:sz w:val="18"/>
              </w:rPr>
              <w:t>Today's patients, Avg wait time, Consultations completed, Revenue, Doctor utilization, No-show rate</w:t>
            </w:r>
          </w:p>
        </w:tc>
      </w:tr>
    </w:tbl>
    <w:p w14:paraId="061A6943">
      <w:pPr>
        <w:pStyle w:val="4"/>
        <w:rPr>
          <w:rFonts w:ascii="Calibri" w:hAnsi="Calibri"/>
          <w:b/>
          <w:color w:val="2D3748"/>
          <w:sz w:val="24"/>
        </w:rPr>
      </w:pPr>
    </w:p>
    <w:p w14:paraId="7269237D">
      <w:pPr>
        <w:rPr>
          <w:rFonts w:ascii="Calibri" w:hAnsi="Calibri"/>
          <w:b/>
          <w:color w:val="2D3748"/>
          <w:sz w:val="24"/>
        </w:rPr>
      </w:pPr>
    </w:p>
    <w:p w14:paraId="5637E414">
      <w:pPr>
        <w:rPr>
          <w:rFonts w:ascii="Calibri" w:hAnsi="Calibri"/>
          <w:b/>
          <w:color w:val="2D3748"/>
          <w:sz w:val="24"/>
        </w:rPr>
      </w:pPr>
    </w:p>
    <w:p w14:paraId="7305117C">
      <w:pPr>
        <w:pStyle w:val="4"/>
      </w:pPr>
      <w:r>
        <w:rPr>
          <w:rFonts w:ascii="Calibri" w:hAnsi="Calibri"/>
          <w:b/>
          <w:color w:val="2D3748"/>
          <w:sz w:val="24"/>
        </w:rPr>
        <w:t>Workflow</w:t>
      </w:r>
    </w:p>
    <w:p w14:paraId="336B14F5">
      <w:r>
        <w:t>Patient Registration → Token Generation → Queue Assignment → Doctor Consultation (SOAP) → E-Prescription/Lab Order → Discharge Summary → Kafka events emitted to Pharmacy, Lab, Finance, Audit</w:t>
      </w:r>
    </w:p>
    <w:p w14:paraId="67DA777E">
      <w:pPr>
        <w:pStyle w:val="4"/>
      </w:pPr>
      <w:r>
        <w:rPr>
          <w:rFonts w:ascii="Calibri" w:hAnsi="Calibri"/>
          <w:b/>
          <w:color w:val="2D3748"/>
          <w:sz w:val="24"/>
        </w:rPr>
        <w:t>Integration Flow</w:t>
      </w:r>
    </w:p>
    <w:p w14:paraId="14FF6E20">
      <w:r>
        <w:t>OPD → Pharmacy (prescription.created) → Laboratory (lab.order.created) → Finance (consultation.charged) → Patient Portal (summary.available) → Audit (all events logged)</w:t>
      </w:r>
    </w:p>
    <w:p w14:paraId="58F026C0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705E4EB7">
      <w:pPr>
        <w:pStyle w:val="23"/>
      </w:pPr>
      <w:r>
        <w:rPr>
          <w:rFonts w:ascii="Calibri" w:hAnsi="Calibri"/>
          <w:b/>
          <w:sz w:val="20"/>
        </w:rPr>
        <w:t xml:space="preserve">Patient: </w:t>
      </w:r>
      <w:r>
        <w:rPr>
          <w:rFonts w:ascii="Calibri" w:hAnsi="Calibri"/>
          <w:color w:val="2D3748"/>
          <w:sz w:val="20"/>
        </w:rPr>
        <w:t>id, uhid, tenantId, branchId, name, dob, gender, aadhaar, phone, email, abhaId, bloodGroup, allergies[], emergencyContact, dishaConsent{}</w:t>
      </w:r>
    </w:p>
    <w:p w14:paraId="6F8C6513">
      <w:pPr>
        <w:pStyle w:val="23"/>
      </w:pPr>
      <w:r>
        <w:rPr>
          <w:rFonts w:ascii="Calibri" w:hAnsi="Calibri"/>
          <w:b/>
          <w:sz w:val="20"/>
        </w:rPr>
        <w:t xml:space="preserve">Consultation: </w:t>
      </w:r>
      <w:r>
        <w:rPr>
          <w:rFonts w:ascii="Calibri" w:hAnsi="Calibri"/>
          <w:color w:val="2D3748"/>
          <w:sz w:val="20"/>
        </w:rPr>
        <w:t>id, patientId, doctorId, tokenId, soap{subjective, objective{vitals}, assessment{icd10Codes[]}, plan}, prescriptions[], labOrders[], followUpDate</w:t>
      </w:r>
    </w:p>
    <w:p w14:paraId="1925639B">
      <w:pPr>
        <w:pStyle w:val="23"/>
      </w:pPr>
      <w:r>
        <w:rPr>
          <w:rFonts w:ascii="Calibri" w:hAnsi="Calibri"/>
          <w:b/>
          <w:sz w:val="20"/>
        </w:rPr>
        <w:t xml:space="preserve">Token: </w:t>
      </w:r>
      <w:r>
        <w:rPr>
          <w:rFonts w:ascii="Calibri" w:hAnsi="Calibri"/>
          <w:color w:val="2D3748"/>
          <w:sz w:val="20"/>
        </w:rPr>
        <w:t>id, patientId, deptId, doctorId, tokenNo, status, priority, estimatedWait, calledAt, completedAt</w:t>
      </w:r>
    </w:p>
    <w:p w14:paraId="6B1C5542">
      <w:pPr>
        <w:pStyle w:val="23"/>
      </w:pPr>
      <w:r>
        <w:rPr>
          <w:rFonts w:ascii="Calibri" w:hAnsi="Calibri"/>
          <w:b/>
          <w:sz w:val="20"/>
        </w:rPr>
        <w:t xml:space="preserve">DischargeSummary: </w:t>
      </w:r>
      <w:r>
        <w:rPr>
          <w:rFonts w:ascii="Calibri" w:hAnsi="Calibri"/>
          <w:color w:val="2D3748"/>
          <w:sz w:val="20"/>
        </w:rPr>
        <w:t>id, consultationId, diagnosis[], procedures[], medicationsAtDischarge[], followUp, instructions, pdfUrl</w:t>
      </w:r>
    </w:p>
    <w:p w14:paraId="21FD8BB0">
      <w:pPr>
        <w:pStyle w:val="4"/>
        <w:rPr>
          <w:rFonts w:ascii="Calibri" w:hAnsi="Calibri"/>
          <w:b/>
          <w:color w:val="2D3748"/>
          <w:sz w:val="24"/>
        </w:rPr>
      </w:pPr>
    </w:p>
    <w:p w14:paraId="5A5DB81E">
      <w:pPr>
        <w:pStyle w:val="4"/>
        <w:rPr>
          <w:rFonts w:ascii="Calibri" w:hAnsi="Calibri"/>
          <w:b/>
          <w:color w:val="2D3748"/>
          <w:sz w:val="24"/>
        </w:rPr>
      </w:pPr>
    </w:p>
    <w:p w14:paraId="6A368177">
      <w:pPr>
        <w:pStyle w:val="4"/>
        <w:rPr>
          <w:rFonts w:ascii="Calibri" w:hAnsi="Calibri"/>
          <w:b/>
          <w:color w:val="2D3748"/>
          <w:sz w:val="24"/>
        </w:rPr>
      </w:pPr>
    </w:p>
    <w:p w14:paraId="6EA2F3A5">
      <w:pPr>
        <w:pStyle w:val="4"/>
        <w:rPr>
          <w:rFonts w:ascii="Calibri" w:hAnsi="Calibri"/>
          <w:b/>
          <w:color w:val="2D3748"/>
          <w:sz w:val="24"/>
        </w:rPr>
      </w:pPr>
    </w:p>
    <w:p w14:paraId="705E960F">
      <w:pPr>
        <w:pStyle w:val="4"/>
        <w:rPr>
          <w:rFonts w:ascii="Calibri" w:hAnsi="Calibri"/>
          <w:b/>
          <w:color w:val="2D3748"/>
          <w:sz w:val="24"/>
        </w:rPr>
      </w:pPr>
    </w:p>
    <w:p w14:paraId="07415938">
      <w:pPr>
        <w:pStyle w:val="4"/>
        <w:rPr>
          <w:rFonts w:ascii="Calibri" w:hAnsi="Calibri"/>
          <w:b/>
          <w:color w:val="2D3748"/>
          <w:sz w:val="24"/>
        </w:rPr>
      </w:pPr>
    </w:p>
    <w:p w14:paraId="13B0E30F">
      <w:pPr>
        <w:pStyle w:val="4"/>
        <w:rPr>
          <w:rFonts w:ascii="Calibri" w:hAnsi="Calibri"/>
          <w:b/>
          <w:color w:val="2D3748"/>
          <w:sz w:val="24"/>
        </w:rPr>
      </w:pPr>
    </w:p>
    <w:p w14:paraId="63179EAC">
      <w:pPr>
        <w:pStyle w:val="4"/>
        <w:rPr>
          <w:rFonts w:ascii="Calibri" w:hAnsi="Calibri"/>
          <w:b/>
          <w:color w:val="2D3748"/>
          <w:sz w:val="24"/>
        </w:rPr>
      </w:pPr>
    </w:p>
    <w:p w14:paraId="01B3724A">
      <w:pPr>
        <w:pStyle w:val="4"/>
        <w:rPr>
          <w:rFonts w:ascii="Calibri" w:hAnsi="Calibri"/>
          <w:b/>
          <w:color w:val="2D3748"/>
          <w:sz w:val="24"/>
        </w:rPr>
      </w:pPr>
    </w:p>
    <w:p w14:paraId="428F2CF5">
      <w:pPr>
        <w:pStyle w:val="4"/>
        <w:rPr>
          <w:rFonts w:ascii="Calibri" w:hAnsi="Calibri"/>
          <w:b/>
          <w:color w:val="2D3748"/>
          <w:sz w:val="24"/>
        </w:rPr>
      </w:pPr>
    </w:p>
    <w:p w14:paraId="26ED40B3"/>
    <w:p w14:paraId="41E86E5C">
      <w:pPr>
        <w:pStyle w:val="4"/>
      </w:pPr>
      <w:r>
        <w:rPr>
          <w:rFonts w:ascii="Calibri" w:hAnsi="Calibri"/>
          <w:b/>
          <w:color w:val="2D3748"/>
          <w:sz w:val="24"/>
        </w:rPr>
        <w:t>Use Cases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6"/>
        <w:gridCol w:w="1567"/>
        <w:gridCol w:w="1386"/>
        <w:gridCol w:w="1930"/>
        <w:gridCol w:w="3094"/>
      </w:tblGrid>
      <w:tr w14:paraId="662B0AD2">
        <w:trPr>
          <w:jc w:val="center"/>
        </w:trPr>
        <w:tc>
          <w:tcPr>
            <w:tcW w:w="1406" w:type="dxa"/>
            <w:shd w:val="clear" w:color="auto" w:fill="1B3A5C"/>
          </w:tcPr>
          <w:p w14:paraId="5FDF7E5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w="1567" w:type="dxa"/>
            <w:shd w:val="clear" w:color="auto" w:fill="1B3A5C"/>
          </w:tcPr>
          <w:p w14:paraId="559AB95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w="1386" w:type="dxa"/>
            <w:shd w:val="clear" w:color="auto" w:fill="1B3A5C"/>
          </w:tcPr>
          <w:p w14:paraId="0ACB0FB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w="1930" w:type="dxa"/>
            <w:shd w:val="clear" w:color="auto" w:fill="1B3A5C"/>
          </w:tcPr>
          <w:p w14:paraId="11D4522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Precondition</w:t>
            </w:r>
          </w:p>
        </w:tc>
        <w:tc>
          <w:tcPr>
            <w:tcW w:w="3094" w:type="dxa"/>
            <w:shd w:val="clear" w:color="auto" w:fill="1B3A5C"/>
          </w:tcPr>
          <w:p w14:paraId="38BEABC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 w14:paraId="7CF32656">
        <w:trPr>
          <w:jc w:val="center"/>
        </w:trPr>
        <w:tc>
          <w:tcPr>
            <w:tcW w:w="1406" w:type="dxa"/>
            <w:shd w:val="clear" w:color="auto" w:fill="F7F9FC"/>
          </w:tcPr>
          <w:p w14:paraId="34895142">
            <w:r>
              <w:rPr>
                <w:rFonts w:ascii="Calibri" w:hAnsi="Calibri"/>
                <w:color w:val="2D3748"/>
                <w:sz w:val="18"/>
              </w:rPr>
              <w:t>UC-M01-01</w:t>
            </w:r>
          </w:p>
        </w:tc>
        <w:tc>
          <w:tcPr>
            <w:tcW w:w="1567" w:type="dxa"/>
            <w:shd w:val="clear" w:color="auto" w:fill="F7F9FC"/>
          </w:tcPr>
          <w:p w14:paraId="003264CA">
            <w:r>
              <w:rPr>
                <w:rFonts w:ascii="Calibri" w:hAnsi="Calibri"/>
                <w:color w:val="2D3748"/>
                <w:sz w:val="18"/>
              </w:rPr>
              <w:t>Register new walk-in patient</w:t>
            </w:r>
          </w:p>
        </w:tc>
        <w:tc>
          <w:tcPr>
            <w:tcW w:w="1386" w:type="dxa"/>
            <w:shd w:val="clear" w:color="auto" w:fill="F7F9FC"/>
          </w:tcPr>
          <w:p w14:paraId="4922212A">
            <w:r>
              <w:rPr>
                <w:rFonts w:ascii="Calibri" w:hAnsi="Calibri"/>
                <w:color w:val="2D3748"/>
                <w:sz w:val="18"/>
              </w:rPr>
              <w:t>L5 Receptionist</w:t>
            </w:r>
          </w:p>
        </w:tc>
        <w:tc>
          <w:tcPr>
            <w:tcW w:w="1930" w:type="dxa"/>
            <w:shd w:val="clear" w:color="auto" w:fill="F7F9FC"/>
          </w:tcPr>
          <w:p w14:paraId="676893D5">
            <w:r>
              <w:rPr>
                <w:rFonts w:ascii="Calibri" w:hAnsi="Calibri"/>
                <w:color w:val="2D3748"/>
                <w:sz w:val="18"/>
              </w:rPr>
              <w:t>Patient not in system</w:t>
            </w:r>
          </w:p>
        </w:tc>
        <w:tc>
          <w:tcPr>
            <w:tcW w:w="3094" w:type="dxa"/>
            <w:shd w:val="clear" w:color="auto" w:fill="F7F9FC"/>
          </w:tcPr>
          <w:p w14:paraId="355616F3">
            <w:r>
              <w:rPr>
                <w:rFonts w:ascii="Calibri" w:hAnsi="Calibri"/>
                <w:color w:val="2D3748"/>
                <w:sz w:val="18"/>
              </w:rPr>
              <w:t>Enter demographics → Verify Aadhaar → Generate UHID → Collect DISHA consent → Issue token</w:t>
            </w:r>
          </w:p>
        </w:tc>
      </w:tr>
      <w:tr w14:paraId="09B27426">
        <w:trPr>
          <w:jc w:val="center"/>
        </w:trPr>
        <w:tc>
          <w:tcPr>
            <w:tcW w:w="1406" w:type="dxa"/>
            <w:shd w:val="clear" w:color="auto" w:fill="FFFFFF"/>
          </w:tcPr>
          <w:p w14:paraId="5168960C">
            <w:r>
              <w:rPr>
                <w:rFonts w:ascii="Calibri" w:hAnsi="Calibri"/>
                <w:color w:val="2D3748"/>
                <w:sz w:val="18"/>
              </w:rPr>
              <w:t>UC-M01-02</w:t>
            </w:r>
          </w:p>
        </w:tc>
        <w:tc>
          <w:tcPr>
            <w:tcW w:w="1567" w:type="dxa"/>
            <w:shd w:val="clear" w:color="auto" w:fill="FFFFFF"/>
          </w:tcPr>
          <w:p w14:paraId="5577AD9E">
            <w:r>
              <w:rPr>
                <w:rFonts w:ascii="Calibri" w:hAnsi="Calibri"/>
                <w:color w:val="2D3748"/>
                <w:sz w:val="18"/>
              </w:rPr>
              <w:t>Register returning patient</w:t>
            </w:r>
          </w:p>
        </w:tc>
        <w:tc>
          <w:tcPr>
            <w:tcW w:w="1386" w:type="dxa"/>
            <w:shd w:val="clear" w:color="auto" w:fill="FFFFFF"/>
          </w:tcPr>
          <w:p w14:paraId="6DD0D866">
            <w:r>
              <w:rPr>
                <w:rFonts w:ascii="Calibri" w:hAnsi="Calibri"/>
                <w:color w:val="2D3748"/>
                <w:sz w:val="18"/>
              </w:rPr>
              <w:t>L5 Receptionist</w:t>
            </w:r>
          </w:p>
        </w:tc>
        <w:tc>
          <w:tcPr>
            <w:tcW w:w="1930" w:type="dxa"/>
            <w:shd w:val="clear" w:color="auto" w:fill="FFFFFF"/>
          </w:tcPr>
          <w:p w14:paraId="006A908C">
            <w:r>
              <w:rPr>
                <w:rFonts w:ascii="Calibri" w:hAnsi="Calibri"/>
                <w:color w:val="2D3748"/>
                <w:sz w:val="18"/>
              </w:rPr>
              <w:t>Patient has UHID</w:t>
            </w:r>
          </w:p>
        </w:tc>
        <w:tc>
          <w:tcPr>
            <w:tcW w:w="3094" w:type="dxa"/>
            <w:shd w:val="clear" w:color="auto" w:fill="FFFFFF"/>
          </w:tcPr>
          <w:p w14:paraId="5FFC5008">
            <w:r>
              <w:rPr>
                <w:rFonts w:ascii="Calibri" w:hAnsi="Calibri"/>
                <w:color w:val="2D3748"/>
                <w:sz w:val="18"/>
              </w:rPr>
              <w:t>Search by UHID/Phone/Name → Verify identity → Issue token for current visit</w:t>
            </w:r>
          </w:p>
        </w:tc>
      </w:tr>
      <w:tr w14:paraId="3B488A89">
        <w:trPr>
          <w:jc w:val="center"/>
        </w:trPr>
        <w:tc>
          <w:tcPr>
            <w:tcW w:w="1406" w:type="dxa"/>
            <w:shd w:val="clear" w:color="auto" w:fill="F7F9FC"/>
          </w:tcPr>
          <w:p w14:paraId="4E91BB1D">
            <w:r>
              <w:rPr>
                <w:rFonts w:ascii="Calibri" w:hAnsi="Calibri"/>
                <w:color w:val="2D3748"/>
                <w:sz w:val="18"/>
              </w:rPr>
              <w:t>UC-M01-03</w:t>
            </w:r>
          </w:p>
        </w:tc>
        <w:tc>
          <w:tcPr>
            <w:tcW w:w="1567" w:type="dxa"/>
            <w:shd w:val="clear" w:color="auto" w:fill="F7F9FC"/>
          </w:tcPr>
          <w:p w14:paraId="601AF447">
            <w:r>
              <w:rPr>
                <w:rFonts w:ascii="Calibri" w:hAnsi="Calibri"/>
                <w:color w:val="2D3748"/>
                <w:sz w:val="18"/>
              </w:rPr>
              <w:t>Conduct SOAP consultation</w:t>
            </w:r>
          </w:p>
        </w:tc>
        <w:tc>
          <w:tcPr>
            <w:tcW w:w="1386" w:type="dxa"/>
            <w:shd w:val="clear" w:color="auto" w:fill="F7F9FC"/>
          </w:tcPr>
          <w:p w14:paraId="3089A689">
            <w:r>
              <w:rPr>
                <w:rFonts w:ascii="Calibri" w:hAnsi="Calibri"/>
                <w:color w:val="2D3748"/>
                <w:sz w:val="18"/>
              </w:rPr>
              <w:t>L5 Doctor</w:t>
            </w:r>
          </w:p>
        </w:tc>
        <w:tc>
          <w:tcPr>
            <w:tcW w:w="1930" w:type="dxa"/>
            <w:shd w:val="clear" w:color="auto" w:fill="F7F9FC"/>
          </w:tcPr>
          <w:p w14:paraId="18B86664">
            <w:r>
              <w:rPr>
                <w:rFonts w:ascii="Calibri" w:hAnsi="Calibri"/>
                <w:color w:val="2D3748"/>
                <w:sz w:val="18"/>
              </w:rPr>
              <w:t>Patient called from queue</w:t>
            </w:r>
          </w:p>
        </w:tc>
        <w:tc>
          <w:tcPr>
            <w:tcW w:w="3094" w:type="dxa"/>
            <w:shd w:val="clear" w:color="auto" w:fill="F7F9FC"/>
          </w:tcPr>
          <w:p w14:paraId="68B6F44F">
            <w:r>
              <w:rPr>
                <w:rFonts w:ascii="Calibri" w:hAnsi="Calibri"/>
                <w:color w:val="2D3748"/>
                <w:sz w:val="18"/>
              </w:rPr>
              <w:t>Open patient EMR → Record SOAP → Add ICD-10 → Prescribe drugs → Order labs → Save</w:t>
            </w:r>
          </w:p>
        </w:tc>
      </w:tr>
      <w:tr w14:paraId="753DA36F">
        <w:trPr>
          <w:jc w:val="center"/>
        </w:trPr>
        <w:tc>
          <w:tcPr>
            <w:tcW w:w="1406" w:type="dxa"/>
            <w:shd w:val="clear" w:color="auto" w:fill="FFFFFF"/>
          </w:tcPr>
          <w:p w14:paraId="12070754">
            <w:r>
              <w:rPr>
                <w:rFonts w:ascii="Calibri" w:hAnsi="Calibri"/>
                <w:color w:val="2D3748"/>
                <w:sz w:val="18"/>
              </w:rPr>
              <w:t>UC-M01-04</w:t>
            </w:r>
          </w:p>
        </w:tc>
        <w:tc>
          <w:tcPr>
            <w:tcW w:w="1567" w:type="dxa"/>
            <w:shd w:val="clear" w:color="auto" w:fill="FFFFFF"/>
          </w:tcPr>
          <w:p w14:paraId="7D3EA1E0">
            <w:r>
              <w:rPr>
                <w:rFonts w:ascii="Calibri" w:hAnsi="Calibri"/>
                <w:color w:val="2D3748"/>
                <w:sz w:val="18"/>
              </w:rPr>
              <w:t>Emergency priority override</w:t>
            </w:r>
          </w:p>
        </w:tc>
        <w:tc>
          <w:tcPr>
            <w:tcW w:w="1386" w:type="dxa"/>
            <w:shd w:val="clear" w:color="auto" w:fill="FFFFFF"/>
          </w:tcPr>
          <w:p w14:paraId="13BC09C1">
            <w:r>
              <w:rPr>
                <w:rFonts w:ascii="Calibri" w:hAnsi="Calibri"/>
                <w:color w:val="2D3748"/>
                <w:sz w:val="18"/>
              </w:rPr>
              <w:t>L4 Dept Head</w:t>
            </w:r>
          </w:p>
        </w:tc>
        <w:tc>
          <w:tcPr>
            <w:tcW w:w="1930" w:type="dxa"/>
            <w:shd w:val="clear" w:color="auto" w:fill="FFFFFF"/>
          </w:tcPr>
          <w:p w14:paraId="1D6CAAFF">
            <w:r>
              <w:rPr>
                <w:rFonts w:ascii="Calibri" w:hAnsi="Calibri"/>
                <w:color w:val="2D3748"/>
                <w:sz w:val="18"/>
              </w:rPr>
              <w:t>Emergency patient arrives</w:t>
            </w:r>
          </w:p>
        </w:tc>
        <w:tc>
          <w:tcPr>
            <w:tcW w:w="3094" w:type="dxa"/>
            <w:shd w:val="clear" w:color="auto" w:fill="FFFFFF"/>
          </w:tcPr>
          <w:p w14:paraId="14900F59">
            <w:r>
              <w:rPr>
                <w:rFonts w:ascii="Calibri" w:hAnsi="Calibri"/>
                <w:color w:val="2D3748"/>
                <w:sz w:val="18"/>
              </w:rPr>
              <w:t>Override queue priority → Assign to next available doctor → Flag as emergency</w:t>
            </w:r>
          </w:p>
        </w:tc>
      </w:tr>
      <w:tr w14:paraId="466C89E6">
        <w:trPr>
          <w:jc w:val="center"/>
        </w:trPr>
        <w:tc>
          <w:tcPr>
            <w:tcW w:w="1406" w:type="dxa"/>
            <w:shd w:val="clear" w:color="auto" w:fill="F7F9FC"/>
          </w:tcPr>
          <w:p w14:paraId="7B4EEFDA">
            <w:r>
              <w:rPr>
                <w:rFonts w:ascii="Calibri" w:hAnsi="Calibri"/>
                <w:color w:val="2D3748"/>
                <w:sz w:val="18"/>
              </w:rPr>
              <w:t>UC-M01-05</w:t>
            </w:r>
          </w:p>
        </w:tc>
        <w:tc>
          <w:tcPr>
            <w:tcW w:w="1567" w:type="dxa"/>
            <w:shd w:val="clear" w:color="auto" w:fill="F7F9FC"/>
          </w:tcPr>
          <w:p w14:paraId="275792B3">
            <w:r>
              <w:rPr>
                <w:rFonts w:ascii="Calibri" w:hAnsi="Calibri"/>
                <w:color w:val="2D3748"/>
                <w:sz w:val="18"/>
              </w:rPr>
              <w:t>Generate discharge summary</w:t>
            </w:r>
          </w:p>
        </w:tc>
        <w:tc>
          <w:tcPr>
            <w:tcW w:w="1386" w:type="dxa"/>
            <w:shd w:val="clear" w:color="auto" w:fill="F7F9FC"/>
          </w:tcPr>
          <w:p w14:paraId="1C442840">
            <w:r>
              <w:rPr>
                <w:rFonts w:ascii="Calibri" w:hAnsi="Calibri"/>
                <w:color w:val="2D3748"/>
                <w:sz w:val="18"/>
              </w:rPr>
              <w:t>L5 Doctor</w:t>
            </w:r>
          </w:p>
        </w:tc>
        <w:tc>
          <w:tcPr>
            <w:tcW w:w="1930" w:type="dxa"/>
            <w:shd w:val="clear" w:color="auto" w:fill="F7F9FC"/>
          </w:tcPr>
          <w:p w14:paraId="6B00BFC3">
            <w:r>
              <w:rPr>
                <w:rFonts w:ascii="Calibri" w:hAnsi="Calibri"/>
                <w:color w:val="2D3748"/>
                <w:sz w:val="18"/>
              </w:rPr>
              <w:t>Consultation complete</w:t>
            </w:r>
          </w:p>
        </w:tc>
        <w:tc>
          <w:tcPr>
            <w:tcW w:w="3094" w:type="dxa"/>
            <w:shd w:val="clear" w:color="auto" w:fill="F7F9FC"/>
          </w:tcPr>
          <w:p w14:paraId="4146B568">
            <w:r>
              <w:rPr>
                <w:rFonts w:ascii="Calibri" w:hAnsi="Calibri"/>
                <w:color w:val="2D3748"/>
                <w:sz w:val="18"/>
              </w:rPr>
              <w:t>Review visit → Compile summary → Add follow-up → Generate PDF → Patient notified</w:t>
            </w:r>
          </w:p>
        </w:tc>
      </w:tr>
      <w:tr w14:paraId="2A03D76E">
        <w:trPr>
          <w:jc w:val="center"/>
        </w:trPr>
        <w:tc>
          <w:tcPr>
            <w:tcW w:w="1406" w:type="dxa"/>
            <w:shd w:val="clear" w:color="auto" w:fill="FFFFFF"/>
          </w:tcPr>
          <w:p w14:paraId="4D101F22">
            <w:r>
              <w:rPr>
                <w:rFonts w:ascii="Calibri" w:hAnsi="Calibri"/>
                <w:color w:val="2D3748"/>
                <w:sz w:val="18"/>
              </w:rPr>
              <w:t>UC-M01-06</w:t>
            </w:r>
          </w:p>
        </w:tc>
        <w:tc>
          <w:tcPr>
            <w:tcW w:w="1567" w:type="dxa"/>
            <w:shd w:val="clear" w:color="auto" w:fill="FFFFFF"/>
          </w:tcPr>
          <w:p w14:paraId="609C748E">
            <w:r>
              <w:rPr>
                <w:rFonts w:ascii="Calibri" w:hAnsi="Calibri"/>
                <w:color w:val="2D3748"/>
                <w:sz w:val="18"/>
              </w:rPr>
              <w:t>Pre-booked appointment check-in</w:t>
            </w:r>
          </w:p>
        </w:tc>
        <w:tc>
          <w:tcPr>
            <w:tcW w:w="1386" w:type="dxa"/>
            <w:shd w:val="clear" w:color="auto" w:fill="FFFFFF"/>
          </w:tcPr>
          <w:p w14:paraId="69DB8BC1">
            <w:r>
              <w:rPr>
                <w:rFonts w:ascii="Calibri" w:hAnsi="Calibri"/>
                <w:color w:val="2D3748"/>
                <w:sz w:val="18"/>
              </w:rPr>
              <w:t>L5 Receptionist</w:t>
            </w:r>
          </w:p>
        </w:tc>
        <w:tc>
          <w:tcPr>
            <w:tcW w:w="1930" w:type="dxa"/>
            <w:shd w:val="clear" w:color="auto" w:fill="FFFFFF"/>
          </w:tcPr>
          <w:p w14:paraId="03C3C31C">
            <w:r>
              <w:rPr>
                <w:rFonts w:ascii="Calibri" w:hAnsi="Calibri"/>
                <w:color w:val="2D3748"/>
                <w:sz w:val="18"/>
              </w:rPr>
              <w:t>Appointment exists in M11</w:t>
            </w:r>
          </w:p>
        </w:tc>
        <w:tc>
          <w:tcPr>
            <w:tcW w:w="3094" w:type="dxa"/>
            <w:shd w:val="clear" w:color="auto" w:fill="FFFFFF"/>
          </w:tcPr>
          <w:p w14:paraId="37194AFC">
            <w:r>
              <w:rPr>
                <w:rFonts w:ascii="Calibri" w:hAnsi="Calibri"/>
                <w:color w:val="2D3748"/>
                <w:sz w:val="18"/>
              </w:rPr>
              <w:t>Scan QR / enter booking code → Auto-issue token → Pre-load patient context for doctor</w:t>
            </w:r>
          </w:p>
        </w:tc>
      </w:tr>
    </w:tbl>
    <w:p w14:paraId="31070832">
      <w:pPr>
        <w:pStyle w:val="4"/>
        <w:rPr>
          <w:rFonts w:ascii="Calibri" w:hAnsi="Calibri"/>
          <w:b/>
          <w:color w:val="2D3748"/>
          <w:sz w:val="24"/>
        </w:rPr>
      </w:pPr>
    </w:p>
    <w:p w14:paraId="1B00BEE9">
      <w:pPr>
        <w:rPr>
          <w:rFonts w:ascii="Calibri" w:hAnsi="Calibri"/>
          <w:b/>
          <w:color w:val="2D3748"/>
          <w:sz w:val="24"/>
        </w:rPr>
      </w:pPr>
    </w:p>
    <w:p w14:paraId="1A325F65">
      <w:pPr>
        <w:rPr>
          <w:rFonts w:ascii="Calibri" w:hAnsi="Calibri"/>
          <w:b/>
          <w:color w:val="2D3748"/>
          <w:sz w:val="24"/>
        </w:rPr>
      </w:pPr>
    </w:p>
    <w:p w14:paraId="54B289E7">
      <w:pPr>
        <w:rPr>
          <w:rFonts w:ascii="Calibri" w:hAnsi="Calibri"/>
          <w:b/>
          <w:color w:val="2D3748"/>
          <w:sz w:val="24"/>
        </w:rPr>
      </w:pPr>
    </w:p>
    <w:p w14:paraId="3C442B0C">
      <w:pPr>
        <w:rPr>
          <w:rFonts w:ascii="Calibri" w:hAnsi="Calibri"/>
          <w:b/>
          <w:color w:val="2D3748"/>
          <w:sz w:val="24"/>
        </w:rPr>
      </w:pPr>
    </w:p>
    <w:p w14:paraId="6B812403">
      <w:pPr>
        <w:rPr>
          <w:rFonts w:ascii="Calibri" w:hAnsi="Calibri"/>
          <w:b/>
          <w:color w:val="2D3748"/>
          <w:sz w:val="24"/>
        </w:rPr>
      </w:pPr>
    </w:p>
    <w:p w14:paraId="3A523924">
      <w:pPr>
        <w:rPr>
          <w:rFonts w:ascii="Calibri" w:hAnsi="Calibri"/>
          <w:b/>
          <w:color w:val="2D3748"/>
          <w:sz w:val="24"/>
        </w:rPr>
      </w:pPr>
    </w:p>
    <w:p w14:paraId="7E48804C">
      <w:pPr>
        <w:rPr>
          <w:rFonts w:ascii="Calibri" w:hAnsi="Calibri"/>
          <w:b/>
          <w:color w:val="2D3748"/>
          <w:sz w:val="24"/>
        </w:rPr>
      </w:pPr>
    </w:p>
    <w:p w14:paraId="2FBBE8FA">
      <w:pPr>
        <w:rPr>
          <w:rFonts w:ascii="Calibri" w:hAnsi="Calibri"/>
          <w:b/>
          <w:color w:val="2D3748"/>
          <w:sz w:val="24"/>
        </w:rPr>
      </w:pPr>
    </w:p>
    <w:p w14:paraId="6C775D16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57"/>
        <w:gridCol w:w="2880"/>
        <w:gridCol w:w="2880"/>
      </w:tblGrid>
      <w:tr w14:paraId="1A207494">
        <w:trPr>
          <w:jc w:val="center"/>
        </w:trPr>
        <w:tc>
          <w:tcPr>
            <w:tcW w:w="3457" w:type="dxa"/>
            <w:shd w:val="clear" w:color="auto" w:fill="1B3A5C"/>
          </w:tcPr>
          <w:p w14:paraId="0951122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34DE2AD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18E21A4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5663E0E7">
        <w:trPr>
          <w:jc w:val="center"/>
        </w:trPr>
        <w:tc>
          <w:tcPr>
            <w:tcW w:w="3457" w:type="dxa"/>
            <w:shd w:val="clear" w:color="auto" w:fill="F7F9FC"/>
          </w:tcPr>
          <w:p w14:paraId="46ECA665">
            <w:r>
              <w:rPr>
                <w:rFonts w:ascii="Calibri" w:hAnsi="Calibri"/>
                <w:color w:val="2D3748"/>
                <w:sz w:val="18"/>
              </w:rPr>
              <w:t>Duplicate patient (same Aadhaar)</w:t>
            </w:r>
          </w:p>
        </w:tc>
        <w:tc>
          <w:tcPr>
            <w:tcW w:w="2880" w:type="dxa"/>
            <w:shd w:val="clear" w:color="auto" w:fill="F7F9FC"/>
          </w:tcPr>
          <w:p w14:paraId="092D0FAE">
            <w:r>
              <w:rPr>
                <w:rFonts w:ascii="Calibri" w:hAnsi="Calibri"/>
                <w:color w:val="2D3748"/>
                <w:sz w:val="18"/>
              </w:rPr>
              <w:t>System flags potential duplicate with merge suggestion; prevents duplicate UHID creation</w:t>
            </w:r>
          </w:p>
        </w:tc>
        <w:tc>
          <w:tcPr>
            <w:tcW w:w="2880" w:type="dxa"/>
            <w:shd w:val="clear" w:color="auto" w:fill="F7F9FC"/>
          </w:tcPr>
          <w:p w14:paraId="3C3D238F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99D4D95">
        <w:trPr>
          <w:jc w:val="center"/>
        </w:trPr>
        <w:tc>
          <w:tcPr>
            <w:tcW w:w="3457" w:type="dxa"/>
            <w:shd w:val="clear" w:color="auto" w:fill="FFFFFF"/>
          </w:tcPr>
          <w:p w14:paraId="7E60C240">
            <w:r>
              <w:rPr>
                <w:rFonts w:ascii="Calibri" w:hAnsi="Calibri"/>
                <w:color w:val="2D3748"/>
                <w:sz w:val="18"/>
              </w:rPr>
              <w:t>Doctor unavailable mid-consultation</w:t>
            </w:r>
          </w:p>
        </w:tc>
        <w:tc>
          <w:tcPr>
            <w:tcW w:w="2880" w:type="dxa"/>
            <w:shd w:val="clear" w:color="auto" w:fill="FFFFFF"/>
          </w:tcPr>
          <w:p w14:paraId="227B7E41">
            <w:r>
              <w:rPr>
                <w:rFonts w:ascii="Calibri" w:hAnsi="Calibri"/>
                <w:color w:val="2D3748"/>
                <w:sz w:val="18"/>
              </w:rPr>
              <w:t>Token reassigned to alternate doctor; partial SOAP data preserved</w:t>
            </w:r>
          </w:p>
        </w:tc>
        <w:tc>
          <w:tcPr>
            <w:tcW w:w="2880" w:type="dxa"/>
            <w:shd w:val="clear" w:color="auto" w:fill="FFFFFF"/>
          </w:tcPr>
          <w:p w14:paraId="79D089F5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E81CAAD">
        <w:trPr>
          <w:jc w:val="center"/>
        </w:trPr>
        <w:tc>
          <w:tcPr>
            <w:tcW w:w="3457" w:type="dxa"/>
            <w:shd w:val="clear" w:color="auto" w:fill="F7F9FC"/>
          </w:tcPr>
          <w:p w14:paraId="4FF446F4">
            <w:r>
              <w:rPr>
                <w:rFonts w:ascii="Calibri" w:hAnsi="Calibri"/>
                <w:color w:val="2D3748"/>
                <w:sz w:val="18"/>
              </w:rPr>
              <w:t>Aadhaar verification API timeout</w:t>
            </w:r>
          </w:p>
        </w:tc>
        <w:tc>
          <w:tcPr>
            <w:tcW w:w="2880" w:type="dxa"/>
            <w:shd w:val="clear" w:color="auto" w:fill="F7F9FC"/>
          </w:tcPr>
          <w:p w14:paraId="1174B909">
            <w:r>
              <w:rPr>
                <w:rFonts w:ascii="Calibri" w:hAnsi="Calibri"/>
                <w:color w:val="2D3748"/>
                <w:sz w:val="18"/>
              </w:rPr>
              <w:t>Allow registration with manual verification flag; retry in background</w:t>
            </w:r>
          </w:p>
        </w:tc>
        <w:tc>
          <w:tcPr>
            <w:tcW w:w="2880" w:type="dxa"/>
            <w:shd w:val="clear" w:color="auto" w:fill="F7F9FC"/>
          </w:tcPr>
          <w:p w14:paraId="372B37E1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1DB5F591">
        <w:trPr>
          <w:jc w:val="center"/>
        </w:trPr>
        <w:tc>
          <w:tcPr>
            <w:tcW w:w="3457" w:type="dxa"/>
            <w:shd w:val="clear" w:color="auto" w:fill="FFFFFF"/>
          </w:tcPr>
          <w:p w14:paraId="4BF46F48">
            <w:r>
              <w:rPr>
                <w:rFonts w:ascii="Calibri" w:hAnsi="Calibri"/>
                <w:color w:val="2D3748"/>
                <w:sz w:val="18"/>
              </w:rPr>
              <w:t>Patient leaves without discharge</w:t>
            </w:r>
          </w:p>
        </w:tc>
        <w:tc>
          <w:tcPr>
            <w:tcW w:w="2880" w:type="dxa"/>
            <w:shd w:val="clear" w:color="auto" w:fill="FFFFFF"/>
          </w:tcPr>
          <w:p w14:paraId="49CD06ED">
            <w:r>
              <w:rPr>
                <w:rFonts w:ascii="Calibri" w:hAnsi="Calibri"/>
                <w:color w:val="2D3748"/>
                <w:sz w:val="18"/>
              </w:rPr>
              <w:t>Auto-close consultation after 24h inactivity with "Patient Left Against Medical Advice" flag</w:t>
            </w:r>
          </w:p>
        </w:tc>
        <w:tc>
          <w:tcPr>
            <w:tcW w:w="2880" w:type="dxa"/>
            <w:shd w:val="clear" w:color="auto" w:fill="FFFFFF"/>
          </w:tcPr>
          <w:p w14:paraId="7ECE7BA6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  <w:tr w14:paraId="2874960B">
        <w:trPr>
          <w:jc w:val="center"/>
        </w:trPr>
        <w:tc>
          <w:tcPr>
            <w:tcW w:w="3457" w:type="dxa"/>
            <w:shd w:val="clear" w:color="auto" w:fill="F7F9FC"/>
          </w:tcPr>
          <w:p w14:paraId="2C09FC7B">
            <w:r>
              <w:rPr>
                <w:rFonts w:ascii="Calibri" w:hAnsi="Calibri"/>
                <w:color w:val="2D3748"/>
                <w:sz w:val="18"/>
              </w:rPr>
              <w:t>Concurrent token generation (race condition)</w:t>
            </w:r>
          </w:p>
        </w:tc>
        <w:tc>
          <w:tcPr>
            <w:tcW w:w="2880" w:type="dxa"/>
            <w:shd w:val="clear" w:color="auto" w:fill="F7F9FC"/>
          </w:tcPr>
          <w:p w14:paraId="168CD7EA">
            <w:r>
              <w:rPr>
                <w:rFonts w:ascii="Calibri" w:hAnsi="Calibri"/>
                <w:color w:val="2D3748"/>
                <w:sz w:val="18"/>
              </w:rPr>
              <w:t>Atomic sequence generation with PostgreSQL SERIAL; pessimistic locking on token counter</w:t>
            </w:r>
          </w:p>
        </w:tc>
        <w:tc>
          <w:tcPr>
            <w:tcW w:w="2880" w:type="dxa"/>
            <w:shd w:val="clear" w:color="auto" w:fill="F7F9FC"/>
          </w:tcPr>
          <w:p w14:paraId="2E6E0CF9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0BADB59E">
        <w:trPr>
          <w:jc w:val="center"/>
        </w:trPr>
        <w:tc>
          <w:tcPr>
            <w:tcW w:w="3457" w:type="dxa"/>
            <w:shd w:val="clear" w:color="auto" w:fill="FFFFFF"/>
          </w:tcPr>
          <w:p w14:paraId="08DAD86A">
            <w:r>
              <w:rPr>
                <w:rFonts w:ascii="Calibri" w:hAnsi="Calibri"/>
                <w:color w:val="2D3748"/>
                <w:sz w:val="18"/>
              </w:rPr>
              <w:t>ABHA ID validation failure</w:t>
            </w:r>
          </w:p>
        </w:tc>
        <w:tc>
          <w:tcPr>
            <w:tcW w:w="2880" w:type="dxa"/>
            <w:shd w:val="clear" w:color="auto" w:fill="FFFFFF"/>
          </w:tcPr>
          <w:p w14:paraId="099508A4">
            <w:r>
              <w:rPr>
                <w:rFonts w:ascii="Calibri" w:hAnsi="Calibri"/>
                <w:color w:val="2D3748"/>
                <w:sz w:val="18"/>
              </w:rPr>
              <w:t>Proceed without ABHA linkage; queue for manual ABDM verification</w:t>
            </w:r>
          </w:p>
        </w:tc>
        <w:tc>
          <w:tcPr>
            <w:tcW w:w="2880" w:type="dxa"/>
            <w:shd w:val="clear" w:color="auto" w:fill="FFFFFF"/>
          </w:tcPr>
          <w:p w14:paraId="71E2FD97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  <w:tr w14:paraId="537F72D5">
        <w:trPr>
          <w:jc w:val="center"/>
        </w:trPr>
        <w:tc>
          <w:tcPr>
            <w:tcW w:w="3457" w:type="dxa"/>
            <w:shd w:val="clear" w:color="auto" w:fill="F7F9FC"/>
          </w:tcPr>
          <w:p w14:paraId="3A51AB79">
            <w:r>
              <w:rPr>
                <w:rFonts w:ascii="Calibri" w:hAnsi="Calibri"/>
                <w:color w:val="2D3748"/>
                <w:sz w:val="18"/>
              </w:rPr>
              <w:t>ICD-10 code not found</w:t>
            </w:r>
          </w:p>
        </w:tc>
        <w:tc>
          <w:tcPr>
            <w:tcW w:w="2880" w:type="dxa"/>
            <w:shd w:val="clear" w:color="auto" w:fill="F7F9FC"/>
          </w:tcPr>
          <w:p w14:paraId="1BC1CF03">
            <w:r>
              <w:rPr>
                <w:rFonts w:ascii="Calibri" w:hAnsi="Calibri"/>
                <w:color w:val="2D3748"/>
                <w:sz w:val="18"/>
              </w:rPr>
              <w:t>Allow free-text provisional diagnosis; flag for coding team review</w:t>
            </w:r>
          </w:p>
        </w:tc>
        <w:tc>
          <w:tcPr>
            <w:tcW w:w="2880" w:type="dxa"/>
            <w:shd w:val="clear" w:color="auto" w:fill="F7F9FC"/>
          </w:tcPr>
          <w:p w14:paraId="545C3E15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55205685">
        <w:trPr>
          <w:jc w:val="center"/>
        </w:trPr>
        <w:tc>
          <w:tcPr>
            <w:tcW w:w="3457" w:type="dxa"/>
            <w:shd w:val="clear" w:color="auto" w:fill="FFFFFF"/>
          </w:tcPr>
          <w:p w14:paraId="1EECB85A">
            <w:r>
              <w:rPr>
                <w:rFonts w:ascii="Calibri" w:hAnsi="Calibri"/>
                <w:color w:val="2D3748"/>
                <w:sz w:val="18"/>
              </w:rPr>
              <w:t>Drug allergy detected during prescription</w:t>
            </w:r>
          </w:p>
        </w:tc>
        <w:tc>
          <w:tcPr>
            <w:tcW w:w="2880" w:type="dxa"/>
            <w:shd w:val="clear" w:color="auto" w:fill="FFFFFF"/>
          </w:tcPr>
          <w:p w14:paraId="0C5CFFDB">
            <w:r>
              <w:rPr>
                <w:rFonts w:ascii="Calibri" w:hAnsi="Calibri"/>
                <w:color w:val="2D3748"/>
                <w:sz w:val="18"/>
              </w:rPr>
              <w:t>Hard-stop alert requiring doctor acknowledgment before proceeding; logged to audit</w:t>
            </w:r>
          </w:p>
        </w:tc>
        <w:tc>
          <w:tcPr>
            <w:tcW w:w="2880" w:type="dxa"/>
            <w:shd w:val="clear" w:color="auto" w:fill="FFFFFF"/>
          </w:tcPr>
          <w:p w14:paraId="321C1127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</w:tbl>
    <w:p w14:paraId="547CC4F8">
      <w:r>
        <w:br w:type="page"/>
      </w:r>
    </w:p>
    <w:p w14:paraId="08FBC575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4.02 M02 — Pharmacy &amp; Drug Management</w:t>
      </w:r>
    </w:p>
    <w:p w14:paraId="77EAAA29">
      <w:pPr>
        <w:shd w:val="clear"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Full lifecycle drug dispensing from prescription receipt through FIFO-based stock allocation, drug interaction checking, pharmacy billing with GST, and automated procurement reorder.</w:t>
      </w:r>
    </w:p>
    <w:p w14:paraId="220B0646">
      <w:pPr>
        <w:pStyle w:val="4"/>
      </w:pPr>
      <w:r>
        <w:rPr>
          <w:rFonts w:ascii="Calibri" w:hAnsi="Calibri"/>
          <w:b/>
          <w:color w:val="2D3748"/>
          <w:sz w:val="24"/>
        </w:rPr>
        <w:t>Screens (7)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7"/>
        <w:gridCol w:w="2474"/>
        <w:gridCol w:w="5255"/>
      </w:tblGrid>
      <w:tr w14:paraId="361A253A">
        <w:trPr>
          <w:jc w:val="center"/>
        </w:trPr>
        <w:tc>
          <w:tcPr>
            <w:tcW w:w="1667" w:type="dxa"/>
            <w:shd w:val="clear" w:color="auto" w:fill="1B3A5C"/>
          </w:tcPr>
          <w:p w14:paraId="5394F77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474" w:type="dxa"/>
            <w:shd w:val="clear" w:color="auto" w:fill="1B3A5C"/>
          </w:tcPr>
          <w:p w14:paraId="14D43BE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255" w:type="dxa"/>
            <w:shd w:val="clear" w:color="auto" w:fill="1B3A5C"/>
          </w:tcPr>
          <w:p w14:paraId="652F0E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 w14:paraId="6757C2DA">
        <w:trPr>
          <w:jc w:val="center"/>
        </w:trPr>
        <w:tc>
          <w:tcPr>
            <w:tcW w:w="1667" w:type="dxa"/>
            <w:shd w:val="clear" w:color="auto" w:fill="F7F9FC"/>
          </w:tcPr>
          <w:p w14:paraId="59DBD692">
            <w:r>
              <w:rPr>
                <w:rFonts w:ascii="Calibri" w:hAnsi="Calibri"/>
                <w:color w:val="2D3748"/>
                <w:sz w:val="18"/>
              </w:rPr>
              <w:t>Prescription Worklist</w:t>
            </w:r>
          </w:p>
        </w:tc>
        <w:tc>
          <w:tcPr>
            <w:tcW w:w="2474" w:type="dxa"/>
            <w:shd w:val="clear" w:color="auto" w:fill="F7F9FC"/>
          </w:tcPr>
          <w:p w14:paraId="3FF9E448">
            <w:r>
              <w:rPr>
                <w:rFonts w:ascii="Calibri" w:hAnsi="Calibri"/>
                <w:color w:val="2D3748"/>
                <w:sz w:val="18"/>
              </w:rPr>
              <w:t>Real-time incoming prescriptions via Kafka</w:t>
            </w:r>
          </w:p>
        </w:tc>
        <w:tc>
          <w:tcPr>
            <w:tcW w:w="5255" w:type="dxa"/>
            <w:shd w:val="clear" w:color="auto" w:fill="F7F9FC"/>
          </w:tcPr>
          <w:p w14:paraId="126FCCB3">
            <w:r>
              <w:rPr>
                <w:rFonts w:ascii="Calibri" w:hAnsi="Calibri"/>
                <w:color w:val="2D3748"/>
                <w:sz w:val="18"/>
              </w:rPr>
              <w:t>Patient, Doctor, Rx Items, Priority, Status (Pending/Dispensing/Dispensed/Cancelled), Timestamp</w:t>
            </w:r>
          </w:p>
        </w:tc>
      </w:tr>
      <w:tr w14:paraId="240BD1DA">
        <w:trPr>
          <w:jc w:val="center"/>
        </w:trPr>
        <w:tc>
          <w:tcPr>
            <w:tcW w:w="1667" w:type="dxa"/>
            <w:shd w:val="clear" w:color="auto" w:fill="FFFFFF"/>
          </w:tcPr>
          <w:p w14:paraId="23DAEA4D">
            <w:r>
              <w:rPr>
                <w:rFonts w:ascii="Calibri" w:hAnsi="Calibri"/>
                <w:color w:val="2D3748"/>
                <w:sz w:val="18"/>
              </w:rPr>
              <w:t>Drug Dispensing</w:t>
            </w:r>
          </w:p>
        </w:tc>
        <w:tc>
          <w:tcPr>
            <w:tcW w:w="2474" w:type="dxa"/>
            <w:shd w:val="clear" w:color="auto" w:fill="FFFFFF"/>
          </w:tcPr>
          <w:p w14:paraId="7410E3C8">
            <w:r>
              <w:rPr>
                <w:rFonts w:ascii="Calibri" w:hAnsi="Calibri"/>
                <w:color w:val="2D3748"/>
                <w:sz w:val="18"/>
              </w:rPr>
              <w:t>FIFO batch selection with interaction check</w:t>
            </w:r>
          </w:p>
        </w:tc>
        <w:tc>
          <w:tcPr>
            <w:tcW w:w="5255" w:type="dxa"/>
            <w:shd w:val="clear" w:color="auto" w:fill="FFFFFF"/>
          </w:tcPr>
          <w:p w14:paraId="0D0F5A3C">
            <w:r>
              <w:rPr>
                <w:rFonts w:ascii="Calibri" w:hAnsi="Calibri"/>
                <w:color w:val="2D3748"/>
                <w:sz w:val="18"/>
              </w:rPr>
              <w:t>Drug, Batch No, Expiry, Qty Available, Qty to Dispense, Substitution suggestions, Interaction alerts</w:t>
            </w:r>
          </w:p>
        </w:tc>
      </w:tr>
      <w:tr w14:paraId="7AD971F9">
        <w:trPr>
          <w:jc w:val="center"/>
        </w:trPr>
        <w:tc>
          <w:tcPr>
            <w:tcW w:w="1667" w:type="dxa"/>
            <w:shd w:val="clear" w:color="auto" w:fill="F7F9FC"/>
          </w:tcPr>
          <w:p w14:paraId="42FED3DA">
            <w:r>
              <w:rPr>
                <w:rFonts w:ascii="Calibri" w:hAnsi="Calibri"/>
                <w:color w:val="2D3748"/>
                <w:sz w:val="18"/>
              </w:rPr>
              <w:t>Pharmacy Billing</w:t>
            </w:r>
          </w:p>
        </w:tc>
        <w:tc>
          <w:tcPr>
            <w:tcW w:w="2474" w:type="dxa"/>
            <w:shd w:val="clear" w:color="auto" w:fill="F7F9FC"/>
          </w:tcPr>
          <w:p w14:paraId="1B0B278D">
            <w:r>
              <w:rPr>
                <w:rFonts w:ascii="Calibri" w:hAnsi="Calibri"/>
                <w:color w:val="2D3748"/>
                <w:sz w:val="18"/>
              </w:rPr>
              <w:t>Itemised invoice with multi-mode payment</w:t>
            </w:r>
          </w:p>
        </w:tc>
        <w:tc>
          <w:tcPr>
            <w:tcW w:w="5255" w:type="dxa"/>
            <w:shd w:val="clear" w:color="auto" w:fill="F7F9FC"/>
          </w:tcPr>
          <w:p w14:paraId="4D471E88">
            <w:r>
              <w:rPr>
                <w:rFonts w:ascii="Calibri" w:hAnsi="Calibri"/>
                <w:color w:val="2D3748"/>
                <w:sz w:val="18"/>
              </w:rPr>
              <w:t>Drug/Batch/Qty/MRP/Disc%/GST/Amount line items, Payment Mode (Cash/Card/UPI/TPA/Credit), GST breakup (CGST+SGST), QR receipt</w:t>
            </w:r>
          </w:p>
        </w:tc>
      </w:tr>
      <w:tr w14:paraId="1BDEF2DF">
        <w:trPr>
          <w:jc w:val="center"/>
        </w:trPr>
        <w:tc>
          <w:tcPr>
            <w:tcW w:w="1667" w:type="dxa"/>
            <w:shd w:val="clear" w:color="auto" w:fill="FFFFFF"/>
          </w:tcPr>
          <w:p w14:paraId="338039A8">
            <w:r>
              <w:rPr>
                <w:rFonts w:ascii="Calibri" w:hAnsi="Calibri"/>
                <w:color w:val="2D3748"/>
                <w:sz w:val="18"/>
              </w:rPr>
              <w:t>Stock Ledger</w:t>
            </w:r>
          </w:p>
        </w:tc>
        <w:tc>
          <w:tcPr>
            <w:tcW w:w="2474" w:type="dxa"/>
            <w:shd w:val="clear" w:color="auto" w:fill="FFFFFF"/>
          </w:tcPr>
          <w:p w14:paraId="08AFAB23">
            <w:r>
              <w:rPr>
                <w:rFonts w:ascii="Calibri" w:hAnsi="Calibri"/>
                <w:color w:val="2D3748"/>
                <w:sz w:val="18"/>
              </w:rPr>
              <w:t>Real-time branch-level drug inventory</w:t>
            </w:r>
          </w:p>
        </w:tc>
        <w:tc>
          <w:tcPr>
            <w:tcW w:w="5255" w:type="dxa"/>
            <w:shd w:val="clear" w:color="auto" w:fill="FFFFFF"/>
          </w:tcPr>
          <w:p w14:paraId="0845386D">
            <w:r>
              <w:rPr>
                <w:rFonts w:ascii="Calibri" w:hAnsi="Calibri"/>
                <w:color w:val="2D3748"/>
                <w:sz w:val="18"/>
              </w:rPr>
              <w:t>Drug, Category, Current Stock, Reorder Level, Last Dispensed, Expiry Alert, Branch filter</w:t>
            </w:r>
          </w:p>
        </w:tc>
      </w:tr>
      <w:tr w14:paraId="45804FA3">
        <w:trPr>
          <w:jc w:val="center"/>
        </w:trPr>
        <w:tc>
          <w:tcPr>
            <w:tcW w:w="1667" w:type="dxa"/>
            <w:shd w:val="clear" w:color="auto" w:fill="F7F9FC"/>
          </w:tcPr>
          <w:p w14:paraId="3DF76132">
            <w:r>
              <w:rPr>
                <w:rFonts w:ascii="Calibri" w:hAnsi="Calibri"/>
                <w:color w:val="2D3748"/>
                <w:sz w:val="18"/>
              </w:rPr>
              <w:t>Purchase Order</w:t>
            </w:r>
          </w:p>
        </w:tc>
        <w:tc>
          <w:tcPr>
            <w:tcW w:w="2474" w:type="dxa"/>
            <w:shd w:val="clear" w:color="auto" w:fill="F7F9FC"/>
          </w:tcPr>
          <w:p w14:paraId="26936B0C">
            <w:r>
              <w:rPr>
                <w:rFonts w:ascii="Calibri" w:hAnsi="Calibri"/>
                <w:color w:val="2D3748"/>
                <w:sz w:val="18"/>
              </w:rPr>
              <w:t>PO creation with approval workflow</w:t>
            </w:r>
          </w:p>
        </w:tc>
        <w:tc>
          <w:tcPr>
            <w:tcW w:w="5255" w:type="dxa"/>
            <w:shd w:val="clear" w:color="auto" w:fill="F7F9FC"/>
          </w:tcPr>
          <w:p w14:paraId="4B7397F3">
            <w:r>
              <w:rPr>
                <w:rFonts w:ascii="Calibri" w:hAnsi="Calibri"/>
                <w:color w:val="2D3748"/>
                <w:sz w:val="18"/>
              </w:rPr>
              <w:t>Vendor, Items[], Quantities, Unit Cost, Total, Approval Status, PO Number, Expected Delivery</w:t>
            </w:r>
          </w:p>
        </w:tc>
      </w:tr>
      <w:tr w14:paraId="71C46EB9">
        <w:trPr>
          <w:jc w:val="center"/>
        </w:trPr>
        <w:tc>
          <w:tcPr>
            <w:tcW w:w="1667" w:type="dxa"/>
            <w:shd w:val="clear" w:color="auto" w:fill="FFFFFF"/>
          </w:tcPr>
          <w:p w14:paraId="1A7D0BBB">
            <w:r>
              <w:rPr>
                <w:rFonts w:ascii="Calibri" w:hAnsi="Calibri"/>
                <w:color w:val="2D3748"/>
                <w:sz w:val="18"/>
              </w:rPr>
              <w:t>GRN Entry</w:t>
            </w:r>
          </w:p>
        </w:tc>
        <w:tc>
          <w:tcPr>
            <w:tcW w:w="2474" w:type="dxa"/>
            <w:shd w:val="clear" w:color="auto" w:fill="FFFFFF"/>
          </w:tcPr>
          <w:p w14:paraId="5BAFE26E">
            <w:r>
              <w:rPr>
                <w:rFonts w:ascii="Calibri" w:hAnsi="Calibri"/>
                <w:color w:val="2D3748"/>
                <w:sz w:val="18"/>
              </w:rPr>
              <w:t>Goods receipt with quality check</w:t>
            </w:r>
          </w:p>
        </w:tc>
        <w:tc>
          <w:tcPr>
            <w:tcW w:w="5255" w:type="dxa"/>
            <w:shd w:val="clear" w:color="auto" w:fill="FFFFFF"/>
          </w:tcPr>
          <w:p w14:paraId="1EBAA841">
            <w:r>
              <w:rPr>
                <w:rFonts w:ascii="Calibri" w:hAnsi="Calibri"/>
                <w:color w:val="2D3748"/>
                <w:sz w:val="18"/>
              </w:rPr>
              <w:t>PO Reference, Received Items, Batch Numbers, Expiry Dates, Quality Check Status, Invoice Reconciliation</w:t>
            </w:r>
          </w:p>
        </w:tc>
      </w:tr>
      <w:tr w14:paraId="16EED465">
        <w:trPr>
          <w:jc w:val="center"/>
        </w:trPr>
        <w:tc>
          <w:tcPr>
            <w:tcW w:w="1667" w:type="dxa"/>
            <w:shd w:val="clear" w:color="auto" w:fill="F7F9FC"/>
          </w:tcPr>
          <w:p w14:paraId="2D44A89E">
            <w:r>
              <w:rPr>
                <w:rFonts w:ascii="Calibri" w:hAnsi="Calibri"/>
                <w:color w:val="2D3748"/>
                <w:sz w:val="18"/>
              </w:rPr>
              <w:t>Inter-Branch Transfer</w:t>
            </w:r>
          </w:p>
        </w:tc>
        <w:tc>
          <w:tcPr>
            <w:tcW w:w="2474" w:type="dxa"/>
            <w:shd w:val="clear" w:color="auto" w:fill="F7F9FC"/>
          </w:tcPr>
          <w:p w14:paraId="097169D3">
            <w:r>
              <w:rPr>
                <w:rFonts w:ascii="Calibri" w:hAnsi="Calibri"/>
                <w:color w:val="2D3748"/>
                <w:sz w:val="18"/>
              </w:rPr>
              <w:t>Surplus stock reallocation</w:t>
            </w:r>
          </w:p>
        </w:tc>
        <w:tc>
          <w:tcPr>
            <w:tcW w:w="5255" w:type="dxa"/>
            <w:shd w:val="clear" w:color="auto" w:fill="F7F9FC"/>
          </w:tcPr>
          <w:p w14:paraId="0463B344">
            <w:r>
              <w:rPr>
                <w:rFonts w:ascii="Calibri" w:hAnsi="Calibri"/>
                <w:color w:val="2D3748"/>
                <w:sz w:val="18"/>
              </w:rPr>
              <w:t>Source Branch, Destination Branch, Drug, Qty, Batch, Approval, Transit Status</w:t>
            </w:r>
          </w:p>
        </w:tc>
      </w:tr>
    </w:tbl>
    <w:p w14:paraId="19997293">
      <w:pPr>
        <w:pStyle w:val="4"/>
      </w:pPr>
      <w:r>
        <w:rPr>
          <w:rFonts w:ascii="Calibri" w:hAnsi="Calibri"/>
          <w:b/>
          <w:color w:val="2D3748"/>
          <w:sz w:val="24"/>
        </w:rPr>
        <w:t>Workflow</w:t>
      </w:r>
    </w:p>
    <w:p w14:paraId="0F9FEBE4">
      <w:r>
        <w:t>Prescription Received (Kafka) → Drug Availability Check (FIFO) → Drug Interaction Screening → Dispensing &amp; Stock Decrement → Pharmacy Billing &amp; Invoice → Auto-Post to Finance (Kafka) → Procurement Reorder (if below threshold)</w:t>
      </w:r>
    </w:p>
    <w:p w14:paraId="20053BE7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1DFF4F69">
      <w:pPr>
        <w:pStyle w:val="23"/>
      </w:pPr>
      <w:r>
        <w:rPr>
          <w:rFonts w:ascii="Calibri" w:hAnsi="Calibri"/>
          <w:b/>
          <w:sz w:val="20"/>
        </w:rPr>
        <w:t xml:space="preserve">Drug: </w:t>
      </w:r>
      <w:r>
        <w:rPr>
          <w:rFonts w:ascii="Calibri" w:hAnsi="Calibri"/>
          <w:color w:val="2D3748"/>
          <w:sz w:val="20"/>
        </w:rPr>
        <w:t>id, name, generic, category, hsnCode, gstRate, interactions[], contraindications[], scheduleType</w:t>
      </w:r>
    </w:p>
    <w:p w14:paraId="272AAD27">
      <w:pPr>
        <w:pStyle w:val="23"/>
      </w:pPr>
      <w:r>
        <w:rPr>
          <w:rFonts w:ascii="Calibri" w:hAnsi="Calibri"/>
          <w:b/>
          <w:sz w:val="20"/>
        </w:rPr>
        <w:t xml:space="preserve">DrugBatch: </w:t>
      </w:r>
      <w:r>
        <w:rPr>
          <w:rFonts w:ascii="Calibri" w:hAnsi="Calibri"/>
          <w:color w:val="2D3748"/>
          <w:sz w:val="20"/>
        </w:rPr>
        <w:t>id, drugId, batchNo, expiry, quantity, supplierId, costPrice, mfgDate</w:t>
      </w:r>
    </w:p>
    <w:p w14:paraId="08EC15CF">
      <w:pPr>
        <w:pStyle w:val="23"/>
      </w:pPr>
      <w:r>
        <w:rPr>
          <w:rFonts w:ascii="Calibri" w:hAnsi="Calibri"/>
          <w:b/>
          <w:sz w:val="20"/>
        </w:rPr>
        <w:t xml:space="preserve">StockLedger: </w:t>
      </w:r>
      <w:r>
        <w:rPr>
          <w:rFonts w:ascii="Calibri" w:hAnsi="Calibri"/>
          <w:color w:val="2D3748"/>
          <w:sz w:val="20"/>
        </w:rPr>
        <w:t>id, drugId, branchId, currentQty, reorderLevel, lastUpdated, fifoQueue[]</w:t>
      </w:r>
    </w:p>
    <w:p w14:paraId="0FEC7E5C">
      <w:pPr>
        <w:pStyle w:val="23"/>
      </w:pPr>
      <w:r>
        <w:rPr>
          <w:rFonts w:ascii="Calibri" w:hAnsi="Calibri"/>
          <w:b/>
          <w:sz w:val="20"/>
        </w:rPr>
        <w:t xml:space="preserve">DispensRecord: </w:t>
      </w:r>
      <w:r>
        <w:rPr>
          <w:rFonts w:ascii="Calibri" w:hAnsi="Calibri"/>
          <w:color w:val="2D3748"/>
          <w:sz w:val="20"/>
        </w:rPr>
        <w:t>id, prescriptionId, patientId, drugs[], batchIds[], pharmacistId, timestamp</w:t>
      </w:r>
    </w:p>
    <w:p w14:paraId="75266719">
      <w:pPr>
        <w:pStyle w:val="23"/>
      </w:pPr>
      <w:r>
        <w:rPr>
          <w:rFonts w:ascii="Calibri" w:hAnsi="Calibri"/>
          <w:b/>
          <w:sz w:val="20"/>
        </w:rPr>
        <w:t xml:space="preserve">PharmacyInvoice: </w:t>
      </w:r>
      <w:r>
        <w:rPr>
          <w:rFonts w:ascii="Calibri" w:hAnsi="Calibri"/>
          <w:color w:val="2D3748"/>
          <w:sz w:val="20"/>
        </w:rPr>
        <w:t>id, dispensRecordId, patientId, lineItems[], gstBreakup{cgst, sgst}, totalAmt, paymentMode, receiptUrl</w:t>
      </w:r>
    </w:p>
    <w:p w14:paraId="0F112688">
      <w:pPr>
        <w:pStyle w:val="23"/>
      </w:pPr>
      <w:r>
        <w:rPr>
          <w:rFonts w:ascii="Calibri" w:hAnsi="Calibri"/>
          <w:b/>
          <w:sz w:val="20"/>
        </w:rPr>
        <w:t xml:space="preserve">PurchaseOrder: </w:t>
      </w:r>
      <w:r>
        <w:rPr>
          <w:rFonts w:ascii="Calibri" w:hAnsi="Calibri"/>
          <w:color w:val="2D3748"/>
          <w:sz w:val="20"/>
        </w:rPr>
        <w:t>id, branchId, vendorId, items[], status, approvals[], totalAmt, expectedDelivery</w:t>
      </w:r>
    </w:p>
    <w:p w14:paraId="15D94F9D">
      <w:pPr>
        <w:pStyle w:val="23"/>
      </w:pPr>
      <w:r>
        <w:rPr>
          <w:rFonts w:ascii="Calibri" w:hAnsi="Calibri"/>
          <w:b/>
          <w:sz w:val="20"/>
        </w:rPr>
        <w:t xml:space="preserve">GRN: </w:t>
      </w:r>
      <w:r>
        <w:rPr>
          <w:rFonts w:ascii="Calibri" w:hAnsi="Calibri"/>
          <w:color w:val="2D3748"/>
          <w:sz w:val="20"/>
        </w:rPr>
        <w:t>id, poId, receivedItems[], qualityCheck, invoiceRef, receivedBy, timestamp</w:t>
      </w:r>
    </w:p>
    <w:p w14:paraId="3BD83BED">
      <w:pPr>
        <w:pStyle w:val="4"/>
      </w:pPr>
      <w:r>
        <w:rPr>
          <w:rFonts w:ascii="Calibri" w:hAnsi="Calibri"/>
          <w:b/>
          <w:color w:val="2D3748"/>
          <w:sz w:val="24"/>
        </w:rPr>
        <w:t>Use Cases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7"/>
        <w:gridCol w:w="1666"/>
        <w:gridCol w:w="1625"/>
        <w:gridCol w:w="4381"/>
      </w:tblGrid>
      <w:tr w14:paraId="06560B03">
        <w:trPr>
          <w:jc w:val="center"/>
        </w:trPr>
        <w:tc>
          <w:tcPr>
            <w:tcW w:w="1737" w:type="dxa"/>
            <w:shd w:val="clear" w:color="auto" w:fill="1B3A5C"/>
          </w:tcPr>
          <w:p w14:paraId="38B58F0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w="1666" w:type="dxa"/>
            <w:shd w:val="clear" w:color="auto" w:fill="1B3A5C"/>
          </w:tcPr>
          <w:p w14:paraId="617597F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w="1625" w:type="dxa"/>
            <w:shd w:val="clear" w:color="auto" w:fill="1B3A5C"/>
          </w:tcPr>
          <w:p w14:paraId="15280DA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w="4381" w:type="dxa"/>
            <w:shd w:val="clear" w:color="auto" w:fill="1B3A5C"/>
          </w:tcPr>
          <w:p w14:paraId="31D0EDD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 w14:paraId="71913B30">
        <w:trPr>
          <w:jc w:val="center"/>
        </w:trPr>
        <w:tc>
          <w:tcPr>
            <w:tcW w:w="1737" w:type="dxa"/>
            <w:shd w:val="clear" w:color="auto" w:fill="F7F9FC"/>
          </w:tcPr>
          <w:p w14:paraId="6C3A3ED7">
            <w:r>
              <w:rPr>
                <w:rFonts w:ascii="Calibri" w:hAnsi="Calibri"/>
                <w:color w:val="2D3748"/>
                <w:sz w:val="18"/>
              </w:rPr>
              <w:t>UC-M02-01</w:t>
            </w:r>
          </w:p>
        </w:tc>
        <w:tc>
          <w:tcPr>
            <w:tcW w:w="1666" w:type="dxa"/>
            <w:shd w:val="clear" w:color="auto" w:fill="F7F9FC"/>
          </w:tcPr>
          <w:p w14:paraId="70C0FEAD">
            <w:r>
              <w:rPr>
                <w:rFonts w:ascii="Calibri" w:hAnsi="Calibri"/>
                <w:color w:val="2D3748"/>
                <w:sz w:val="18"/>
              </w:rPr>
              <w:t>Dispense prescribed drugs</w:t>
            </w:r>
          </w:p>
        </w:tc>
        <w:tc>
          <w:tcPr>
            <w:tcW w:w="1625" w:type="dxa"/>
            <w:shd w:val="clear" w:color="auto" w:fill="F7F9FC"/>
          </w:tcPr>
          <w:p w14:paraId="3524EAB2">
            <w:r>
              <w:rPr>
                <w:rFonts w:ascii="Calibri" w:hAnsi="Calibri"/>
                <w:color w:val="2D3748"/>
                <w:sz w:val="18"/>
              </w:rPr>
              <w:t>L5 Pharmacist</w:t>
            </w:r>
          </w:p>
        </w:tc>
        <w:tc>
          <w:tcPr>
            <w:tcW w:w="4381" w:type="dxa"/>
            <w:shd w:val="clear" w:color="auto" w:fill="F7F9FC"/>
          </w:tcPr>
          <w:p w14:paraId="49229926">
            <w:r>
              <w:rPr>
                <w:rFonts w:ascii="Calibri" w:hAnsi="Calibri"/>
                <w:color w:val="2D3748"/>
                <w:sz w:val="18"/>
              </w:rPr>
              <w:t>View worklist → Select Rx → FIFO batch auto-selected → Verify interactions → Dispense → Stock decremented</w:t>
            </w:r>
          </w:p>
        </w:tc>
      </w:tr>
      <w:tr w14:paraId="79A90EAA">
        <w:trPr>
          <w:jc w:val="center"/>
        </w:trPr>
        <w:tc>
          <w:tcPr>
            <w:tcW w:w="1737" w:type="dxa"/>
            <w:shd w:val="clear" w:color="auto" w:fill="FFFFFF"/>
          </w:tcPr>
          <w:p w14:paraId="156A3ADB">
            <w:r>
              <w:rPr>
                <w:rFonts w:ascii="Calibri" w:hAnsi="Calibri"/>
                <w:color w:val="2D3748"/>
                <w:sz w:val="18"/>
              </w:rPr>
              <w:t>UC-M02-02</w:t>
            </w:r>
          </w:p>
        </w:tc>
        <w:tc>
          <w:tcPr>
            <w:tcW w:w="1666" w:type="dxa"/>
            <w:shd w:val="clear" w:color="auto" w:fill="FFFFFF"/>
          </w:tcPr>
          <w:p w14:paraId="15B0500B">
            <w:r>
              <w:rPr>
                <w:rFonts w:ascii="Calibri" w:hAnsi="Calibri"/>
                <w:color w:val="2D3748"/>
                <w:sz w:val="18"/>
              </w:rPr>
              <w:t>Generate pharmacy invoice</w:t>
            </w:r>
          </w:p>
        </w:tc>
        <w:tc>
          <w:tcPr>
            <w:tcW w:w="1625" w:type="dxa"/>
            <w:shd w:val="clear" w:color="auto" w:fill="FFFFFF"/>
          </w:tcPr>
          <w:p w14:paraId="3F1E7F2D">
            <w:r>
              <w:rPr>
                <w:rFonts w:ascii="Calibri" w:hAnsi="Calibri"/>
                <w:color w:val="2D3748"/>
                <w:sz w:val="18"/>
              </w:rPr>
              <w:t>L5 Pharmacist</w:t>
            </w:r>
          </w:p>
        </w:tc>
        <w:tc>
          <w:tcPr>
            <w:tcW w:w="4381" w:type="dxa"/>
            <w:shd w:val="clear" w:color="auto" w:fill="FFFFFF"/>
          </w:tcPr>
          <w:p w14:paraId="5C65AA86">
            <w:r>
              <w:rPr>
                <w:rFonts w:ascii="Calibri" w:hAnsi="Calibri"/>
                <w:color w:val="2D3748"/>
                <w:sz w:val="18"/>
              </w:rPr>
              <w:t>Post-dispensing → Auto-generate line items with GST → Select payment mode → Print QR receipt</w:t>
            </w:r>
          </w:p>
        </w:tc>
      </w:tr>
      <w:tr w14:paraId="7811D1E2">
        <w:trPr>
          <w:jc w:val="center"/>
        </w:trPr>
        <w:tc>
          <w:tcPr>
            <w:tcW w:w="1737" w:type="dxa"/>
            <w:shd w:val="clear" w:color="auto" w:fill="F7F9FC"/>
          </w:tcPr>
          <w:p w14:paraId="65716072">
            <w:r>
              <w:rPr>
                <w:rFonts w:ascii="Calibri" w:hAnsi="Calibri"/>
                <w:color w:val="2D3748"/>
                <w:sz w:val="18"/>
              </w:rPr>
              <w:t>UC-M02-03</w:t>
            </w:r>
          </w:p>
        </w:tc>
        <w:tc>
          <w:tcPr>
            <w:tcW w:w="1666" w:type="dxa"/>
            <w:shd w:val="clear" w:color="auto" w:fill="F7F9FC"/>
          </w:tcPr>
          <w:p w14:paraId="1156FA69">
            <w:r>
              <w:rPr>
                <w:rFonts w:ascii="Calibri" w:hAnsi="Calibri"/>
                <w:color w:val="2D3748"/>
                <w:sz w:val="18"/>
              </w:rPr>
              <w:t>Handle controlled substance</w:t>
            </w:r>
          </w:p>
        </w:tc>
        <w:tc>
          <w:tcPr>
            <w:tcW w:w="1625" w:type="dxa"/>
            <w:shd w:val="clear" w:color="auto" w:fill="F7F9FC"/>
          </w:tcPr>
          <w:p w14:paraId="791E229B">
            <w:r>
              <w:rPr>
                <w:rFonts w:ascii="Calibri" w:hAnsi="Calibri"/>
                <w:color w:val="2D3748"/>
                <w:sz w:val="18"/>
              </w:rPr>
              <w:t>L5 Pharmacist</w:t>
            </w:r>
          </w:p>
        </w:tc>
        <w:tc>
          <w:tcPr>
            <w:tcW w:w="4381" w:type="dxa"/>
            <w:shd w:val="clear" w:color="auto" w:fill="F7F9FC"/>
          </w:tcPr>
          <w:p w14:paraId="55686A02">
            <w:r>
              <w:rPr>
                <w:rFonts w:ascii="Calibri" w:hAnsi="Calibri"/>
                <w:color w:val="2D3748"/>
                <w:sz w:val="18"/>
              </w:rPr>
              <w:t>Verify Schedule H/H1 compliance → Require doctor authorization → Double-entry log → Regulatory report</w:t>
            </w:r>
          </w:p>
        </w:tc>
      </w:tr>
      <w:tr w14:paraId="75A1E54F">
        <w:trPr>
          <w:jc w:val="center"/>
        </w:trPr>
        <w:tc>
          <w:tcPr>
            <w:tcW w:w="1737" w:type="dxa"/>
            <w:shd w:val="clear" w:color="auto" w:fill="FFFFFF"/>
          </w:tcPr>
          <w:p w14:paraId="558A8D86">
            <w:r>
              <w:rPr>
                <w:rFonts w:ascii="Calibri" w:hAnsi="Calibri"/>
                <w:color w:val="2D3748"/>
                <w:sz w:val="18"/>
              </w:rPr>
              <w:t>UC-M02-04</w:t>
            </w:r>
          </w:p>
        </w:tc>
        <w:tc>
          <w:tcPr>
            <w:tcW w:w="1666" w:type="dxa"/>
            <w:shd w:val="clear" w:color="auto" w:fill="FFFFFF"/>
          </w:tcPr>
          <w:p w14:paraId="65148862">
            <w:r>
              <w:rPr>
                <w:rFonts w:ascii="Calibri" w:hAnsi="Calibri"/>
                <w:color w:val="2D3748"/>
                <w:sz w:val="18"/>
              </w:rPr>
              <w:t>Process drug return</w:t>
            </w:r>
          </w:p>
        </w:tc>
        <w:tc>
          <w:tcPr>
            <w:tcW w:w="1625" w:type="dxa"/>
            <w:shd w:val="clear" w:color="auto" w:fill="FFFFFF"/>
          </w:tcPr>
          <w:p w14:paraId="2AB76D0E">
            <w:r>
              <w:rPr>
                <w:rFonts w:ascii="Calibri" w:hAnsi="Calibri"/>
                <w:color w:val="2D3748"/>
                <w:sz w:val="18"/>
              </w:rPr>
              <w:t>L5 Pharmacist</w:t>
            </w:r>
          </w:p>
        </w:tc>
        <w:tc>
          <w:tcPr>
            <w:tcW w:w="4381" w:type="dxa"/>
            <w:shd w:val="clear" w:color="auto" w:fill="FFFFFF"/>
          </w:tcPr>
          <w:p w14:paraId="74336932">
            <w:r>
              <w:rPr>
                <w:rFonts w:ascii="Calibri" w:hAnsi="Calibri"/>
                <w:color w:val="2D3748"/>
                <w:sz w:val="18"/>
              </w:rPr>
              <w:t>Verify within return window → Inspect packaging → Credit note → Restock if unopened → Refund initiated</w:t>
            </w:r>
          </w:p>
        </w:tc>
      </w:tr>
      <w:tr w14:paraId="38E98824">
        <w:trPr>
          <w:jc w:val="center"/>
        </w:trPr>
        <w:tc>
          <w:tcPr>
            <w:tcW w:w="1737" w:type="dxa"/>
            <w:shd w:val="clear" w:color="auto" w:fill="F7F9FC"/>
          </w:tcPr>
          <w:p w14:paraId="4A4B83F8">
            <w:r>
              <w:rPr>
                <w:rFonts w:ascii="Calibri" w:hAnsi="Calibri"/>
                <w:color w:val="2D3748"/>
                <w:sz w:val="18"/>
              </w:rPr>
              <w:t>UC-M02-05</w:t>
            </w:r>
          </w:p>
        </w:tc>
        <w:tc>
          <w:tcPr>
            <w:tcW w:w="1666" w:type="dxa"/>
            <w:shd w:val="clear" w:color="auto" w:fill="F7F9FC"/>
          </w:tcPr>
          <w:p w14:paraId="3C0E2DF5">
            <w:r>
              <w:rPr>
                <w:rFonts w:ascii="Calibri" w:hAnsi="Calibri"/>
                <w:color w:val="2D3748"/>
                <w:sz w:val="18"/>
              </w:rPr>
              <w:t>Emergency stock requisition</w:t>
            </w:r>
          </w:p>
        </w:tc>
        <w:tc>
          <w:tcPr>
            <w:tcW w:w="1625" w:type="dxa"/>
            <w:shd w:val="clear" w:color="auto" w:fill="F7F9FC"/>
          </w:tcPr>
          <w:p w14:paraId="29F8CBFC">
            <w:r>
              <w:rPr>
                <w:rFonts w:ascii="Calibri" w:hAnsi="Calibri"/>
                <w:color w:val="2D3748"/>
                <w:sz w:val="18"/>
              </w:rPr>
              <w:t>L4 Pharmacy HOD</w:t>
            </w:r>
          </w:p>
        </w:tc>
        <w:tc>
          <w:tcPr>
            <w:tcW w:w="4381" w:type="dxa"/>
            <w:shd w:val="clear" w:color="auto" w:fill="F7F9FC"/>
          </w:tcPr>
          <w:p w14:paraId="18E9D35B">
            <w:r>
              <w:rPr>
                <w:rFonts w:ascii="Calibri" w:hAnsi="Calibri"/>
                <w:color w:val="2D3748"/>
                <w:sz w:val="18"/>
              </w:rPr>
              <w:t>Bypass normal PO → Emergency flag → Auto-approval → Post-approval audit within 24h mandatory</w:t>
            </w:r>
          </w:p>
        </w:tc>
      </w:tr>
      <w:tr w14:paraId="03DED511">
        <w:trPr>
          <w:jc w:val="center"/>
        </w:trPr>
        <w:tc>
          <w:tcPr>
            <w:tcW w:w="1737" w:type="dxa"/>
            <w:shd w:val="clear" w:color="auto" w:fill="FFFFFF"/>
          </w:tcPr>
          <w:p w14:paraId="0375A733">
            <w:r>
              <w:rPr>
                <w:rFonts w:ascii="Calibri" w:hAnsi="Calibri"/>
                <w:color w:val="2D3748"/>
                <w:sz w:val="18"/>
              </w:rPr>
              <w:t>UC-M02-06</w:t>
            </w:r>
          </w:p>
        </w:tc>
        <w:tc>
          <w:tcPr>
            <w:tcW w:w="1666" w:type="dxa"/>
            <w:shd w:val="clear" w:color="auto" w:fill="FFFFFF"/>
          </w:tcPr>
          <w:p w14:paraId="3EAE16C7">
            <w:r>
              <w:rPr>
                <w:rFonts w:ascii="Calibri" w:hAnsi="Calibri"/>
                <w:color w:val="2D3748"/>
                <w:sz w:val="18"/>
              </w:rPr>
              <w:t>Inter-branch stock transfer</w:t>
            </w:r>
          </w:p>
        </w:tc>
        <w:tc>
          <w:tcPr>
            <w:tcW w:w="1625" w:type="dxa"/>
            <w:shd w:val="clear" w:color="auto" w:fill="FFFFFF"/>
          </w:tcPr>
          <w:p w14:paraId="31E55165">
            <w:r>
              <w:rPr>
                <w:rFonts w:ascii="Calibri" w:hAnsi="Calibri"/>
                <w:color w:val="2D3748"/>
                <w:sz w:val="18"/>
              </w:rPr>
              <w:t>L3 Branch Admin</w:t>
            </w:r>
          </w:p>
        </w:tc>
        <w:tc>
          <w:tcPr>
            <w:tcW w:w="4381" w:type="dxa"/>
            <w:shd w:val="clear" w:color="auto" w:fill="FFFFFF"/>
          </w:tcPr>
          <w:p w14:paraId="7365F029">
            <w:r>
              <w:rPr>
                <w:rFonts w:ascii="Calibri" w:hAnsi="Calibri"/>
                <w:color w:val="2D3748"/>
                <w:sz w:val="18"/>
              </w:rPr>
              <w:t>Identify surplus → Create transfer request → Destination approval → Transit tracking → GRN at destination</w:t>
            </w:r>
          </w:p>
        </w:tc>
      </w:tr>
    </w:tbl>
    <w:p w14:paraId="6DB0534C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61"/>
        <w:gridCol w:w="2880"/>
        <w:gridCol w:w="2880"/>
      </w:tblGrid>
      <w:tr w14:paraId="4E9B9675">
        <w:trPr>
          <w:jc w:val="center"/>
        </w:trPr>
        <w:tc>
          <w:tcPr>
            <w:tcW w:w="3261" w:type="dxa"/>
            <w:shd w:val="clear" w:color="auto" w:fill="1B3A5C"/>
          </w:tcPr>
          <w:p w14:paraId="31334EE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68F0DE7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2C8EEB7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10F76706">
        <w:trPr>
          <w:jc w:val="center"/>
        </w:trPr>
        <w:tc>
          <w:tcPr>
            <w:tcW w:w="3261" w:type="dxa"/>
            <w:shd w:val="clear" w:color="auto" w:fill="F7F9FC"/>
          </w:tcPr>
          <w:p w14:paraId="46AD28EE">
            <w:r>
              <w:rPr>
                <w:rFonts w:ascii="Calibri" w:hAnsi="Calibri"/>
                <w:color w:val="2D3748"/>
                <w:sz w:val="18"/>
              </w:rPr>
              <w:t>Drug out of stock</w:t>
            </w:r>
          </w:p>
        </w:tc>
        <w:tc>
          <w:tcPr>
            <w:tcW w:w="2880" w:type="dxa"/>
            <w:shd w:val="clear" w:color="auto" w:fill="F7F9FC"/>
          </w:tcPr>
          <w:p w14:paraId="0DD1D743">
            <w:r>
              <w:rPr>
                <w:rFonts w:ascii="Calibri" w:hAnsi="Calibri"/>
                <w:color w:val="2D3748"/>
                <w:sz w:val="18"/>
              </w:rPr>
              <w:t>Suggest generic substitutes from formulary; alert doctor for approval; queue for emergency procurement</w:t>
            </w:r>
          </w:p>
        </w:tc>
        <w:tc>
          <w:tcPr>
            <w:tcW w:w="2880" w:type="dxa"/>
            <w:shd w:val="clear" w:color="auto" w:fill="F7F9FC"/>
          </w:tcPr>
          <w:p w14:paraId="657A25C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4EFE7EFC">
        <w:trPr>
          <w:jc w:val="center"/>
        </w:trPr>
        <w:tc>
          <w:tcPr>
            <w:tcW w:w="3261" w:type="dxa"/>
            <w:shd w:val="clear" w:color="auto" w:fill="FFFFFF"/>
          </w:tcPr>
          <w:p w14:paraId="72A74ECA">
            <w:r>
              <w:rPr>
                <w:rFonts w:ascii="Calibri" w:hAnsi="Calibri"/>
                <w:color w:val="2D3748"/>
                <w:sz w:val="18"/>
              </w:rPr>
              <w:t>Expired batch in FIFO queue</w:t>
            </w:r>
          </w:p>
        </w:tc>
        <w:tc>
          <w:tcPr>
            <w:tcW w:w="2880" w:type="dxa"/>
            <w:shd w:val="clear" w:color="auto" w:fill="FFFFFF"/>
          </w:tcPr>
          <w:p w14:paraId="59A422CD">
            <w:r>
              <w:rPr>
                <w:rFonts w:ascii="Calibri" w:hAnsi="Calibri"/>
                <w:color w:val="2D3748"/>
                <w:sz w:val="18"/>
              </w:rPr>
              <w:t>Auto-skip expired batches; flag for quarantine; alert Store Manager</w:t>
            </w:r>
          </w:p>
        </w:tc>
        <w:tc>
          <w:tcPr>
            <w:tcW w:w="2880" w:type="dxa"/>
            <w:shd w:val="clear" w:color="auto" w:fill="FFFFFF"/>
          </w:tcPr>
          <w:p w14:paraId="182CBE5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184C3399">
        <w:trPr>
          <w:jc w:val="center"/>
        </w:trPr>
        <w:tc>
          <w:tcPr>
            <w:tcW w:w="3261" w:type="dxa"/>
            <w:shd w:val="clear" w:color="auto" w:fill="F7F9FC"/>
          </w:tcPr>
          <w:p w14:paraId="16DB1983">
            <w:r>
              <w:rPr>
                <w:rFonts w:ascii="Calibri" w:hAnsi="Calibri"/>
                <w:color w:val="2D3748"/>
                <w:sz w:val="18"/>
              </w:rPr>
              <w:t>Drug interaction detected (severe)</w:t>
            </w:r>
          </w:p>
        </w:tc>
        <w:tc>
          <w:tcPr>
            <w:tcW w:w="2880" w:type="dxa"/>
            <w:shd w:val="clear" w:color="auto" w:fill="F7F9FC"/>
          </w:tcPr>
          <w:p w14:paraId="42D5964D">
            <w:r>
              <w:rPr>
                <w:rFonts w:ascii="Calibri" w:hAnsi="Calibri"/>
                <w:color w:val="2D3748"/>
                <w:sz w:val="18"/>
              </w:rPr>
              <w:t>Hard-stop dispensing; require prescribing doctor override with reason; full audit trail</w:t>
            </w:r>
          </w:p>
        </w:tc>
        <w:tc>
          <w:tcPr>
            <w:tcW w:w="2880" w:type="dxa"/>
            <w:shd w:val="clear" w:color="auto" w:fill="F7F9FC"/>
          </w:tcPr>
          <w:p w14:paraId="2E87992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0DEFC39">
        <w:trPr>
          <w:jc w:val="center"/>
        </w:trPr>
        <w:tc>
          <w:tcPr>
            <w:tcW w:w="3261" w:type="dxa"/>
            <w:shd w:val="clear" w:color="auto" w:fill="FFFFFF"/>
          </w:tcPr>
          <w:p w14:paraId="0DDA2175">
            <w:r>
              <w:rPr>
                <w:rFonts w:ascii="Calibri" w:hAnsi="Calibri"/>
                <w:color w:val="2D3748"/>
                <w:sz w:val="18"/>
              </w:rPr>
              <w:t>Partial dispensing (insufficient stock)</w:t>
            </w:r>
          </w:p>
        </w:tc>
        <w:tc>
          <w:tcPr>
            <w:tcW w:w="2880" w:type="dxa"/>
            <w:shd w:val="clear" w:color="auto" w:fill="FFFFFF"/>
          </w:tcPr>
          <w:p w14:paraId="58E072B7">
            <w:r>
              <w:rPr>
                <w:rFonts w:ascii="Calibri" w:hAnsi="Calibri"/>
                <w:color w:val="2D3748"/>
                <w:sz w:val="18"/>
              </w:rPr>
              <w:t>Dispense available qty; back-order remainder; notify patient of pickup date</w:t>
            </w:r>
          </w:p>
        </w:tc>
        <w:tc>
          <w:tcPr>
            <w:tcW w:w="2880" w:type="dxa"/>
            <w:shd w:val="clear" w:color="auto" w:fill="FFFFFF"/>
          </w:tcPr>
          <w:p w14:paraId="11C954DB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528E28E2">
        <w:trPr>
          <w:jc w:val="center"/>
        </w:trPr>
        <w:tc>
          <w:tcPr>
            <w:tcW w:w="3261" w:type="dxa"/>
            <w:shd w:val="clear" w:color="auto" w:fill="F7F9FC"/>
          </w:tcPr>
          <w:p w14:paraId="47B49672">
            <w:r>
              <w:rPr>
                <w:rFonts w:ascii="Calibri" w:hAnsi="Calibri"/>
                <w:color w:val="2D3748"/>
                <w:sz w:val="18"/>
              </w:rPr>
              <w:t>GRN quantity mismatch with PO</w:t>
            </w:r>
          </w:p>
        </w:tc>
        <w:tc>
          <w:tcPr>
            <w:tcW w:w="2880" w:type="dxa"/>
            <w:shd w:val="clear" w:color="auto" w:fill="F7F9FC"/>
          </w:tcPr>
          <w:p w14:paraId="38208240">
            <w:r>
              <w:rPr>
                <w:rFonts w:ascii="Calibri" w:hAnsi="Calibri"/>
                <w:color w:val="2D3748"/>
                <w:sz w:val="18"/>
              </w:rPr>
              <w:t>Flag discrepancy; require Store Manager sign-off; vendor debit note auto-generated</w:t>
            </w:r>
          </w:p>
        </w:tc>
        <w:tc>
          <w:tcPr>
            <w:tcW w:w="2880" w:type="dxa"/>
            <w:shd w:val="clear" w:color="auto" w:fill="F7F9FC"/>
          </w:tcPr>
          <w:p w14:paraId="37E09F82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56FC7452">
        <w:trPr>
          <w:jc w:val="center"/>
        </w:trPr>
        <w:tc>
          <w:tcPr>
            <w:tcW w:w="3261" w:type="dxa"/>
            <w:shd w:val="clear" w:color="auto" w:fill="FFFFFF"/>
          </w:tcPr>
          <w:p w14:paraId="6FB59111">
            <w:r>
              <w:rPr>
                <w:rFonts w:ascii="Calibri" w:hAnsi="Calibri"/>
                <w:color w:val="2D3748"/>
                <w:sz w:val="18"/>
              </w:rPr>
              <w:t>TPA payment rejection</w:t>
            </w:r>
          </w:p>
        </w:tc>
        <w:tc>
          <w:tcPr>
            <w:tcW w:w="2880" w:type="dxa"/>
            <w:shd w:val="clear" w:color="auto" w:fill="FFFFFF"/>
          </w:tcPr>
          <w:p w14:paraId="44E18592">
            <w:r>
              <w:rPr>
                <w:rFonts w:ascii="Calibri" w:hAnsi="Calibri"/>
                <w:color w:val="2D3748"/>
                <w:sz w:val="18"/>
              </w:rPr>
              <w:t>Fallback to patient self-pay; generate revised invoice; TPA dispute workflow initiated</w:t>
            </w:r>
          </w:p>
        </w:tc>
        <w:tc>
          <w:tcPr>
            <w:tcW w:w="2880" w:type="dxa"/>
            <w:shd w:val="clear" w:color="auto" w:fill="FFFFFF"/>
          </w:tcPr>
          <w:p w14:paraId="4DDE6869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2DFF185C">
        <w:trPr>
          <w:jc w:val="center"/>
        </w:trPr>
        <w:tc>
          <w:tcPr>
            <w:tcW w:w="3261" w:type="dxa"/>
            <w:shd w:val="clear" w:color="auto" w:fill="F7F9FC"/>
          </w:tcPr>
          <w:p w14:paraId="3421E0B5">
            <w:r>
              <w:rPr>
                <w:rFonts w:ascii="Calibri" w:hAnsi="Calibri"/>
                <w:color w:val="2D3748"/>
                <w:sz w:val="18"/>
              </w:rPr>
              <w:t>Concurrent dispensing of same batch (race)</w:t>
            </w:r>
          </w:p>
        </w:tc>
        <w:tc>
          <w:tcPr>
            <w:tcW w:w="2880" w:type="dxa"/>
            <w:shd w:val="clear" w:color="auto" w:fill="F7F9FC"/>
          </w:tcPr>
          <w:p w14:paraId="6190B594">
            <w:r>
              <w:rPr>
                <w:rFonts w:ascii="Calibri" w:hAnsi="Calibri"/>
                <w:color w:val="2D3748"/>
                <w:sz w:val="18"/>
              </w:rPr>
              <w:t>Atomic stock decrement with row-level locking; second request fails gracefully with retry</w:t>
            </w:r>
          </w:p>
        </w:tc>
        <w:tc>
          <w:tcPr>
            <w:tcW w:w="2880" w:type="dxa"/>
            <w:shd w:val="clear" w:color="auto" w:fill="F7F9FC"/>
          </w:tcPr>
          <w:p w14:paraId="444C0938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795016AB">
        <w:trPr>
          <w:jc w:val="center"/>
        </w:trPr>
        <w:tc>
          <w:tcPr>
            <w:tcW w:w="3261" w:type="dxa"/>
            <w:shd w:val="clear" w:color="auto" w:fill="FFFFFF"/>
          </w:tcPr>
          <w:p w14:paraId="1A3F7982">
            <w:r>
              <w:rPr>
                <w:rFonts w:ascii="Calibri" w:hAnsi="Calibri"/>
                <w:color w:val="2D3748"/>
                <w:sz w:val="18"/>
              </w:rPr>
              <w:t>Barcode scanner malfunction</w:t>
            </w:r>
          </w:p>
        </w:tc>
        <w:tc>
          <w:tcPr>
            <w:tcW w:w="2880" w:type="dxa"/>
            <w:shd w:val="clear" w:color="auto" w:fill="FFFFFF"/>
          </w:tcPr>
          <w:p w14:paraId="563EA942">
            <w:r>
              <w:rPr>
                <w:rFonts w:ascii="Calibri" w:hAnsi="Calibri"/>
                <w:color w:val="2D3748"/>
                <w:sz w:val="18"/>
              </w:rPr>
              <w:t>Manual drug/batch entry fallback with mandatory double-verification</w:t>
            </w:r>
          </w:p>
        </w:tc>
        <w:tc>
          <w:tcPr>
            <w:tcW w:w="2880" w:type="dxa"/>
            <w:shd w:val="clear" w:color="auto" w:fill="FFFFFF"/>
          </w:tcPr>
          <w:p w14:paraId="43148871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</w:tbl>
    <w:p w14:paraId="73B0E0D1">
      <w:r>
        <w:br w:type="page"/>
      </w:r>
    </w:p>
    <w:p w14:paraId="4A9EE564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4.03 M03 — Laboratory &amp; Diagnostics</w:t>
      </w:r>
    </w:p>
    <w:p w14:paraId="606E8734">
      <w:pPr>
        <w:shd w:val="clear"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Complete pathology and diagnostics workflow from test order receipt through sample collection (barcode tracking), result entry, pathologist validation, report generation, and TAT monitoring.</w:t>
      </w:r>
    </w:p>
    <w:p w14:paraId="5DB2BC3E">
      <w:pPr>
        <w:pStyle w:val="4"/>
      </w:pPr>
      <w:r>
        <w:rPr>
          <w:rFonts w:ascii="Calibri" w:hAnsi="Calibri"/>
          <w:b/>
          <w:color w:val="2D3748"/>
          <w:sz w:val="24"/>
        </w:rPr>
        <w:t>Screens (6)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59"/>
        <w:gridCol w:w="2568"/>
        <w:gridCol w:w="5129"/>
      </w:tblGrid>
      <w:tr w14:paraId="3250CA2A">
        <w:trPr>
          <w:jc w:val="center"/>
        </w:trPr>
        <w:tc>
          <w:tcPr>
            <w:tcW w:w="1559" w:type="dxa"/>
            <w:shd w:val="clear" w:color="auto" w:fill="1B3A5C"/>
          </w:tcPr>
          <w:p w14:paraId="76434A2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568" w:type="dxa"/>
            <w:shd w:val="clear" w:color="auto" w:fill="1B3A5C"/>
          </w:tcPr>
          <w:p w14:paraId="6F74933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129" w:type="dxa"/>
            <w:shd w:val="clear" w:color="auto" w:fill="1B3A5C"/>
          </w:tcPr>
          <w:p w14:paraId="4698F47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 w14:paraId="28DD226B">
        <w:trPr>
          <w:jc w:val="center"/>
        </w:trPr>
        <w:tc>
          <w:tcPr>
            <w:tcW w:w="1559" w:type="dxa"/>
            <w:shd w:val="clear" w:color="auto" w:fill="F7F9FC"/>
          </w:tcPr>
          <w:p w14:paraId="4BDCB099">
            <w:r>
              <w:rPr>
                <w:rFonts w:ascii="Calibri" w:hAnsi="Calibri"/>
                <w:color w:val="2D3748"/>
                <w:sz w:val="18"/>
              </w:rPr>
              <w:t>Lab Worklist</w:t>
            </w:r>
          </w:p>
        </w:tc>
        <w:tc>
          <w:tcPr>
            <w:tcW w:w="2568" w:type="dxa"/>
            <w:shd w:val="clear" w:color="auto" w:fill="F7F9FC"/>
          </w:tcPr>
          <w:p w14:paraId="1597B1DF">
            <w:r>
              <w:rPr>
                <w:rFonts w:ascii="Calibri" w:hAnsi="Calibri"/>
                <w:color w:val="2D3748"/>
                <w:sz w:val="18"/>
              </w:rPr>
              <w:t>Incoming test orders from OPD/IPD</w:t>
            </w:r>
          </w:p>
        </w:tc>
        <w:tc>
          <w:tcPr>
            <w:tcW w:w="5129" w:type="dxa"/>
            <w:shd w:val="clear" w:color="auto" w:fill="F7F9FC"/>
          </w:tcPr>
          <w:p w14:paraId="24D1B374">
            <w:r>
              <w:rPr>
                <w:rFonts w:ascii="Calibri" w:hAnsi="Calibri"/>
                <w:color w:val="2D3748"/>
                <w:sz w:val="18"/>
              </w:rPr>
              <w:t>Patient, Ordered By, Tests[], Priority, Status, Sample Required, Timestamp</w:t>
            </w:r>
          </w:p>
        </w:tc>
      </w:tr>
      <w:tr w14:paraId="4818D970">
        <w:trPr>
          <w:jc w:val="center"/>
        </w:trPr>
        <w:tc>
          <w:tcPr>
            <w:tcW w:w="1559" w:type="dxa"/>
            <w:shd w:val="clear" w:color="auto" w:fill="FFFFFF"/>
          </w:tcPr>
          <w:p w14:paraId="1843987A">
            <w:r>
              <w:rPr>
                <w:rFonts w:ascii="Calibri" w:hAnsi="Calibri"/>
                <w:color w:val="2D3748"/>
                <w:sz w:val="18"/>
              </w:rPr>
              <w:t>Sample Collection</w:t>
            </w:r>
          </w:p>
        </w:tc>
        <w:tc>
          <w:tcPr>
            <w:tcW w:w="2568" w:type="dxa"/>
            <w:shd w:val="clear" w:color="auto" w:fill="FFFFFF"/>
          </w:tcPr>
          <w:p w14:paraId="6D484753">
            <w:r>
              <w:rPr>
                <w:rFonts w:ascii="Calibri" w:hAnsi="Calibri"/>
                <w:color w:val="2D3748"/>
                <w:sz w:val="18"/>
              </w:rPr>
              <w:t>Barcode-tracked specimen collection</w:t>
            </w:r>
          </w:p>
        </w:tc>
        <w:tc>
          <w:tcPr>
            <w:tcW w:w="5129" w:type="dxa"/>
            <w:shd w:val="clear" w:color="auto" w:fill="FFFFFF"/>
          </w:tcPr>
          <w:p w14:paraId="27888DB1">
            <w:r>
              <w:rPr>
                <w:rFonts w:ascii="Calibri" w:hAnsi="Calibri"/>
                <w:color w:val="2D3748"/>
                <w:sz w:val="18"/>
              </w:rPr>
              <w:t>Barcode ID, Patient, Specimen Type, Collection Time, Collector, Fasting verified, Chain of custody</w:t>
            </w:r>
          </w:p>
        </w:tc>
      </w:tr>
      <w:tr w14:paraId="1C19CDD2">
        <w:trPr>
          <w:jc w:val="center"/>
        </w:trPr>
        <w:tc>
          <w:tcPr>
            <w:tcW w:w="1559" w:type="dxa"/>
            <w:shd w:val="clear" w:color="auto" w:fill="F7F9FC"/>
          </w:tcPr>
          <w:p w14:paraId="71E7A5EB">
            <w:r>
              <w:rPr>
                <w:rFonts w:ascii="Calibri" w:hAnsi="Calibri"/>
                <w:color w:val="2D3748"/>
                <w:sz w:val="18"/>
              </w:rPr>
              <w:t>Result Entry</w:t>
            </w:r>
          </w:p>
        </w:tc>
        <w:tc>
          <w:tcPr>
            <w:tcW w:w="2568" w:type="dxa"/>
            <w:shd w:val="clear" w:color="auto" w:fill="F7F9FC"/>
          </w:tcPr>
          <w:p w14:paraId="69C9C7B2">
            <w:r>
              <w:rPr>
                <w:rFonts w:ascii="Calibri" w:hAnsi="Calibri"/>
                <w:color w:val="2D3748"/>
                <w:sz w:val="18"/>
              </w:rPr>
              <w:t>Technician enters test values</w:t>
            </w:r>
          </w:p>
        </w:tc>
        <w:tc>
          <w:tcPr>
            <w:tcW w:w="5129" w:type="dxa"/>
            <w:shd w:val="clear" w:color="auto" w:fill="F7F9FC"/>
          </w:tcPr>
          <w:p w14:paraId="0EEC6CF6">
            <w:r>
              <w:rPr>
                <w:rFonts w:ascii="Calibri" w:hAnsi="Calibri"/>
                <w:color w:val="2D3748"/>
                <w:sz w:val="18"/>
              </w:rPr>
              <w:t>Test, Parameter, Value, Unit, Normal Range, Flag (Normal/Abnormal/Critical), Instrument interface</w:t>
            </w:r>
          </w:p>
        </w:tc>
      </w:tr>
      <w:tr w14:paraId="50C5EC79">
        <w:trPr>
          <w:jc w:val="center"/>
        </w:trPr>
        <w:tc>
          <w:tcPr>
            <w:tcW w:w="1559" w:type="dxa"/>
            <w:shd w:val="clear" w:color="auto" w:fill="FFFFFF"/>
          </w:tcPr>
          <w:p w14:paraId="706C6329">
            <w:r>
              <w:rPr>
                <w:rFonts w:ascii="Calibri" w:hAnsi="Calibri"/>
                <w:color w:val="2D3748"/>
                <w:sz w:val="18"/>
              </w:rPr>
              <w:t>Result Validation</w:t>
            </w:r>
          </w:p>
        </w:tc>
        <w:tc>
          <w:tcPr>
            <w:tcW w:w="2568" w:type="dxa"/>
            <w:shd w:val="clear" w:color="auto" w:fill="FFFFFF"/>
          </w:tcPr>
          <w:p w14:paraId="3F46A45F">
            <w:r>
              <w:rPr>
                <w:rFonts w:ascii="Calibri" w:hAnsi="Calibri"/>
                <w:color w:val="2D3748"/>
                <w:sz w:val="18"/>
              </w:rPr>
              <w:t>Pathologist review and sign-off</w:t>
            </w:r>
          </w:p>
        </w:tc>
        <w:tc>
          <w:tcPr>
            <w:tcW w:w="5129" w:type="dxa"/>
            <w:shd w:val="clear" w:color="auto" w:fill="FFFFFF"/>
          </w:tcPr>
          <w:p w14:paraId="177E73D6">
            <w:r>
              <w:rPr>
                <w:rFonts w:ascii="Calibri" w:hAnsi="Calibri"/>
                <w:color w:val="2D3748"/>
                <w:sz w:val="18"/>
              </w:rPr>
              <w:t>Results summary, Historical comparison, Critical value alerts, Digital signature, Reject with reason</w:t>
            </w:r>
          </w:p>
        </w:tc>
      </w:tr>
      <w:tr w14:paraId="3C90FF4F">
        <w:trPr>
          <w:jc w:val="center"/>
        </w:trPr>
        <w:tc>
          <w:tcPr>
            <w:tcW w:w="1559" w:type="dxa"/>
            <w:shd w:val="clear" w:color="auto" w:fill="F7F9FC"/>
          </w:tcPr>
          <w:p w14:paraId="1078E0D9">
            <w:r>
              <w:rPr>
                <w:rFonts w:ascii="Calibri" w:hAnsi="Calibri"/>
                <w:color w:val="2D3748"/>
                <w:sz w:val="18"/>
              </w:rPr>
              <w:t>Lab Report</w:t>
            </w:r>
          </w:p>
        </w:tc>
        <w:tc>
          <w:tcPr>
            <w:tcW w:w="2568" w:type="dxa"/>
            <w:shd w:val="clear" w:color="auto" w:fill="F7F9FC"/>
          </w:tcPr>
          <w:p w14:paraId="46424662">
            <w:r>
              <w:rPr>
                <w:rFonts w:ascii="Calibri" w:hAnsi="Calibri"/>
                <w:color w:val="2D3748"/>
                <w:sz w:val="18"/>
              </w:rPr>
              <w:t>Patient-facing formatted report</w:t>
            </w:r>
          </w:p>
        </w:tc>
        <w:tc>
          <w:tcPr>
            <w:tcW w:w="5129" w:type="dxa"/>
            <w:shd w:val="clear" w:color="auto" w:fill="F7F9FC"/>
          </w:tcPr>
          <w:p w14:paraId="2A5559A1">
            <w:r>
              <w:rPr>
                <w:rFonts w:ascii="Calibri" w:hAnsi="Calibri"/>
                <w:color w:val="2D3748"/>
                <w:sz w:val="18"/>
              </w:rPr>
              <w:t>Header, Test results table, Interpretation, Pathologist signature, FHIR export, S3 presigned URL (72h)</w:t>
            </w:r>
          </w:p>
        </w:tc>
      </w:tr>
      <w:tr w14:paraId="656B28D5">
        <w:trPr>
          <w:jc w:val="center"/>
        </w:trPr>
        <w:tc>
          <w:tcPr>
            <w:tcW w:w="1559" w:type="dxa"/>
            <w:shd w:val="clear" w:color="auto" w:fill="FFFFFF"/>
          </w:tcPr>
          <w:p w14:paraId="4BF0CE8B">
            <w:r>
              <w:rPr>
                <w:rFonts w:ascii="Calibri" w:hAnsi="Calibri"/>
                <w:color w:val="2D3748"/>
                <w:sz w:val="18"/>
              </w:rPr>
              <w:t>TAT Monitor</w:t>
            </w:r>
          </w:p>
        </w:tc>
        <w:tc>
          <w:tcPr>
            <w:tcW w:w="2568" w:type="dxa"/>
            <w:shd w:val="clear" w:color="auto" w:fill="FFFFFF"/>
          </w:tcPr>
          <w:p w14:paraId="755D1A71">
            <w:r>
              <w:rPr>
                <w:rFonts w:ascii="Calibri" w:hAnsi="Calibri"/>
                <w:color w:val="2D3748"/>
                <w:sz w:val="18"/>
              </w:rPr>
              <w:t>Turn-around-time tracking dashboard</w:t>
            </w:r>
          </w:p>
        </w:tc>
        <w:tc>
          <w:tcPr>
            <w:tcW w:w="5129" w:type="dxa"/>
            <w:shd w:val="clear" w:color="auto" w:fill="FFFFFF"/>
          </w:tcPr>
          <w:p w14:paraId="3C2EAB7F">
            <w:r>
              <w:rPr>
                <w:rFonts w:ascii="Calibri" w:hAnsi="Calibri"/>
                <w:color w:val="2D3748"/>
                <w:sz w:val="18"/>
              </w:rPr>
              <w:t>Test-wise TAT, Breached TATs, Department efficiency, Bottleneck analysis, NABL benchmarks</w:t>
            </w:r>
          </w:p>
        </w:tc>
      </w:tr>
    </w:tbl>
    <w:p w14:paraId="144DCF81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3BD8040E">
      <w:pPr>
        <w:pStyle w:val="23"/>
      </w:pPr>
      <w:r>
        <w:rPr>
          <w:rFonts w:ascii="Calibri" w:hAnsi="Calibri"/>
          <w:b/>
          <w:sz w:val="20"/>
        </w:rPr>
        <w:t xml:space="preserve">LabOrder: </w:t>
      </w:r>
      <w:r>
        <w:rPr>
          <w:rFonts w:ascii="Calibri" w:hAnsi="Calibri"/>
          <w:color w:val="2D3748"/>
          <w:sz w:val="20"/>
        </w:rPr>
        <w:t>id, consultationId, patientId, orderedBy, tests[], priority, status, orderedAt</w:t>
      </w:r>
    </w:p>
    <w:p w14:paraId="1F81E63D">
      <w:pPr>
        <w:pStyle w:val="23"/>
      </w:pPr>
      <w:r>
        <w:rPr>
          <w:rFonts w:ascii="Calibri" w:hAnsi="Calibri"/>
          <w:b/>
          <w:sz w:val="20"/>
        </w:rPr>
        <w:t xml:space="preserve">Sample: </w:t>
      </w:r>
      <w:r>
        <w:rPr>
          <w:rFonts w:ascii="Calibri" w:hAnsi="Calibri"/>
          <w:color w:val="2D3748"/>
          <w:sz w:val="20"/>
        </w:rPr>
        <w:t>id, labOrderId, barcodeId, specimenType, collectedBy, collectedAt, condition, storageTemp</w:t>
      </w:r>
    </w:p>
    <w:p w14:paraId="37837DA9">
      <w:pPr>
        <w:pStyle w:val="23"/>
      </w:pPr>
      <w:r>
        <w:rPr>
          <w:rFonts w:ascii="Calibri" w:hAnsi="Calibri"/>
          <w:b/>
          <w:sz w:val="20"/>
        </w:rPr>
        <w:t xml:space="preserve">LabResult: </w:t>
      </w:r>
      <w:r>
        <w:rPr>
          <w:rFonts w:ascii="Calibri" w:hAnsi="Calibri"/>
          <w:color w:val="2D3748"/>
          <w:sz w:val="20"/>
        </w:rPr>
        <w:t>id, sampleId, testId, parameters[{name, value, unit, normalRange, flag}], enteredBy, enteredAt</w:t>
      </w:r>
    </w:p>
    <w:p w14:paraId="4A4B82F5">
      <w:pPr>
        <w:pStyle w:val="23"/>
      </w:pPr>
      <w:r>
        <w:rPr>
          <w:rFonts w:ascii="Calibri" w:hAnsi="Calibri"/>
          <w:b/>
          <w:sz w:val="20"/>
        </w:rPr>
        <w:t xml:space="preserve">LabReport: </w:t>
      </w:r>
      <w:r>
        <w:rPr>
          <w:rFonts w:ascii="Calibri" w:hAnsi="Calibri"/>
          <w:color w:val="2D3748"/>
          <w:sz w:val="20"/>
        </w:rPr>
        <w:t>id, resultId, patientId, validatedBy, validatedAt, reportUrl, fhirBundle, expiresAt</w:t>
      </w:r>
    </w:p>
    <w:p w14:paraId="7F2D9198">
      <w:pPr>
        <w:pStyle w:val="4"/>
        <w:rPr>
          <w:rFonts w:ascii="Calibri" w:hAnsi="Calibri"/>
          <w:b/>
          <w:color w:val="2D3748"/>
          <w:sz w:val="24"/>
        </w:rPr>
      </w:pPr>
    </w:p>
    <w:p w14:paraId="65E6BABA">
      <w:pPr>
        <w:rPr>
          <w:rFonts w:ascii="Calibri" w:hAnsi="Calibri"/>
          <w:b/>
          <w:color w:val="2D3748"/>
          <w:sz w:val="24"/>
        </w:rPr>
      </w:pPr>
    </w:p>
    <w:p w14:paraId="5AA982CC">
      <w:pPr>
        <w:rPr>
          <w:rFonts w:ascii="Calibri" w:hAnsi="Calibri"/>
          <w:b/>
          <w:color w:val="2D3748"/>
          <w:sz w:val="24"/>
        </w:rPr>
      </w:pPr>
    </w:p>
    <w:p w14:paraId="10D85C85">
      <w:pPr>
        <w:rPr>
          <w:rFonts w:ascii="Calibri" w:hAnsi="Calibri"/>
          <w:b/>
          <w:color w:val="2D3748"/>
          <w:sz w:val="24"/>
        </w:rPr>
      </w:pPr>
    </w:p>
    <w:p w14:paraId="77DCE39C">
      <w:pPr>
        <w:rPr>
          <w:rFonts w:ascii="Calibri" w:hAnsi="Calibri"/>
          <w:b/>
          <w:color w:val="2D3748"/>
          <w:sz w:val="24"/>
        </w:rPr>
      </w:pPr>
    </w:p>
    <w:p w14:paraId="416D98BE">
      <w:pPr>
        <w:pStyle w:val="4"/>
      </w:pPr>
      <w:r>
        <w:rPr>
          <w:rFonts w:ascii="Calibri" w:hAnsi="Calibri"/>
          <w:b/>
          <w:color w:val="2D3748"/>
          <w:sz w:val="24"/>
        </w:rPr>
        <w:t>Use Cases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46"/>
        <w:gridCol w:w="2041"/>
        <w:gridCol w:w="1612"/>
        <w:gridCol w:w="4421"/>
      </w:tblGrid>
      <w:tr w14:paraId="5703A41B">
        <w:trPr>
          <w:jc w:val="center"/>
        </w:trPr>
        <w:tc>
          <w:tcPr>
            <w:tcW w:w="1246" w:type="dxa"/>
            <w:shd w:val="clear" w:color="auto" w:fill="1B3A5C"/>
          </w:tcPr>
          <w:p w14:paraId="03CF127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w="2041" w:type="dxa"/>
            <w:shd w:val="clear" w:color="auto" w:fill="1B3A5C"/>
          </w:tcPr>
          <w:p w14:paraId="6F7006E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w="1612" w:type="dxa"/>
            <w:shd w:val="clear" w:color="auto" w:fill="1B3A5C"/>
          </w:tcPr>
          <w:p w14:paraId="61FB568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w="4421" w:type="dxa"/>
            <w:shd w:val="clear" w:color="auto" w:fill="1B3A5C"/>
          </w:tcPr>
          <w:p w14:paraId="11EFC48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 w14:paraId="576B596B">
        <w:trPr>
          <w:jc w:val="center"/>
        </w:trPr>
        <w:tc>
          <w:tcPr>
            <w:tcW w:w="1246" w:type="dxa"/>
            <w:shd w:val="clear" w:color="auto" w:fill="F7F9FC"/>
          </w:tcPr>
          <w:p w14:paraId="0C3AD0F3">
            <w:r>
              <w:rPr>
                <w:rFonts w:ascii="Calibri" w:hAnsi="Calibri"/>
                <w:color w:val="2D3748"/>
                <w:sz w:val="18"/>
              </w:rPr>
              <w:t>UC-M03-01</w:t>
            </w:r>
          </w:p>
        </w:tc>
        <w:tc>
          <w:tcPr>
            <w:tcW w:w="2041" w:type="dxa"/>
            <w:shd w:val="clear" w:color="auto" w:fill="F7F9FC"/>
          </w:tcPr>
          <w:p w14:paraId="539EFE10">
            <w:r>
              <w:rPr>
                <w:rFonts w:ascii="Calibri" w:hAnsi="Calibri"/>
                <w:color w:val="2D3748"/>
                <w:sz w:val="18"/>
              </w:rPr>
              <w:t>Process routine lab order</w:t>
            </w:r>
          </w:p>
        </w:tc>
        <w:tc>
          <w:tcPr>
            <w:tcW w:w="1612" w:type="dxa"/>
            <w:shd w:val="clear" w:color="auto" w:fill="F7F9FC"/>
          </w:tcPr>
          <w:p w14:paraId="70D8A075">
            <w:r>
              <w:rPr>
                <w:rFonts w:ascii="Calibri" w:hAnsi="Calibri"/>
                <w:color w:val="2D3748"/>
                <w:sz w:val="18"/>
              </w:rPr>
              <w:t>L5 Technician</w:t>
            </w:r>
          </w:p>
        </w:tc>
        <w:tc>
          <w:tcPr>
            <w:tcW w:w="4421" w:type="dxa"/>
            <w:shd w:val="clear" w:color="auto" w:fill="F7F9FC"/>
          </w:tcPr>
          <w:p w14:paraId="4AECFC20">
            <w:r>
              <w:rPr>
                <w:rFonts w:ascii="Calibri" w:hAnsi="Calibri"/>
                <w:color w:val="2D3748"/>
                <w:sz w:val="18"/>
              </w:rPr>
              <w:t>Receive order → Collect sample → Barcode label → Process → Enter results → Pathologist validates → Report generated</w:t>
            </w:r>
          </w:p>
        </w:tc>
      </w:tr>
      <w:tr w14:paraId="6CF06CEE">
        <w:trPr>
          <w:jc w:val="center"/>
        </w:trPr>
        <w:tc>
          <w:tcPr>
            <w:tcW w:w="1246" w:type="dxa"/>
            <w:shd w:val="clear" w:color="auto" w:fill="FFFFFF"/>
          </w:tcPr>
          <w:p w14:paraId="073030A7">
            <w:r>
              <w:rPr>
                <w:rFonts w:ascii="Calibri" w:hAnsi="Calibri"/>
                <w:color w:val="2D3748"/>
                <w:sz w:val="18"/>
              </w:rPr>
              <w:t>UC-M03-02</w:t>
            </w:r>
          </w:p>
        </w:tc>
        <w:tc>
          <w:tcPr>
            <w:tcW w:w="2041" w:type="dxa"/>
            <w:shd w:val="clear" w:color="auto" w:fill="FFFFFF"/>
          </w:tcPr>
          <w:p w14:paraId="0CF361DC">
            <w:r>
              <w:rPr>
                <w:rFonts w:ascii="Calibri" w:hAnsi="Calibri"/>
                <w:color w:val="2D3748"/>
                <w:sz w:val="18"/>
              </w:rPr>
              <w:t>Handle critical value</w:t>
            </w:r>
          </w:p>
        </w:tc>
        <w:tc>
          <w:tcPr>
            <w:tcW w:w="1612" w:type="dxa"/>
            <w:shd w:val="clear" w:color="auto" w:fill="FFFFFF"/>
          </w:tcPr>
          <w:p w14:paraId="231EEFE5">
            <w:r>
              <w:rPr>
                <w:rFonts w:ascii="Calibri" w:hAnsi="Calibri"/>
                <w:color w:val="2D3748"/>
                <w:sz w:val="18"/>
              </w:rPr>
              <w:t>L5 Technician</w:t>
            </w:r>
          </w:p>
        </w:tc>
        <w:tc>
          <w:tcPr>
            <w:tcW w:w="4421" w:type="dxa"/>
            <w:shd w:val="clear" w:color="auto" w:fill="FFFFFF"/>
          </w:tcPr>
          <w:p w14:paraId="48A2CF31">
            <w:r>
              <w:rPr>
                <w:rFonts w:ascii="Calibri" w:hAnsi="Calibri"/>
                <w:color w:val="2D3748"/>
                <w:sz w:val="18"/>
              </w:rPr>
              <w:t>Result flagged critical → Immediate alert to ordering doctor → Phone confirmation required → Logged</w:t>
            </w:r>
          </w:p>
        </w:tc>
      </w:tr>
      <w:tr w14:paraId="4CD23098">
        <w:trPr>
          <w:jc w:val="center"/>
        </w:trPr>
        <w:tc>
          <w:tcPr>
            <w:tcW w:w="1246" w:type="dxa"/>
            <w:shd w:val="clear" w:color="auto" w:fill="F7F9FC"/>
          </w:tcPr>
          <w:p w14:paraId="28923814">
            <w:r>
              <w:rPr>
                <w:rFonts w:ascii="Calibri" w:hAnsi="Calibri"/>
                <w:color w:val="2D3748"/>
                <w:sz w:val="18"/>
              </w:rPr>
              <w:t>UC-M03-03</w:t>
            </w:r>
          </w:p>
        </w:tc>
        <w:tc>
          <w:tcPr>
            <w:tcW w:w="2041" w:type="dxa"/>
            <w:shd w:val="clear" w:color="auto" w:fill="F7F9FC"/>
          </w:tcPr>
          <w:p w14:paraId="5C4C2816">
            <w:r>
              <w:rPr>
                <w:rFonts w:ascii="Calibri" w:hAnsi="Calibri"/>
                <w:color w:val="2D3748"/>
                <w:sz w:val="18"/>
              </w:rPr>
              <w:t>Reject invalid sample</w:t>
            </w:r>
          </w:p>
        </w:tc>
        <w:tc>
          <w:tcPr>
            <w:tcW w:w="1612" w:type="dxa"/>
            <w:shd w:val="clear" w:color="auto" w:fill="F7F9FC"/>
          </w:tcPr>
          <w:p w14:paraId="7E8A07D7">
            <w:r>
              <w:rPr>
                <w:rFonts w:ascii="Calibri" w:hAnsi="Calibri"/>
                <w:color w:val="2D3748"/>
                <w:sz w:val="18"/>
              </w:rPr>
              <w:t>L5 Technician</w:t>
            </w:r>
          </w:p>
        </w:tc>
        <w:tc>
          <w:tcPr>
            <w:tcW w:w="4421" w:type="dxa"/>
            <w:shd w:val="clear" w:color="auto" w:fill="F7F9FC"/>
          </w:tcPr>
          <w:p w14:paraId="31EA818E">
            <w:r>
              <w:rPr>
                <w:rFonts w:ascii="Calibri" w:hAnsi="Calibri"/>
                <w:color w:val="2D3748"/>
                <w:sz w:val="18"/>
              </w:rPr>
              <w:t>Identify hemolyzed/clotted sample → Reject with reason → Re-collection order auto-generated → Patient notified</w:t>
            </w:r>
          </w:p>
        </w:tc>
      </w:tr>
      <w:tr w14:paraId="1296E965">
        <w:trPr>
          <w:jc w:val="center"/>
        </w:trPr>
        <w:tc>
          <w:tcPr>
            <w:tcW w:w="1246" w:type="dxa"/>
            <w:shd w:val="clear" w:color="auto" w:fill="FFFFFF"/>
          </w:tcPr>
          <w:p w14:paraId="3C865193">
            <w:r>
              <w:rPr>
                <w:rFonts w:ascii="Calibri" w:hAnsi="Calibri"/>
                <w:color w:val="2D3748"/>
                <w:sz w:val="18"/>
              </w:rPr>
              <w:t>UC-M03-04</w:t>
            </w:r>
          </w:p>
        </w:tc>
        <w:tc>
          <w:tcPr>
            <w:tcW w:w="2041" w:type="dxa"/>
            <w:shd w:val="clear" w:color="auto" w:fill="FFFFFF"/>
          </w:tcPr>
          <w:p w14:paraId="4E939E37">
            <w:r>
              <w:rPr>
                <w:rFonts w:ascii="Calibri" w:hAnsi="Calibri"/>
                <w:color w:val="2D3748"/>
                <w:sz w:val="18"/>
              </w:rPr>
              <w:t>STAT priority processing</w:t>
            </w:r>
          </w:p>
        </w:tc>
        <w:tc>
          <w:tcPr>
            <w:tcW w:w="1612" w:type="dxa"/>
            <w:shd w:val="clear" w:color="auto" w:fill="FFFFFF"/>
          </w:tcPr>
          <w:p w14:paraId="3564B50B">
            <w:r>
              <w:rPr>
                <w:rFonts w:ascii="Calibri" w:hAnsi="Calibri"/>
                <w:color w:val="2D3748"/>
                <w:sz w:val="18"/>
              </w:rPr>
              <w:t>L4 Lab HOD</w:t>
            </w:r>
          </w:p>
        </w:tc>
        <w:tc>
          <w:tcPr>
            <w:tcW w:w="4421" w:type="dxa"/>
            <w:shd w:val="clear" w:color="auto" w:fill="FFFFFF"/>
          </w:tcPr>
          <w:p w14:paraId="15F8ACBC">
            <w:r>
              <w:rPr>
                <w:rFonts w:ascii="Calibri" w:hAnsi="Calibri"/>
                <w:color w:val="2D3748"/>
                <w:sz w:val="18"/>
              </w:rPr>
              <w:t>Override queue priority → Assign dedicated resource → TAT target: 1 hour → Escalation if breached</w:t>
            </w:r>
          </w:p>
        </w:tc>
      </w:tr>
    </w:tbl>
    <w:p w14:paraId="3984E07F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20"/>
        <w:gridCol w:w="2880"/>
        <w:gridCol w:w="2880"/>
      </w:tblGrid>
      <w:tr w14:paraId="25E736ED">
        <w:trPr>
          <w:jc w:val="center"/>
        </w:trPr>
        <w:tc>
          <w:tcPr>
            <w:tcW w:w="3420" w:type="dxa"/>
            <w:shd w:val="clear" w:color="auto" w:fill="1B3A5C"/>
          </w:tcPr>
          <w:p w14:paraId="1F37782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6CEE702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7553DC6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4EF0B874">
        <w:trPr>
          <w:jc w:val="center"/>
        </w:trPr>
        <w:tc>
          <w:tcPr>
            <w:tcW w:w="3420" w:type="dxa"/>
            <w:shd w:val="clear" w:color="auto" w:fill="F7F9FC"/>
          </w:tcPr>
          <w:p w14:paraId="2F7ED83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Sample barcode unreadable</w:t>
            </w:r>
          </w:p>
        </w:tc>
        <w:tc>
          <w:tcPr>
            <w:tcW w:w="2880" w:type="dxa"/>
            <w:shd w:val="clear" w:color="auto" w:fill="F7F9FC"/>
          </w:tcPr>
          <w:p w14:paraId="2F9BBB6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Manual entry with patient verification; flag for barcode printer maintenance</w:t>
            </w:r>
          </w:p>
        </w:tc>
        <w:tc>
          <w:tcPr>
            <w:tcW w:w="2880" w:type="dxa"/>
            <w:shd w:val="clear" w:color="auto" w:fill="F7F9FC"/>
          </w:tcPr>
          <w:p w14:paraId="7F02144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190B789E">
        <w:trPr>
          <w:jc w:val="center"/>
        </w:trPr>
        <w:tc>
          <w:tcPr>
            <w:tcW w:w="3420" w:type="dxa"/>
            <w:shd w:val="clear" w:color="auto" w:fill="FFFFFF"/>
          </w:tcPr>
          <w:p w14:paraId="239CBFF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Result outside instrument range</w:t>
            </w:r>
          </w:p>
        </w:tc>
        <w:tc>
          <w:tcPr>
            <w:tcW w:w="2880" w:type="dxa"/>
            <w:shd w:val="clear" w:color="auto" w:fill="FFFFFF"/>
          </w:tcPr>
          <w:p w14:paraId="3396D1E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Auto-flag for manual verification; dilution protocol suggested</w:t>
            </w:r>
          </w:p>
        </w:tc>
        <w:tc>
          <w:tcPr>
            <w:tcW w:w="2880" w:type="dxa"/>
            <w:shd w:val="clear" w:color="auto" w:fill="FFFFFF"/>
          </w:tcPr>
          <w:p w14:paraId="6E4F125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P1</w:t>
            </w:r>
          </w:p>
        </w:tc>
      </w:tr>
      <w:tr w14:paraId="4AD45899">
        <w:trPr>
          <w:jc w:val="center"/>
        </w:trPr>
        <w:tc>
          <w:tcPr>
            <w:tcW w:w="3420" w:type="dxa"/>
            <w:shd w:val="clear" w:color="auto" w:fill="F7F9FC"/>
          </w:tcPr>
          <w:p w14:paraId="408D84E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Pathologist rejects result</w:t>
            </w:r>
          </w:p>
        </w:tc>
        <w:tc>
          <w:tcPr>
            <w:tcW w:w="2880" w:type="dxa"/>
            <w:shd w:val="clear" w:color="auto" w:fill="F7F9FC"/>
          </w:tcPr>
          <w:p w14:paraId="244BD17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Re-run notification to technician; sample re-collection if needed; original result archived</w:t>
            </w:r>
          </w:p>
        </w:tc>
        <w:tc>
          <w:tcPr>
            <w:tcW w:w="2880" w:type="dxa"/>
            <w:shd w:val="clear" w:color="auto" w:fill="F7F9FC"/>
          </w:tcPr>
          <w:p w14:paraId="61DB2C8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66471224">
        <w:trPr>
          <w:jc w:val="center"/>
        </w:trPr>
        <w:tc>
          <w:tcPr>
            <w:tcW w:w="3420" w:type="dxa"/>
            <w:shd w:val="clear" w:color="auto" w:fill="FFFFFF"/>
          </w:tcPr>
          <w:p w14:paraId="2754369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TAT SLA breach</w:t>
            </w:r>
          </w:p>
        </w:tc>
        <w:tc>
          <w:tcPr>
            <w:tcW w:w="2880" w:type="dxa"/>
            <w:shd w:val="clear" w:color="auto" w:fill="FFFFFF"/>
          </w:tcPr>
          <w:p w14:paraId="79AF3B5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Auto-escalation to Lab HOD; reason code mandatory; KPI impact recorded</w:t>
            </w:r>
          </w:p>
        </w:tc>
        <w:tc>
          <w:tcPr>
            <w:tcW w:w="2880" w:type="dxa"/>
            <w:shd w:val="clear" w:color="auto" w:fill="FFFFFF"/>
          </w:tcPr>
          <w:p w14:paraId="338C558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2FC93092">
        <w:trPr>
          <w:jc w:val="center"/>
        </w:trPr>
        <w:tc>
          <w:tcPr>
            <w:tcW w:w="3420" w:type="dxa"/>
            <w:shd w:val="clear" w:color="auto" w:fill="F7F9FC"/>
          </w:tcPr>
          <w:p w14:paraId="2AFAC22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FHIR export failure for ABHA patient</w:t>
            </w:r>
          </w:p>
        </w:tc>
        <w:tc>
          <w:tcPr>
            <w:tcW w:w="2880" w:type="dxa"/>
            <w:shd w:val="clear" w:color="auto" w:fill="F7F9FC"/>
          </w:tcPr>
          <w:p w14:paraId="01C6B9D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Queue for retry; manual ABDM push option; patient notified of delay</w:t>
            </w:r>
          </w:p>
        </w:tc>
        <w:tc>
          <w:tcPr>
            <w:tcW w:w="2880" w:type="dxa"/>
            <w:shd w:val="clear" w:color="auto" w:fill="F7F9FC"/>
          </w:tcPr>
          <w:p w14:paraId="43DB953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P3</w:t>
            </w:r>
          </w:p>
        </w:tc>
      </w:tr>
      <w:tr w14:paraId="40591D15">
        <w:trPr>
          <w:jc w:val="center"/>
        </w:trPr>
        <w:tc>
          <w:tcPr>
            <w:tcW w:w="3420" w:type="dxa"/>
            <w:shd w:val="clear" w:color="auto" w:fill="FFFFFF"/>
          </w:tcPr>
          <w:p w14:paraId="4C2C5B8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Instrument interface timeout</w:t>
            </w:r>
          </w:p>
        </w:tc>
        <w:tc>
          <w:tcPr>
            <w:tcW w:w="2880" w:type="dxa"/>
            <w:shd w:val="clear" w:color="auto" w:fill="FFFFFF"/>
          </w:tcPr>
          <w:p w14:paraId="0E35D9D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Manual result entry fallback; instrument health check triggered</w:t>
            </w:r>
          </w:p>
        </w:tc>
        <w:tc>
          <w:tcPr>
            <w:tcW w:w="2880" w:type="dxa"/>
            <w:shd w:val="clear" w:color="auto" w:fill="FFFFFF"/>
          </w:tcPr>
          <w:p w14:paraId="356CED4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63CBC22E">
        <w:trPr>
          <w:jc w:val="center"/>
        </w:trPr>
        <w:tc>
          <w:tcPr>
            <w:tcW w:w="3420" w:type="dxa"/>
            <w:shd w:val="clear" w:color="auto" w:fill="F7F9FC"/>
          </w:tcPr>
          <w:p w14:paraId="4CB2424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Duplicate lab order for same test</w:t>
            </w:r>
          </w:p>
        </w:tc>
        <w:tc>
          <w:tcPr>
            <w:tcW w:w="2880" w:type="dxa"/>
            <w:shd w:val="clear" w:color="auto" w:fill="F7F9FC"/>
          </w:tcPr>
          <w:p w14:paraId="6FCA162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Alert ordering doctor; require confirmation if within 24h window</w:t>
            </w:r>
          </w:p>
        </w:tc>
        <w:tc>
          <w:tcPr>
            <w:tcW w:w="2880" w:type="dxa"/>
            <w:shd w:val="clear" w:color="auto" w:fill="F7F9FC"/>
          </w:tcPr>
          <w:p w14:paraId="733D70A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</w:tbl>
    <w:p w14:paraId="3F39B182">
      <w:r>
        <w:br w:type="page"/>
      </w:r>
    </w:p>
    <w:p w14:paraId="2BBA62A4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4.04 M04 — Finance &amp; Billing</w:t>
      </w:r>
    </w:p>
    <w:p w14:paraId="18B4E59B">
      <w:pPr>
        <w:shd w:val="clear"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Revenue backbone aggregating charges from OPD, Pharmacy, Lab, and IPD. Handles TPA/insurance claims, GST-compliant invoicing, payment collection, day-end reconciliation, and financial dashboards.</w:t>
      </w:r>
    </w:p>
    <w:p w14:paraId="325416AD">
      <w:pPr>
        <w:pStyle w:val="4"/>
      </w:pPr>
      <w:r>
        <w:rPr>
          <w:rFonts w:ascii="Calibri" w:hAnsi="Calibri"/>
          <w:b/>
          <w:color w:val="2D3748"/>
          <w:sz w:val="24"/>
        </w:rPr>
        <w:t>Screens (6)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16"/>
        <w:gridCol w:w="2510"/>
        <w:gridCol w:w="5220"/>
      </w:tblGrid>
      <w:tr w14:paraId="50D1050B">
        <w:trPr>
          <w:jc w:val="center"/>
        </w:trPr>
        <w:tc>
          <w:tcPr>
            <w:tcW w:w="2160" w:type="dxa"/>
            <w:shd w:val="clear" w:color="auto" w:fill="1B3A5C"/>
          </w:tcPr>
          <w:p w14:paraId="1CA6A56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322059B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6FB3679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5F914D50">
        <w:trPr>
          <w:jc w:val="center"/>
        </w:trPr>
        <w:tc>
          <w:tcPr>
            <w:tcW w:w="2160" w:type="dxa"/>
            <w:shd w:val="clear" w:color="auto" w:fill="F7F9FC"/>
          </w:tcPr>
          <w:p w14:paraId="2896BC8E">
            <w:r>
              <w:rPr>
                <w:rFonts w:ascii="Calibri" w:hAnsi="Calibri"/>
                <w:color w:val="2D3748"/>
                <w:sz w:val="18"/>
              </w:rPr>
              <w:t>Patient Bill</w:t>
            </w:r>
          </w:p>
        </w:tc>
        <w:tc>
          <w:tcPr>
            <w:tcW w:w="2880" w:type="dxa"/>
            <w:shd w:val="clear" w:color="auto" w:fill="F7F9FC"/>
          </w:tcPr>
          <w:p w14:paraId="0AF7AC2D">
            <w:r>
              <w:rPr>
                <w:rFonts w:ascii="Calibri" w:hAnsi="Calibri"/>
                <w:color w:val="2D3748"/>
                <w:sz w:val="18"/>
              </w:rPr>
              <w:t>Consolidated itemised bill from all departments</w:t>
            </w:r>
          </w:p>
        </w:tc>
        <w:tc>
          <w:tcPr>
            <w:tcW w:w="5760" w:type="dxa"/>
            <w:shd w:val="clear" w:color="auto" w:fill="F7F9FC"/>
          </w:tcPr>
          <w:p w14:paraId="3C242A32">
            <w:r>
              <w:rPr>
                <w:rFonts w:ascii="Calibri" w:hAnsi="Calibri"/>
                <w:color w:val="2D3748"/>
                <w:sz w:val="18"/>
              </w:rPr>
              <w:t>UHID, Consultation charges, Drug charges, Lab charges, IPD charges, Discounts, Tax, Grand Total</w:t>
            </w:r>
          </w:p>
        </w:tc>
      </w:tr>
      <w:tr w14:paraId="371E2F97">
        <w:trPr>
          <w:jc w:val="center"/>
        </w:trPr>
        <w:tc>
          <w:tcPr>
            <w:tcW w:w="2160" w:type="dxa"/>
            <w:shd w:val="clear" w:color="auto" w:fill="FFFFFF"/>
          </w:tcPr>
          <w:p w14:paraId="268E1F63">
            <w:r>
              <w:rPr>
                <w:rFonts w:ascii="Calibri" w:hAnsi="Calibri"/>
                <w:color w:val="2D3748"/>
                <w:sz w:val="18"/>
              </w:rPr>
              <w:t>Payment Collection</w:t>
            </w:r>
          </w:p>
        </w:tc>
        <w:tc>
          <w:tcPr>
            <w:tcW w:w="2880" w:type="dxa"/>
            <w:shd w:val="clear" w:color="auto" w:fill="FFFFFF"/>
          </w:tcPr>
          <w:p w14:paraId="61D6AC13">
            <w:r>
              <w:rPr>
                <w:rFonts w:ascii="Calibri" w:hAnsi="Calibri"/>
                <w:color w:val="2D3748"/>
                <w:sz w:val="18"/>
              </w:rPr>
              <w:t>Multi-mode payment processing</w:t>
            </w:r>
          </w:p>
        </w:tc>
        <w:tc>
          <w:tcPr>
            <w:tcW w:w="5760" w:type="dxa"/>
            <w:shd w:val="clear" w:color="auto" w:fill="FFFFFF"/>
          </w:tcPr>
          <w:p w14:paraId="77361CC3">
            <w:r>
              <w:rPr>
                <w:rFonts w:ascii="Calibri" w:hAnsi="Calibri"/>
                <w:color w:val="2D3748"/>
                <w:sz w:val="18"/>
              </w:rPr>
              <w:t>Bill reference, Payment mode (Cash/Card/UPI/NEFT/Cheque), Amount, Receipt generation, Partial payment tracking</w:t>
            </w:r>
          </w:p>
        </w:tc>
      </w:tr>
      <w:tr w14:paraId="6FE45CFB">
        <w:trPr>
          <w:jc w:val="center"/>
        </w:trPr>
        <w:tc>
          <w:tcPr>
            <w:tcW w:w="2160" w:type="dxa"/>
            <w:shd w:val="clear" w:color="auto" w:fill="F7F9FC"/>
          </w:tcPr>
          <w:p w14:paraId="2848D5B9">
            <w:r>
              <w:rPr>
                <w:rFonts w:ascii="Calibri" w:hAnsi="Calibri"/>
                <w:color w:val="2D3748"/>
                <w:sz w:val="18"/>
              </w:rPr>
              <w:t>TPA Insurance</w:t>
            </w:r>
          </w:p>
        </w:tc>
        <w:tc>
          <w:tcPr>
            <w:tcW w:w="2880" w:type="dxa"/>
            <w:shd w:val="clear" w:color="auto" w:fill="F7F9FC"/>
          </w:tcPr>
          <w:p w14:paraId="4B7DE45C">
            <w:r>
              <w:rPr>
                <w:rFonts w:ascii="Calibri" w:hAnsi="Calibri"/>
                <w:color w:val="2D3748"/>
                <w:sz w:val="18"/>
              </w:rPr>
              <w:t>Third-party administrator claim management</w:t>
            </w:r>
          </w:p>
        </w:tc>
        <w:tc>
          <w:tcPr>
            <w:tcW w:w="5760" w:type="dxa"/>
            <w:shd w:val="clear" w:color="auto" w:fill="F7F9FC"/>
          </w:tcPr>
          <w:p w14:paraId="7EBEB00F">
            <w:r>
              <w:rPr>
                <w:rFonts w:ascii="Calibri" w:hAnsi="Calibri"/>
                <w:color w:val="2D3748"/>
                <w:sz w:val="18"/>
              </w:rPr>
              <w:t>Insurance provider, Policy no, Pre-auth amount, Claim amount, Status (Submitted/Approved/Rejected/Settled), TAT</w:t>
            </w:r>
          </w:p>
        </w:tc>
      </w:tr>
      <w:tr w14:paraId="192F5570">
        <w:trPr>
          <w:jc w:val="center"/>
        </w:trPr>
        <w:tc>
          <w:tcPr>
            <w:tcW w:w="2160" w:type="dxa"/>
            <w:shd w:val="clear" w:color="auto" w:fill="FFFFFF"/>
          </w:tcPr>
          <w:p w14:paraId="2A79F47D">
            <w:r>
              <w:rPr>
                <w:rFonts w:ascii="Calibri" w:hAnsi="Calibri"/>
                <w:color w:val="2D3748"/>
                <w:sz w:val="18"/>
              </w:rPr>
              <w:t>GST Invoice</w:t>
            </w:r>
          </w:p>
        </w:tc>
        <w:tc>
          <w:tcPr>
            <w:tcW w:w="2880" w:type="dxa"/>
            <w:shd w:val="clear" w:color="auto" w:fill="FFFFFF"/>
          </w:tcPr>
          <w:p w14:paraId="20994D54">
            <w:r>
              <w:rPr>
                <w:rFonts w:ascii="Calibri" w:hAnsi="Calibri"/>
                <w:color w:val="2D3748"/>
                <w:sz w:val="18"/>
              </w:rPr>
              <w:t>Tax-compliant invoice generation</w:t>
            </w:r>
          </w:p>
        </w:tc>
        <w:tc>
          <w:tcPr>
            <w:tcW w:w="5760" w:type="dxa"/>
            <w:shd w:val="clear" w:color="auto" w:fill="FFFFFF"/>
          </w:tcPr>
          <w:p w14:paraId="522711EF">
            <w:r>
              <w:rPr>
                <w:rFonts w:ascii="Calibri" w:hAnsi="Calibri"/>
                <w:color w:val="2D3748"/>
                <w:sz w:val="18"/>
              </w:rPr>
              <w:t>GSTIN, HSN codes, Taxable amount, CGST, SGST, IGST, Invoice number sequence, E-invoice integration ready</w:t>
            </w:r>
          </w:p>
        </w:tc>
      </w:tr>
      <w:tr w14:paraId="43A80EB0">
        <w:trPr>
          <w:jc w:val="center"/>
        </w:trPr>
        <w:tc>
          <w:tcPr>
            <w:tcW w:w="2160" w:type="dxa"/>
            <w:shd w:val="clear" w:color="auto" w:fill="F7F9FC"/>
          </w:tcPr>
          <w:p w14:paraId="3C674F42">
            <w:r>
              <w:rPr>
                <w:rFonts w:ascii="Calibri" w:hAnsi="Calibri"/>
                <w:color w:val="2D3748"/>
                <w:sz w:val="18"/>
              </w:rPr>
              <w:t>Day-End Close</w:t>
            </w:r>
          </w:p>
        </w:tc>
        <w:tc>
          <w:tcPr>
            <w:tcW w:w="2880" w:type="dxa"/>
            <w:shd w:val="clear" w:color="auto" w:fill="F7F9FC"/>
          </w:tcPr>
          <w:p w14:paraId="09E20F09">
            <w:r>
              <w:rPr>
                <w:rFonts w:ascii="Calibri" w:hAnsi="Calibri"/>
                <w:color w:val="2D3748"/>
                <w:sz w:val="18"/>
              </w:rPr>
              <w:t>Shift-wise cash reconciliation</w:t>
            </w:r>
          </w:p>
        </w:tc>
        <w:tc>
          <w:tcPr>
            <w:tcW w:w="5760" w:type="dxa"/>
            <w:shd w:val="clear" w:color="auto" w:fill="F7F9FC"/>
          </w:tcPr>
          <w:p w14:paraId="2D9D984A">
            <w:r>
              <w:rPr>
                <w:rFonts w:ascii="Calibri" w:hAnsi="Calibri"/>
                <w:color w:val="2D3748"/>
                <w:sz w:val="18"/>
              </w:rPr>
              <w:t>Shift, Cashier, Expected amount, Actual collected, Variance, UPI settlements, Card settlements, Sign-off</w:t>
            </w:r>
          </w:p>
        </w:tc>
      </w:tr>
      <w:tr w14:paraId="0FC4F2F8">
        <w:trPr>
          <w:jc w:val="center"/>
        </w:trPr>
        <w:tc>
          <w:tcPr>
            <w:tcW w:w="2160" w:type="dxa"/>
            <w:shd w:val="clear" w:color="auto" w:fill="FFFFFF"/>
          </w:tcPr>
          <w:p w14:paraId="4692E762">
            <w:r>
              <w:rPr>
                <w:rFonts w:ascii="Calibri" w:hAnsi="Calibri"/>
                <w:color w:val="2D3748"/>
                <w:sz w:val="18"/>
              </w:rPr>
              <w:t>Revenue Dashboard</w:t>
            </w:r>
          </w:p>
        </w:tc>
        <w:tc>
          <w:tcPr>
            <w:tcW w:w="2880" w:type="dxa"/>
            <w:shd w:val="clear" w:color="auto" w:fill="FFFFFF"/>
          </w:tcPr>
          <w:p w14:paraId="44B79FC7">
            <w:r>
              <w:rPr>
                <w:rFonts w:ascii="Calibri" w:hAnsi="Calibri"/>
                <w:color w:val="2D3748"/>
                <w:sz w:val="18"/>
              </w:rPr>
              <w:t>Real-time financial analytics</w:t>
            </w:r>
          </w:p>
        </w:tc>
        <w:tc>
          <w:tcPr>
            <w:tcW w:w="5760" w:type="dxa"/>
            <w:shd w:val="clear" w:color="auto" w:fill="FFFFFF"/>
          </w:tcPr>
          <w:p w14:paraId="5764BB1A">
            <w:r>
              <w:rPr>
                <w:rFonts w:ascii="Calibri" w:hAnsi="Calibri"/>
                <w:color w:val="2D3748"/>
                <w:sz w:val="18"/>
              </w:rPr>
              <w:t>Revenue by dept/branch, Collection ratio, Outstanding, TPA pending, Day/Week/Month trends, Comparative analysis</w:t>
            </w:r>
          </w:p>
        </w:tc>
      </w:tr>
    </w:tbl>
    <w:p w14:paraId="2853E9E7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1652C96A">
      <w:pPr>
        <w:pStyle w:val="23"/>
      </w:pPr>
      <w:r>
        <w:rPr>
          <w:rFonts w:ascii="Calibri" w:hAnsi="Calibri"/>
          <w:b/>
          <w:sz w:val="20"/>
        </w:rPr>
        <w:t xml:space="preserve">PatientBill: </w:t>
      </w:r>
      <w:r>
        <w:rPr>
          <w:rFonts w:ascii="Calibri" w:hAnsi="Calibri"/>
          <w:color w:val="2D3748"/>
          <w:sz w:val="20"/>
        </w:rPr>
        <w:t>id, patientId, visitId, lineItems[{source, description, amount, taxCode}], discount, tax{cgst, sgst}, grandTotal, status</w:t>
      </w:r>
    </w:p>
    <w:p w14:paraId="7C645187">
      <w:pPr>
        <w:pStyle w:val="23"/>
      </w:pPr>
      <w:r>
        <w:rPr>
          <w:rFonts w:ascii="Calibri" w:hAnsi="Calibri"/>
          <w:b/>
          <w:sz w:val="20"/>
        </w:rPr>
        <w:t xml:space="preserve">Payment: </w:t>
      </w:r>
      <w:r>
        <w:rPr>
          <w:rFonts w:ascii="Calibri" w:hAnsi="Calibri"/>
          <w:color w:val="2D3748"/>
          <w:sz w:val="20"/>
        </w:rPr>
        <w:t>id, billId, mode, amount, reference, collectedBy, receiptUrl, timestamp</w:t>
      </w:r>
    </w:p>
    <w:p w14:paraId="4D4FB3B9">
      <w:pPr>
        <w:pStyle w:val="23"/>
      </w:pPr>
      <w:r>
        <w:rPr>
          <w:rFonts w:ascii="Calibri" w:hAnsi="Calibri"/>
          <w:b/>
          <w:sz w:val="20"/>
        </w:rPr>
        <w:t xml:space="preserve">TPAClaim: </w:t>
      </w:r>
      <w:r>
        <w:rPr>
          <w:rFonts w:ascii="Calibri" w:hAnsi="Calibri"/>
          <w:color w:val="2D3748"/>
          <w:sz w:val="20"/>
        </w:rPr>
        <w:t>id, billId, insurerId, policyNo, preAuthAmt, claimedAmt, approvedAmt, status, submittedAt, settledAt</w:t>
      </w:r>
    </w:p>
    <w:p w14:paraId="4C45B2F4">
      <w:pPr>
        <w:pStyle w:val="23"/>
      </w:pPr>
      <w:r>
        <w:rPr>
          <w:rFonts w:ascii="Calibri" w:hAnsi="Calibri"/>
          <w:b/>
          <w:sz w:val="20"/>
        </w:rPr>
        <w:t xml:space="preserve">DayClose: </w:t>
      </w:r>
      <w:r>
        <w:rPr>
          <w:rFonts w:ascii="Calibri" w:hAnsi="Calibri"/>
          <w:color w:val="2D3748"/>
          <w:sz w:val="20"/>
        </w:rPr>
        <w:t>id, branchId, shiftId, cashierId, expectedAmt, actualAmt, variance, signedOffBy, closedAt</w:t>
      </w:r>
    </w:p>
    <w:p w14:paraId="59BC70D9">
      <w:pPr>
        <w:pStyle w:val="23"/>
      </w:pPr>
      <w:r>
        <w:rPr>
          <w:rFonts w:ascii="Calibri" w:hAnsi="Calibri"/>
          <w:b/>
          <w:sz w:val="20"/>
        </w:rPr>
        <w:t xml:space="preserve">GSTInvoice: </w:t>
      </w:r>
      <w:r>
        <w:rPr>
          <w:rFonts w:ascii="Calibri" w:hAnsi="Calibri"/>
          <w:color w:val="2D3748"/>
          <w:sz w:val="20"/>
        </w:rPr>
        <w:t>id, billId, gstin, hsnCodes[], taxableAmt, cgst, sgst, igst, invoiceNo, eInvoiceIRN</w:t>
      </w:r>
    </w:p>
    <w:p w14:paraId="7704AA6A">
      <w:pPr>
        <w:pStyle w:val="4"/>
        <w:rPr>
          <w:rFonts w:ascii="Calibri" w:hAnsi="Calibri"/>
          <w:b/>
          <w:color w:val="2D3748"/>
          <w:sz w:val="24"/>
        </w:rPr>
      </w:pPr>
    </w:p>
    <w:p w14:paraId="0AFE5876">
      <w:pPr>
        <w:rPr>
          <w:rFonts w:ascii="Calibri" w:hAnsi="Calibri"/>
          <w:b/>
          <w:color w:val="2D3748"/>
          <w:sz w:val="24"/>
        </w:rPr>
      </w:pPr>
    </w:p>
    <w:p w14:paraId="3D90BE4A">
      <w:pPr>
        <w:rPr>
          <w:rFonts w:ascii="Calibri" w:hAnsi="Calibri"/>
          <w:b/>
          <w:color w:val="2D3748"/>
          <w:sz w:val="24"/>
        </w:rPr>
      </w:pPr>
    </w:p>
    <w:p w14:paraId="08999A2C">
      <w:pPr>
        <w:rPr>
          <w:rFonts w:ascii="Calibri" w:hAnsi="Calibri"/>
          <w:b/>
          <w:color w:val="2D3748"/>
          <w:sz w:val="24"/>
        </w:rPr>
      </w:pPr>
    </w:p>
    <w:p w14:paraId="66354F9A">
      <w:pPr>
        <w:pStyle w:val="4"/>
      </w:pPr>
      <w:r>
        <w:rPr>
          <w:rFonts w:ascii="Calibri" w:hAnsi="Calibri"/>
          <w:b/>
          <w:color w:val="2D3748"/>
          <w:sz w:val="24"/>
        </w:rPr>
        <w:t>Use Cases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68"/>
        <w:gridCol w:w="2608"/>
        <w:gridCol w:w="1575"/>
        <w:gridCol w:w="4395"/>
      </w:tblGrid>
      <w:tr w14:paraId="5325110E">
        <w:trPr>
          <w:jc w:val="center"/>
        </w:trPr>
        <w:tc>
          <w:tcPr>
            <w:tcW w:w="1152" w:type="dxa"/>
            <w:shd w:val="clear" w:color="auto" w:fill="1B3A5C"/>
          </w:tcPr>
          <w:p w14:paraId="0B3C271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w="2880" w:type="dxa"/>
            <w:shd w:val="clear" w:color="auto" w:fill="1B3A5C"/>
          </w:tcPr>
          <w:p w14:paraId="79275C4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w="1728" w:type="dxa"/>
            <w:shd w:val="clear" w:color="auto" w:fill="1B3A5C"/>
          </w:tcPr>
          <w:p w14:paraId="13A9BEE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w="5040" w:type="dxa"/>
            <w:shd w:val="clear" w:color="auto" w:fill="1B3A5C"/>
          </w:tcPr>
          <w:p w14:paraId="6462AEB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 w14:paraId="1B359B7A">
        <w:trPr>
          <w:jc w:val="center"/>
        </w:trPr>
        <w:tc>
          <w:tcPr>
            <w:tcW w:w="1152" w:type="dxa"/>
            <w:shd w:val="clear" w:color="auto" w:fill="F7F9FC"/>
          </w:tcPr>
          <w:p w14:paraId="2FB34ABA">
            <w:r>
              <w:rPr>
                <w:rFonts w:ascii="Calibri" w:hAnsi="Calibri"/>
                <w:color w:val="2D3748"/>
                <w:sz w:val="18"/>
              </w:rPr>
              <w:t>UC-M04-01</w:t>
            </w:r>
          </w:p>
        </w:tc>
        <w:tc>
          <w:tcPr>
            <w:tcW w:w="2880" w:type="dxa"/>
            <w:shd w:val="clear" w:color="auto" w:fill="F7F9FC"/>
          </w:tcPr>
          <w:p w14:paraId="2F10E9CE">
            <w:r>
              <w:rPr>
                <w:rFonts w:ascii="Calibri" w:hAnsi="Calibri"/>
                <w:color w:val="2D3748"/>
                <w:sz w:val="18"/>
              </w:rPr>
              <w:t>Auto-capture OPD charges</w:t>
            </w:r>
          </w:p>
        </w:tc>
        <w:tc>
          <w:tcPr>
            <w:tcW w:w="1728" w:type="dxa"/>
            <w:shd w:val="clear" w:color="auto" w:fill="F7F9FC"/>
          </w:tcPr>
          <w:p w14:paraId="738554DD">
            <w:r>
              <w:rPr>
                <w:rFonts w:ascii="Calibri" w:hAnsi="Calibri"/>
                <w:color w:val="2D3748"/>
                <w:sz w:val="18"/>
              </w:rPr>
              <w:t>System</w:t>
            </w:r>
          </w:p>
        </w:tc>
        <w:tc>
          <w:tcPr>
            <w:tcW w:w="5040" w:type="dxa"/>
            <w:shd w:val="clear" w:color="auto" w:fill="F7F9FC"/>
          </w:tcPr>
          <w:p w14:paraId="0D957F88">
            <w:r>
              <w:rPr>
                <w:rFonts w:ascii="Calibri" w:hAnsi="Calibri"/>
                <w:color w:val="2D3748"/>
                <w:sz w:val="18"/>
              </w:rPr>
              <w:t>Consultation complete → Kafka event → Finance creates line item → Added to patient bill automatically</w:t>
            </w:r>
          </w:p>
        </w:tc>
      </w:tr>
      <w:tr w14:paraId="01EDE094">
        <w:trPr>
          <w:jc w:val="center"/>
        </w:trPr>
        <w:tc>
          <w:tcPr>
            <w:tcW w:w="1152" w:type="dxa"/>
            <w:shd w:val="clear" w:color="auto" w:fill="FFFFFF"/>
          </w:tcPr>
          <w:p w14:paraId="0F8BE38A">
            <w:r>
              <w:rPr>
                <w:rFonts w:ascii="Calibri" w:hAnsi="Calibri"/>
                <w:color w:val="2D3748"/>
                <w:sz w:val="18"/>
              </w:rPr>
              <w:t>UC-M04-02</w:t>
            </w:r>
          </w:p>
        </w:tc>
        <w:tc>
          <w:tcPr>
            <w:tcW w:w="2880" w:type="dxa"/>
            <w:shd w:val="clear" w:color="auto" w:fill="FFFFFF"/>
          </w:tcPr>
          <w:p w14:paraId="77D49033">
            <w:r>
              <w:rPr>
                <w:rFonts w:ascii="Calibri" w:hAnsi="Calibri"/>
                <w:color w:val="2D3748"/>
                <w:sz w:val="18"/>
              </w:rPr>
              <w:t>Process TPA pre-authorization</w:t>
            </w:r>
          </w:p>
        </w:tc>
        <w:tc>
          <w:tcPr>
            <w:tcW w:w="1728" w:type="dxa"/>
            <w:shd w:val="clear" w:color="auto" w:fill="FFFFFF"/>
          </w:tcPr>
          <w:p w14:paraId="405B0732">
            <w:r>
              <w:rPr>
                <w:rFonts w:ascii="Calibri" w:hAnsi="Calibri"/>
                <w:color w:val="2D3748"/>
                <w:sz w:val="18"/>
              </w:rPr>
              <w:t>L5 Billing Staff</w:t>
            </w:r>
          </w:p>
        </w:tc>
        <w:tc>
          <w:tcPr>
            <w:tcW w:w="5040" w:type="dxa"/>
            <w:shd w:val="clear" w:color="auto" w:fill="FFFFFF"/>
          </w:tcPr>
          <w:p w14:paraId="0F52C265">
            <w:r>
              <w:rPr>
                <w:rFonts w:ascii="Calibri" w:hAnsi="Calibri"/>
                <w:color w:val="2D3748"/>
                <w:sz w:val="18"/>
              </w:rPr>
              <w:t>Patient presents insurance → Submit pre-auth → TPA approval (API/manual) → Approved amount applied to bill</w:t>
            </w:r>
          </w:p>
        </w:tc>
      </w:tr>
      <w:tr w14:paraId="73E9C3E0">
        <w:trPr>
          <w:jc w:val="center"/>
        </w:trPr>
        <w:tc>
          <w:tcPr>
            <w:tcW w:w="1152" w:type="dxa"/>
            <w:shd w:val="clear" w:color="auto" w:fill="F7F9FC"/>
          </w:tcPr>
          <w:p w14:paraId="72A0C807">
            <w:r>
              <w:rPr>
                <w:rFonts w:ascii="Calibri" w:hAnsi="Calibri"/>
                <w:color w:val="2D3748"/>
                <w:sz w:val="18"/>
              </w:rPr>
              <w:t>UC-M04-03</w:t>
            </w:r>
          </w:p>
        </w:tc>
        <w:tc>
          <w:tcPr>
            <w:tcW w:w="2880" w:type="dxa"/>
            <w:shd w:val="clear" w:color="auto" w:fill="F7F9FC"/>
          </w:tcPr>
          <w:p w14:paraId="317583D8">
            <w:r>
              <w:rPr>
                <w:rFonts w:ascii="Calibri" w:hAnsi="Calibri"/>
                <w:color w:val="2D3748"/>
                <w:sz w:val="18"/>
              </w:rPr>
              <w:t>Day-end cash reconciliation</w:t>
            </w:r>
          </w:p>
        </w:tc>
        <w:tc>
          <w:tcPr>
            <w:tcW w:w="1728" w:type="dxa"/>
            <w:shd w:val="clear" w:color="auto" w:fill="F7F9FC"/>
          </w:tcPr>
          <w:p w14:paraId="266EE58D">
            <w:r>
              <w:rPr>
                <w:rFonts w:ascii="Calibri" w:hAnsi="Calibri"/>
                <w:color w:val="2D3748"/>
                <w:sz w:val="18"/>
              </w:rPr>
              <w:t>L3 Branch Admin</w:t>
            </w:r>
          </w:p>
        </w:tc>
        <w:tc>
          <w:tcPr>
            <w:tcW w:w="5040" w:type="dxa"/>
            <w:shd w:val="clear" w:color="auto" w:fill="F7F9FC"/>
          </w:tcPr>
          <w:p w14:paraId="66B415ED">
            <w:r>
              <w:rPr>
                <w:rFonts w:ascii="Calibri" w:hAnsi="Calibri"/>
                <w:color w:val="2D3748"/>
                <w:sz w:val="18"/>
              </w:rPr>
              <w:t>Cashier counts cash → Enter actual amounts → System compares expected → Flag variance → Admin sign-off</w:t>
            </w:r>
          </w:p>
        </w:tc>
      </w:tr>
      <w:tr w14:paraId="3641D57B">
        <w:trPr>
          <w:jc w:val="center"/>
        </w:trPr>
        <w:tc>
          <w:tcPr>
            <w:tcW w:w="1152" w:type="dxa"/>
            <w:shd w:val="clear" w:color="auto" w:fill="FFFFFF"/>
          </w:tcPr>
          <w:p w14:paraId="28704EDA">
            <w:r>
              <w:rPr>
                <w:rFonts w:ascii="Calibri" w:hAnsi="Calibri"/>
                <w:color w:val="2D3748"/>
                <w:sz w:val="18"/>
              </w:rPr>
              <w:t>UC-M04-04</w:t>
            </w:r>
          </w:p>
        </w:tc>
        <w:tc>
          <w:tcPr>
            <w:tcW w:w="2880" w:type="dxa"/>
            <w:shd w:val="clear" w:color="auto" w:fill="FFFFFF"/>
          </w:tcPr>
          <w:p w14:paraId="115D47C0">
            <w:r>
              <w:rPr>
                <w:rFonts w:ascii="Calibri" w:hAnsi="Calibri"/>
                <w:color w:val="2D3748"/>
                <w:sz w:val="18"/>
              </w:rPr>
              <w:t>Generate GST invoice</w:t>
            </w:r>
          </w:p>
        </w:tc>
        <w:tc>
          <w:tcPr>
            <w:tcW w:w="1728" w:type="dxa"/>
            <w:shd w:val="clear" w:color="auto" w:fill="FFFFFF"/>
          </w:tcPr>
          <w:p w14:paraId="2F8B4DB2">
            <w:r>
              <w:rPr>
                <w:rFonts w:ascii="Calibri" w:hAnsi="Calibri"/>
                <w:color w:val="2D3748"/>
                <w:sz w:val="18"/>
              </w:rPr>
              <w:t>System</w:t>
            </w:r>
          </w:p>
        </w:tc>
        <w:tc>
          <w:tcPr>
            <w:tcW w:w="5040" w:type="dxa"/>
            <w:shd w:val="clear" w:color="auto" w:fill="FFFFFF"/>
          </w:tcPr>
          <w:p w14:paraId="73E04461">
            <w:r>
              <w:rPr>
                <w:rFonts w:ascii="Calibri" w:hAnsi="Calibri"/>
                <w:color w:val="2D3748"/>
                <w:sz w:val="18"/>
              </w:rPr>
              <w:t>Payment received → Auto-generate GST invoice with HSN codes → Sequential invoice number → E-invoice ready</w:t>
            </w:r>
          </w:p>
        </w:tc>
      </w:tr>
      <w:tr w14:paraId="2D100325">
        <w:trPr>
          <w:jc w:val="center"/>
        </w:trPr>
        <w:tc>
          <w:tcPr>
            <w:tcW w:w="1152" w:type="dxa"/>
            <w:shd w:val="clear" w:color="auto" w:fill="F7F9FC"/>
          </w:tcPr>
          <w:p w14:paraId="501C0D2A">
            <w:r>
              <w:rPr>
                <w:rFonts w:ascii="Calibri" w:hAnsi="Calibri"/>
                <w:color w:val="2D3748"/>
                <w:sz w:val="18"/>
              </w:rPr>
              <w:t>UC-M04-05</w:t>
            </w:r>
          </w:p>
        </w:tc>
        <w:tc>
          <w:tcPr>
            <w:tcW w:w="2880" w:type="dxa"/>
            <w:shd w:val="clear" w:color="auto" w:fill="F7F9FC"/>
          </w:tcPr>
          <w:p w14:paraId="5D016EAF">
            <w:r>
              <w:rPr>
                <w:rFonts w:ascii="Calibri" w:hAnsi="Calibri"/>
                <w:color w:val="2D3748"/>
                <w:sz w:val="18"/>
              </w:rPr>
              <w:t>Handle partial payment</w:t>
            </w:r>
          </w:p>
        </w:tc>
        <w:tc>
          <w:tcPr>
            <w:tcW w:w="1728" w:type="dxa"/>
            <w:shd w:val="clear" w:color="auto" w:fill="F7F9FC"/>
          </w:tcPr>
          <w:p w14:paraId="07828E38">
            <w:r>
              <w:rPr>
                <w:rFonts w:ascii="Calibri" w:hAnsi="Calibri"/>
                <w:color w:val="2D3748"/>
                <w:sz w:val="18"/>
              </w:rPr>
              <w:t>L5 Billing Staff</w:t>
            </w:r>
          </w:p>
        </w:tc>
        <w:tc>
          <w:tcPr>
            <w:tcW w:w="5040" w:type="dxa"/>
            <w:shd w:val="clear" w:color="auto" w:fill="F7F9FC"/>
          </w:tcPr>
          <w:p w14:paraId="5DB7028C">
            <w:r>
              <w:rPr>
                <w:rFonts w:ascii="Calibri" w:hAnsi="Calibri"/>
                <w:color w:val="2D3748"/>
                <w:sz w:val="18"/>
              </w:rPr>
              <w:t>Patient pays partial → Record payment → Outstanding balance tracked → Follow-up reminder scheduled</w:t>
            </w:r>
          </w:p>
        </w:tc>
      </w:tr>
    </w:tbl>
    <w:p w14:paraId="0B11910F">
      <w:pPr>
        <w:pStyle w:val="4"/>
        <w:rPr>
          <w:rFonts w:ascii="Calibri" w:hAnsi="Calibri"/>
          <w:b/>
          <w:color w:val="2D3748"/>
          <w:sz w:val="24"/>
        </w:rPr>
      </w:pPr>
    </w:p>
    <w:p w14:paraId="21781B53">
      <w:pPr>
        <w:pStyle w:val="4"/>
        <w:rPr>
          <w:rFonts w:ascii="Calibri" w:hAnsi="Calibri"/>
          <w:b/>
          <w:color w:val="2D3748"/>
          <w:sz w:val="24"/>
        </w:rPr>
      </w:pPr>
    </w:p>
    <w:p w14:paraId="66CFFA46">
      <w:pPr>
        <w:pStyle w:val="4"/>
        <w:rPr>
          <w:rFonts w:ascii="Calibri" w:hAnsi="Calibri"/>
          <w:b/>
          <w:color w:val="2D3748"/>
          <w:sz w:val="24"/>
        </w:rPr>
      </w:pPr>
    </w:p>
    <w:p w14:paraId="53CDED37">
      <w:pPr>
        <w:pStyle w:val="4"/>
        <w:rPr>
          <w:rFonts w:ascii="Calibri" w:hAnsi="Calibri"/>
          <w:b/>
          <w:color w:val="2D3748"/>
          <w:sz w:val="24"/>
        </w:rPr>
      </w:pPr>
    </w:p>
    <w:p w14:paraId="33BCF8A9">
      <w:pPr>
        <w:pStyle w:val="4"/>
        <w:rPr>
          <w:rFonts w:ascii="Calibri" w:hAnsi="Calibri"/>
          <w:b/>
          <w:color w:val="2D3748"/>
          <w:sz w:val="24"/>
        </w:rPr>
      </w:pPr>
    </w:p>
    <w:p w14:paraId="1E39A153">
      <w:pPr>
        <w:pStyle w:val="4"/>
        <w:rPr>
          <w:rFonts w:ascii="Calibri" w:hAnsi="Calibri"/>
          <w:b/>
          <w:color w:val="2D3748"/>
          <w:sz w:val="24"/>
        </w:rPr>
      </w:pPr>
    </w:p>
    <w:p w14:paraId="11B3B252">
      <w:pPr>
        <w:rPr>
          <w:rFonts w:ascii="Calibri" w:hAnsi="Calibri"/>
          <w:b/>
          <w:color w:val="2D3748"/>
          <w:sz w:val="24"/>
        </w:rPr>
      </w:pPr>
    </w:p>
    <w:p w14:paraId="05883343">
      <w:pPr>
        <w:rPr>
          <w:rFonts w:ascii="Calibri" w:hAnsi="Calibri"/>
          <w:b/>
          <w:color w:val="2D3748"/>
          <w:sz w:val="24"/>
        </w:rPr>
      </w:pPr>
    </w:p>
    <w:p w14:paraId="7F4AF106">
      <w:pPr>
        <w:rPr>
          <w:rFonts w:ascii="Calibri" w:hAnsi="Calibri"/>
          <w:b/>
          <w:color w:val="2D3748"/>
          <w:sz w:val="24"/>
        </w:rPr>
      </w:pPr>
    </w:p>
    <w:p w14:paraId="0E87A195">
      <w:pPr>
        <w:rPr>
          <w:rFonts w:ascii="Calibri" w:hAnsi="Calibri"/>
          <w:b/>
          <w:color w:val="2D3748"/>
          <w:sz w:val="24"/>
        </w:rPr>
      </w:pPr>
    </w:p>
    <w:p w14:paraId="4791BC22">
      <w:pPr>
        <w:rPr>
          <w:rFonts w:ascii="Calibri" w:hAnsi="Calibri"/>
          <w:b/>
          <w:color w:val="2D3748"/>
          <w:sz w:val="24"/>
        </w:rPr>
      </w:pPr>
    </w:p>
    <w:p w14:paraId="17E74568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25"/>
        <w:gridCol w:w="2863"/>
        <w:gridCol w:w="2858"/>
      </w:tblGrid>
      <w:tr w14:paraId="3EAD0341">
        <w:trPr>
          <w:jc w:val="center"/>
        </w:trPr>
        <w:tc>
          <w:tcPr>
            <w:tcW w:w="3954" w:type="dxa"/>
            <w:shd w:val="clear" w:color="auto" w:fill="1B3A5C"/>
          </w:tcPr>
          <w:p w14:paraId="0055575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013191D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2C43266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1EA737B0">
        <w:trPr>
          <w:jc w:val="center"/>
        </w:trPr>
        <w:tc>
          <w:tcPr>
            <w:tcW w:w="3954" w:type="dxa"/>
            <w:shd w:val="clear" w:color="auto" w:fill="F7F9FC"/>
          </w:tcPr>
          <w:p w14:paraId="7492A188">
            <w:r>
              <w:rPr>
                <w:rFonts w:ascii="Calibri" w:hAnsi="Calibri"/>
                <w:color w:val="2D3748"/>
                <w:sz w:val="18"/>
              </w:rPr>
              <w:t>Bill generated but payment gateway timeout</w:t>
            </w:r>
          </w:p>
        </w:tc>
        <w:tc>
          <w:tcPr>
            <w:tcW w:w="2880" w:type="dxa"/>
            <w:shd w:val="clear" w:color="auto" w:fill="F7F9FC"/>
          </w:tcPr>
          <w:p w14:paraId="6940BA60">
            <w:r>
              <w:rPr>
                <w:rFonts w:ascii="Calibri" w:hAnsi="Calibri"/>
                <w:color w:val="2D3748"/>
                <w:sz w:val="18"/>
              </w:rPr>
              <w:t>Payment status set to "Pending Verification"; auto-reconcile on webhook callback; manual verification after 30min</w:t>
            </w:r>
          </w:p>
        </w:tc>
        <w:tc>
          <w:tcPr>
            <w:tcW w:w="2880" w:type="dxa"/>
            <w:shd w:val="clear" w:color="auto" w:fill="F7F9FC"/>
          </w:tcPr>
          <w:p w14:paraId="7C2617A1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35C15EF7">
        <w:trPr>
          <w:jc w:val="center"/>
        </w:trPr>
        <w:tc>
          <w:tcPr>
            <w:tcW w:w="3954" w:type="dxa"/>
            <w:shd w:val="clear" w:color="auto" w:fill="FFFFFF"/>
          </w:tcPr>
          <w:p w14:paraId="5F9EC083">
            <w:r>
              <w:rPr>
                <w:rFonts w:ascii="Calibri" w:hAnsi="Calibri"/>
                <w:color w:val="2D3748"/>
                <w:sz w:val="18"/>
              </w:rPr>
              <w:t>TPA claim rejected after service delivered</w:t>
            </w:r>
          </w:p>
        </w:tc>
        <w:tc>
          <w:tcPr>
            <w:tcW w:w="2880" w:type="dxa"/>
            <w:shd w:val="clear" w:color="auto" w:fill="FFFFFF"/>
          </w:tcPr>
          <w:p w14:paraId="2D89817C">
            <w:r>
              <w:rPr>
                <w:rFonts w:ascii="Calibri" w:hAnsi="Calibri"/>
                <w:color w:val="2D3748"/>
                <w:sz w:val="18"/>
              </w:rPr>
              <w:t>Convert to self-pay; notify patient; generate revised bill; escalate to billing manager</w:t>
            </w:r>
          </w:p>
        </w:tc>
        <w:tc>
          <w:tcPr>
            <w:tcW w:w="2880" w:type="dxa"/>
            <w:shd w:val="clear" w:color="auto" w:fill="FFFFFF"/>
          </w:tcPr>
          <w:p w14:paraId="61DB4B92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2AEBD445">
        <w:trPr>
          <w:jc w:val="center"/>
        </w:trPr>
        <w:tc>
          <w:tcPr>
            <w:tcW w:w="3954" w:type="dxa"/>
            <w:shd w:val="clear" w:color="auto" w:fill="F7F9FC"/>
          </w:tcPr>
          <w:p w14:paraId="1A586179">
            <w:r>
              <w:rPr>
                <w:rFonts w:ascii="Calibri" w:hAnsi="Calibri"/>
                <w:color w:val="2D3748"/>
                <w:sz w:val="18"/>
              </w:rPr>
              <w:t>Day-close variance &gt; 1%</w:t>
            </w:r>
          </w:p>
        </w:tc>
        <w:tc>
          <w:tcPr>
            <w:tcW w:w="2880" w:type="dxa"/>
            <w:shd w:val="clear" w:color="auto" w:fill="F7F9FC"/>
          </w:tcPr>
          <w:p w14:paraId="75CD1B8D">
            <w:r>
              <w:rPr>
                <w:rFonts w:ascii="Calibri" w:hAnsi="Calibri"/>
                <w:color w:val="2D3748"/>
                <w:sz w:val="18"/>
              </w:rPr>
              <w:t>Mandatory written explanation from cashier; Branch Admin investigation; flagged in audit trail</w:t>
            </w:r>
          </w:p>
        </w:tc>
        <w:tc>
          <w:tcPr>
            <w:tcW w:w="2880" w:type="dxa"/>
            <w:shd w:val="clear" w:color="auto" w:fill="F7F9FC"/>
          </w:tcPr>
          <w:p w14:paraId="6CFC6761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18E2CCB">
        <w:trPr>
          <w:jc w:val="center"/>
        </w:trPr>
        <w:tc>
          <w:tcPr>
            <w:tcW w:w="3954" w:type="dxa"/>
            <w:shd w:val="clear" w:color="auto" w:fill="FFFFFF"/>
          </w:tcPr>
          <w:p w14:paraId="0E153D8D">
            <w:r>
              <w:rPr>
                <w:rFonts w:ascii="Calibri" w:hAnsi="Calibri"/>
                <w:color w:val="2D3748"/>
                <w:sz w:val="18"/>
              </w:rPr>
              <w:t>Concurrent bill updates from multiple departments</w:t>
            </w:r>
          </w:p>
        </w:tc>
        <w:tc>
          <w:tcPr>
            <w:tcW w:w="2880" w:type="dxa"/>
            <w:shd w:val="clear" w:color="auto" w:fill="FFFFFF"/>
          </w:tcPr>
          <w:p w14:paraId="6C2EDF77">
            <w:r>
              <w:rPr>
                <w:rFonts w:ascii="Calibri" w:hAnsi="Calibri"/>
                <w:color w:val="2D3748"/>
                <w:sz w:val="18"/>
              </w:rPr>
              <w:t>Optimistic locking on bill record; retry on conflict; eventual consistency via Kafka</w:t>
            </w:r>
          </w:p>
        </w:tc>
        <w:tc>
          <w:tcPr>
            <w:tcW w:w="2880" w:type="dxa"/>
            <w:shd w:val="clear" w:color="auto" w:fill="FFFFFF"/>
          </w:tcPr>
          <w:p w14:paraId="0439A1D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24500B38">
        <w:trPr>
          <w:jc w:val="center"/>
        </w:trPr>
        <w:tc>
          <w:tcPr>
            <w:tcW w:w="3954" w:type="dxa"/>
            <w:shd w:val="clear" w:color="auto" w:fill="F7F9FC"/>
          </w:tcPr>
          <w:p w14:paraId="36395B05">
            <w:r>
              <w:rPr>
                <w:rFonts w:ascii="Calibri" w:hAnsi="Calibri"/>
                <w:color w:val="2D3748"/>
                <w:sz w:val="18"/>
              </w:rPr>
              <w:t>GST rate change mid-billing</w:t>
            </w:r>
          </w:p>
        </w:tc>
        <w:tc>
          <w:tcPr>
            <w:tcW w:w="2880" w:type="dxa"/>
            <w:shd w:val="clear" w:color="auto" w:fill="F7F9FC"/>
          </w:tcPr>
          <w:p w14:paraId="794BBAAB">
            <w:r>
              <w:rPr>
                <w:rFonts w:ascii="Calibri" w:hAnsi="Calibri"/>
                <w:color w:val="2D3748"/>
                <w:sz w:val="18"/>
              </w:rPr>
              <w:t>Apply rate effective at time of service; system-wide rate update via Global Config</w:t>
            </w:r>
          </w:p>
        </w:tc>
        <w:tc>
          <w:tcPr>
            <w:tcW w:w="2880" w:type="dxa"/>
            <w:shd w:val="clear" w:color="auto" w:fill="F7F9FC"/>
          </w:tcPr>
          <w:p w14:paraId="5D03F66E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83C7914">
        <w:trPr>
          <w:jc w:val="center"/>
        </w:trPr>
        <w:tc>
          <w:tcPr>
            <w:tcW w:w="3954" w:type="dxa"/>
            <w:shd w:val="clear" w:color="auto" w:fill="FFFFFF"/>
          </w:tcPr>
          <w:p w14:paraId="7B2B22C9">
            <w:r>
              <w:rPr>
                <w:rFonts w:ascii="Calibri" w:hAnsi="Calibri"/>
                <w:color w:val="2D3748"/>
                <w:sz w:val="18"/>
              </w:rPr>
              <w:t>Refund processing</w:t>
            </w:r>
          </w:p>
        </w:tc>
        <w:tc>
          <w:tcPr>
            <w:tcW w:w="2880" w:type="dxa"/>
            <w:shd w:val="clear" w:color="auto" w:fill="FFFFFF"/>
          </w:tcPr>
          <w:p w14:paraId="66CD0B9F">
            <w:r>
              <w:rPr>
                <w:rFonts w:ascii="Calibri" w:hAnsi="Calibri"/>
                <w:color w:val="2D3748"/>
                <w:sz w:val="18"/>
              </w:rPr>
              <w:t>Original payment mode refund preferred; credit note generated; GST reversal entry; Finance HOD approval required</w:t>
            </w:r>
          </w:p>
        </w:tc>
        <w:tc>
          <w:tcPr>
            <w:tcW w:w="2880" w:type="dxa"/>
            <w:shd w:val="clear" w:color="auto" w:fill="FFFFFF"/>
          </w:tcPr>
          <w:p w14:paraId="75E6C0FF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</w:tbl>
    <w:p w14:paraId="5A1A3890">
      <w:r>
        <w:br w:type="page"/>
      </w:r>
    </w:p>
    <w:p w14:paraId="3C275072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4.05 M05 — HR &amp; Payroll Management</w:t>
      </w:r>
    </w:p>
    <w:p w14:paraId="6B20214D">
      <w:pPr>
        <w:shd w:val="clear"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Complete employee lifecycle from digital onboarding to payroll processing, doctor profile management with appointment module linkage, biometric attendance integration, leave management, and statutory compliance (PF/ESIC/PT).</w:t>
      </w:r>
    </w:p>
    <w:p w14:paraId="681EFFB6">
      <w:pPr>
        <w:pStyle w:val="4"/>
      </w:pPr>
      <w:r>
        <w:rPr>
          <w:rFonts w:ascii="Calibri" w:hAnsi="Calibri"/>
          <w:b/>
          <w:color w:val="2D3748"/>
          <w:sz w:val="24"/>
        </w:rPr>
        <w:t>Screens (7)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7"/>
        <w:gridCol w:w="2556"/>
        <w:gridCol w:w="5115"/>
      </w:tblGrid>
      <w:tr w14:paraId="5AC73F77">
        <w:trPr>
          <w:jc w:val="center"/>
        </w:trPr>
        <w:tc>
          <w:tcPr>
            <w:tcW w:w="1407" w:type="dxa"/>
            <w:shd w:val="clear" w:color="auto" w:fill="1B3A5C"/>
          </w:tcPr>
          <w:p w14:paraId="0C5C38E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556" w:type="dxa"/>
            <w:shd w:val="clear" w:color="auto" w:fill="1B3A5C"/>
          </w:tcPr>
          <w:p w14:paraId="748279D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115" w:type="dxa"/>
            <w:shd w:val="clear" w:color="auto" w:fill="1B3A5C"/>
          </w:tcPr>
          <w:p w14:paraId="7E60004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56C8B404">
        <w:trPr>
          <w:jc w:val="center"/>
        </w:trPr>
        <w:tc>
          <w:tcPr>
            <w:tcW w:w="1407" w:type="dxa"/>
            <w:shd w:val="clear" w:color="auto" w:fill="F7F9FC"/>
          </w:tcPr>
          <w:p w14:paraId="1E421705">
            <w:r>
              <w:rPr>
                <w:rFonts w:ascii="Calibri" w:hAnsi="Calibri"/>
                <w:color w:val="2D3748"/>
                <w:sz w:val="18"/>
              </w:rPr>
              <w:t>Employee Onboarding</w:t>
            </w:r>
          </w:p>
        </w:tc>
        <w:tc>
          <w:tcPr>
            <w:tcW w:w="2556" w:type="dxa"/>
            <w:shd w:val="clear" w:color="auto" w:fill="F7F9FC"/>
          </w:tcPr>
          <w:p w14:paraId="0DBB3EEB">
            <w:r>
              <w:rPr>
                <w:rFonts w:ascii="Calibri" w:hAnsi="Calibri"/>
                <w:color w:val="2D3748"/>
                <w:sz w:val="18"/>
              </w:rPr>
              <w:t>Digital onboarding with document collection</w:t>
            </w:r>
          </w:p>
        </w:tc>
        <w:tc>
          <w:tcPr>
            <w:tcW w:w="5115" w:type="dxa"/>
            <w:shd w:val="clear" w:color="auto" w:fill="F7F9FC"/>
          </w:tcPr>
          <w:p w14:paraId="00DD217D">
            <w:r>
              <w:rPr>
                <w:rFonts w:ascii="Calibri" w:hAnsi="Calibri"/>
                <w:color w:val="2D3748"/>
                <w:sz w:val="18"/>
              </w:rPr>
              <w:t>Name, Designation, Grade, Branch, Dept, Aadhaar, PAN, Bank A/C, Documents upload, Credentials generation</w:t>
            </w:r>
          </w:p>
        </w:tc>
      </w:tr>
      <w:tr w14:paraId="6D45D621">
        <w:trPr>
          <w:jc w:val="center"/>
        </w:trPr>
        <w:tc>
          <w:tcPr>
            <w:tcW w:w="1407" w:type="dxa"/>
            <w:shd w:val="clear" w:color="auto" w:fill="FFFFFF"/>
          </w:tcPr>
          <w:p w14:paraId="1FB05943">
            <w:r>
              <w:rPr>
                <w:rFonts w:ascii="Calibri" w:hAnsi="Calibri"/>
                <w:color w:val="2D3748"/>
                <w:sz w:val="18"/>
              </w:rPr>
              <w:t>Doctor Profiles</w:t>
            </w:r>
          </w:p>
        </w:tc>
        <w:tc>
          <w:tcPr>
            <w:tcW w:w="2556" w:type="dxa"/>
            <w:shd w:val="clear" w:color="auto" w:fill="FFFFFF"/>
          </w:tcPr>
          <w:p w14:paraId="73222293">
            <w:r>
              <w:rPr>
                <w:rFonts w:ascii="Calibri" w:hAnsi="Calibri"/>
                <w:color w:val="2D3748"/>
                <w:sz w:val="18"/>
              </w:rPr>
              <w:t>Doctor directory linked to M11 Appointments</w:t>
            </w:r>
          </w:p>
        </w:tc>
        <w:tc>
          <w:tcPr>
            <w:tcW w:w="5115" w:type="dxa"/>
            <w:shd w:val="clear" w:color="auto" w:fill="FFFFFF"/>
          </w:tcPr>
          <w:p w14:paraId="2D69BF5D">
            <w:r>
              <w:rPr>
                <w:rFonts w:ascii="Calibri" w:hAnsi="Calibri"/>
                <w:color w:val="2D3748"/>
                <w:sz w:val="18"/>
              </w:rPr>
              <w:t>EmpID, Name, Specialty, Qualification, MCI/NMC Reg No, Consulting Fee, Revenue Share %, Schedule, License Expiry</w:t>
            </w:r>
          </w:p>
        </w:tc>
      </w:tr>
      <w:tr w14:paraId="612722F2">
        <w:trPr>
          <w:jc w:val="center"/>
        </w:trPr>
        <w:tc>
          <w:tcPr>
            <w:tcW w:w="1407" w:type="dxa"/>
            <w:shd w:val="clear" w:color="auto" w:fill="F7F9FC"/>
          </w:tcPr>
          <w:p w14:paraId="43951201">
            <w:r>
              <w:rPr>
                <w:rFonts w:ascii="Calibri" w:hAnsi="Calibri"/>
                <w:color w:val="2D3748"/>
                <w:sz w:val="18"/>
              </w:rPr>
              <w:t>Attendance</w:t>
            </w:r>
          </w:p>
        </w:tc>
        <w:tc>
          <w:tcPr>
            <w:tcW w:w="2556" w:type="dxa"/>
            <w:shd w:val="clear" w:color="auto" w:fill="F7F9FC"/>
          </w:tcPr>
          <w:p w14:paraId="5D41E21A">
            <w:r>
              <w:rPr>
                <w:rFonts w:ascii="Calibri" w:hAnsi="Calibri"/>
                <w:color w:val="2D3748"/>
                <w:sz w:val="18"/>
              </w:rPr>
              <w:t>Biometric-synced attendance tracking</w:t>
            </w:r>
          </w:p>
        </w:tc>
        <w:tc>
          <w:tcPr>
            <w:tcW w:w="5115" w:type="dxa"/>
            <w:shd w:val="clear" w:color="auto" w:fill="F7F9FC"/>
          </w:tcPr>
          <w:p w14:paraId="42A92377">
            <w:r>
              <w:rPr>
                <w:rFonts w:ascii="Calibri" w:hAnsi="Calibri"/>
                <w:color w:val="2D3748"/>
                <w:sz w:val="18"/>
              </w:rPr>
              <w:t>Employee, Date, Check-in, Check-out, Hours, Status (Present/Absent/Late/Half-day), Override with justification</w:t>
            </w:r>
          </w:p>
        </w:tc>
      </w:tr>
      <w:tr w14:paraId="5B8DBE59">
        <w:trPr>
          <w:jc w:val="center"/>
        </w:trPr>
        <w:tc>
          <w:tcPr>
            <w:tcW w:w="1407" w:type="dxa"/>
            <w:shd w:val="clear" w:color="auto" w:fill="FFFFFF"/>
          </w:tcPr>
          <w:p w14:paraId="222F2663">
            <w:r>
              <w:rPr>
                <w:rFonts w:ascii="Calibri" w:hAnsi="Calibri"/>
                <w:color w:val="2D3748"/>
                <w:sz w:val="18"/>
              </w:rPr>
              <w:t>Leave Management</w:t>
            </w:r>
          </w:p>
        </w:tc>
        <w:tc>
          <w:tcPr>
            <w:tcW w:w="2556" w:type="dxa"/>
            <w:shd w:val="clear" w:color="auto" w:fill="FFFFFF"/>
          </w:tcPr>
          <w:p w14:paraId="41D1CEF2">
            <w:r>
              <w:rPr>
                <w:rFonts w:ascii="Calibri" w:hAnsi="Calibri"/>
                <w:color w:val="2D3748"/>
                <w:sz w:val="18"/>
              </w:rPr>
              <w:t>Leave application and approval workflow</w:t>
            </w:r>
          </w:p>
        </w:tc>
        <w:tc>
          <w:tcPr>
            <w:tcW w:w="5115" w:type="dxa"/>
            <w:shd w:val="clear" w:color="auto" w:fill="FFFFFF"/>
          </w:tcPr>
          <w:p w14:paraId="304F7222">
            <w:r>
              <w:rPr>
                <w:rFonts w:ascii="Calibri" w:hAnsi="Calibri"/>
                <w:color w:val="2D3748"/>
                <w:sz w:val="18"/>
              </w:rPr>
              <w:t>Employee, Leave type (CL/SL/EL/Maternity/Paternity), From-To dates, Reason, Approver, Balance, Status</w:t>
            </w:r>
          </w:p>
        </w:tc>
      </w:tr>
      <w:tr w14:paraId="5FE4F091">
        <w:trPr>
          <w:jc w:val="center"/>
        </w:trPr>
        <w:tc>
          <w:tcPr>
            <w:tcW w:w="1407" w:type="dxa"/>
            <w:shd w:val="clear" w:color="auto" w:fill="F7F9FC"/>
          </w:tcPr>
          <w:p w14:paraId="5F2A4EAF">
            <w:r>
              <w:rPr>
                <w:rFonts w:ascii="Calibri" w:hAnsi="Calibri"/>
                <w:color w:val="2D3748"/>
                <w:sz w:val="18"/>
              </w:rPr>
              <w:t>Payroll Run</w:t>
            </w:r>
          </w:p>
        </w:tc>
        <w:tc>
          <w:tcPr>
            <w:tcW w:w="2556" w:type="dxa"/>
            <w:shd w:val="clear" w:color="auto" w:fill="F7F9FC"/>
          </w:tcPr>
          <w:p w14:paraId="34DA3F72">
            <w:r>
              <w:rPr>
                <w:rFonts w:ascii="Calibri" w:hAnsi="Calibri"/>
                <w:color w:val="2D3748"/>
                <w:sz w:val="18"/>
              </w:rPr>
              <w:t>Monthly payroll computation</w:t>
            </w:r>
          </w:p>
        </w:tc>
        <w:tc>
          <w:tcPr>
            <w:tcW w:w="5115" w:type="dxa"/>
            <w:shd w:val="clear" w:color="auto" w:fill="F7F9FC"/>
          </w:tcPr>
          <w:p w14:paraId="3BA10C55">
            <w:r>
              <w:rPr>
                <w:rFonts w:ascii="Calibri" w:hAnsi="Calibri"/>
                <w:color w:val="2D3748"/>
                <w:sz w:val="18"/>
              </w:rPr>
              <w:t>Month, Branch, Employees processed, Gross, Deductions (PF/ESIC/PT/TDS), Net, Bank file generation</w:t>
            </w:r>
          </w:p>
        </w:tc>
      </w:tr>
      <w:tr w14:paraId="35B8B432">
        <w:trPr>
          <w:jc w:val="center"/>
        </w:trPr>
        <w:tc>
          <w:tcPr>
            <w:tcW w:w="1407" w:type="dxa"/>
            <w:shd w:val="clear" w:color="auto" w:fill="FFFFFF"/>
          </w:tcPr>
          <w:p w14:paraId="45D41338">
            <w:r>
              <w:rPr>
                <w:rFonts w:ascii="Calibri" w:hAnsi="Calibri"/>
                <w:color w:val="2D3748"/>
                <w:sz w:val="18"/>
              </w:rPr>
              <w:t>Payslip</w:t>
            </w:r>
          </w:p>
        </w:tc>
        <w:tc>
          <w:tcPr>
            <w:tcW w:w="2556" w:type="dxa"/>
            <w:shd w:val="clear" w:color="auto" w:fill="FFFFFF"/>
          </w:tcPr>
          <w:p w14:paraId="4C3BF932">
            <w:r>
              <w:rPr>
                <w:rFonts w:ascii="Calibri" w:hAnsi="Calibri"/>
                <w:color w:val="2D3748"/>
                <w:sz w:val="18"/>
              </w:rPr>
              <w:t>Individual employee payslip</w:t>
            </w:r>
          </w:p>
        </w:tc>
        <w:tc>
          <w:tcPr>
            <w:tcW w:w="5115" w:type="dxa"/>
            <w:shd w:val="clear" w:color="auto" w:fill="FFFFFF"/>
          </w:tcPr>
          <w:p w14:paraId="48ED314D">
            <w:r>
              <w:rPr>
                <w:rFonts w:ascii="Calibri" w:hAnsi="Calibri"/>
                <w:color w:val="2D3748"/>
                <w:sz w:val="18"/>
              </w:rPr>
              <w:t>Employee, Month, Earnings breakdown, Deductions breakdown, Net pay, YTD figures, PDF download</w:t>
            </w:r>
          </w:p>
        </w:tc>
      </w:tr>
      <w:tr w14:paraId="2A7BD4A7">
        <w:trPr>
          <w:jc w:val="center"/>
        </w:trPr>
        <w:tc>
          <w:tcPr>
            <w:tcW w:w="1407" w:type="dxa"/>
            <w:shd w:val="clear" w:color="auto" w:fill="F7F9FC"/>
          </w:tcPr>
          <w:p w14:paraId="3D75E138">
            <w:r>
              <w:rPr>
                <w:rFonts w:ascii="Calibri" w:hAnsi="Calibri"/>
                <w:color w:val="2D3748"/>
                <w:sz w:val="18"/>
              </w:rPr>
              <w:t>Compliance Export</w:t>
            </w:r>
          </w:p>
        </w:tc>
        <w:tc>
          <w:tcPr>
            <w:tcW w:w="2556" w:type="dxa"/>
            <w:shd w:val="clear" w:color="auto" w:fill="F7F9FC"/>
          </w:tcPr>
          <w:p w14:paraId="2EA3D30D">
            <w:r>
              <w:rPr>
                <w:rFonts w:ascii="Calibri" w:hAnsi="Calibri"/>
                <w:color w:val="2D3748"/>
                <w:sz w:val="18"/>
              </w:rPr>
              <w:t>Statutory report generation</w:t>
            </w:r>
          </w:p>
        </w:tc>
        <w:tc>
          <w:tcPr>
            <w:tcW w:w="5115" w:type="dxa"/>
            <w:shd w:val="clear" w:color="auto" w:fill="F7F9FC"/>
          </w:tcPr>
          <w:p w14:paraId="78952A57">
            <w:r>
              <w:rPr>
                <w:rFonts w:ascii="Calibri" w:hAnsi="Calibri"/>
                <w:color w:val="2D3748"/>
                <w:sz w:val="18"/>
              </w:rPr>
              <w:t>PF challan, ESIC contribution, PT returns, Form 16, TDS returns, Employee register</w:t>
            </w:r>
          </w:p>
        </w:tc>
      </w:tr>
    </w:tbl>
    <w:p w14:paraId="4AAC3501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3C3A4BC1">
      <w:pPr>
        <w:pStyle w:val="23"/>
      </w:pPr>
      <w:r>
        <w:rPr>
          <w:rFonts w:ascii="Calibri" w:hAnsi="Calibri"/>
          <w:b/>
          <w:sz w:val="20"/>
        </w:rPr>
        <w:t xml:space="preserve">Employee: </w:t>
      </w:r>
      <w:r>
        <w:rPr>
          <w:rFonts w:ascii="Calibri" w:hAnsi="Calibri"/>
          <w:color w:val="2D3748"/>
          <w:sz w:val="20"/>
        </w:rPr>
        <w:t>id, empCode, tenantId, branchId, deptId, name, designation, grade, joiningDate, documents[], bankDetails{}</w:t>
      </w:r>
    </w:p>
    <w:p w14:paraId="2E8AFFFA">
      <w:pPr>
        <w:pStyle w:val="23"/>
      </w:pPr>
      <w:r>
        <w:rPr>
          <w:rFonts w:ascii="Calibri" w:hAnsi="Calibri"/>
          <w:b/>
          <w:sz w:val="20"/>
        </w:rPr>
        <w:t xml:space="preserve">DoctorProfile: </w:t>
      </w:r>
      <w:r>
        <w:rPr>
          <w:rFonts w:ascii="Calibri" w:hAnsi="Calibri"/>
          <w:color w:val="2D3748"/>
          <w:sz w:val="20"/>
        </w:rPr>
        <w:t>id, empId, specialty, mciRegNo, qualifications[], consultFee, revenueSharePct, linkedScheduleId, licenseExpiry</w:t>
      </w:r>
    </w:p>
    <w:p w14:paraId="49CF5DB8">
      <w:pPr>
        <w:pStyle w:val="23"/>
      </w:pPr>
      <w:r>
        <w:rPr>
          <w:rFonts w:ascii="Calibri" w:hAnsi="Calibri"/>
          <w:b/>
          <w:sz w:val="20"/>
        </w:rPr>
        <w:t xml:space="preserve">AttendanceRecord: </w:t>
      </w:r>
      <w:r>
        <w:rPr>
          <w:rFonts w:ascii="Calibri" w:hAnsi="Calibri"/>
          <w:color w:val="2D3748"/>
          <w:sz w:val="20"/>
        </w:rPr>
        <w:t>id, empId, date, checkIn, checkOut, status, biometricSource, overrideBy, justification</w:t>
      </w:r>
    </w:p>
    <w:p w14:paraId="2BB49276">
      <w:pPr>
        <w:pStyle w:val="23"/>
      </w:pPr>
      <w:r>
        <w:rPr>
          <w:rFonts w:ascii="Calibri" w:hAnsi="Calibri"/>
          <w:b/>
          <w:sz w:val="20"/>
        </w:rPr>
        <w:t xml:space="preserve">LeaveRequest: </w:t>
      </w:r>
      <w:r>
        <w:rPr>
          <w:rFonts w:ascii="Calibri" w:hAnsi="Calibri"/>
          <w:color w:val="2D3748"/>
          <w:sz w:val="20"/>
        </w:rPr>
        <w:t>id, empId, type, fromDate, toDate, reason, approvedBy, status, balanceAfter</w:t>
      </w:r>
    </w:p>
    <w:p w14:paraId="5FAE8ADD">
      <w:pPr>
        <w:pStyle w:val="23"/>
      </w:pPr>
      <w:r>
        <w:rPr>
          <w:rFonts w:ascii="Calibri" w:hAnsi="Calibri"/>
          <w:b/>
          <w:sz w:val="20"/>
        </w:rPr>
        <w:t xml:space="preserve">PayrollRun: </w:t>
      </w:r>
      <w:r>
        <w:rPr>
          <w:rFonts w:ascii="Calibri" w:hAnsi="Calibri"/>
          <w:color w:val="2D3748"/>
          <w:sz w:val="20"/>
        </w:rPr>
        <w:t>id, branchId, month, year, runBy, processedAt, totalGross, totalNet, bankFileUrl</w:t>
      </w:r>
    </w:p>
    <w:p w14:paraId="2912FDCA">
      <w:pPr>
        <w:pStyle w:val="23"/>
      </w:pPr>
      <w:r>
        <w:rPr>
          <w:rFonts w:ascii="Calibri" w:hAnsi="Calibri"/>
          <w:b/>
          <w:sz w:val="20"/>
        </w:rPr>
        <w:t xml:space="preserve">PayrollDetail: </w:t>
      </w:r>
      <w:r>
        <w:rPr>
          <w:rFonts w:ascii="Calibri" w:hAnsi="Calibri"/>
          <w:color w:val="2D3748"/>
          <w:sz w:val="20"/>
        </w:rPr>
        <w:t>id, runId, empId, grossSalary, earnings{}, deductions{pf, esic, pt, tds}, netSalary, payslipUrl</w:t>
      </w:r>
    </w:p>
    <w:p w14:paraId="5109CD35">
      <w:pPr>
        <w:pStyle w:val="4"/>
      </w:pPr>
      <w:r>
        <w:rPr>
          <w:rFonts w:ascii="Calibri" w:hAnsi="Calibri"/>
          <w:b/>
          <w:color w:val="2D3748"/>
          <w:sz w:val="24"/>
        </w:rPr>
        <w:t>Doctor Profile ↔ Appointments Integration</w:t>
      </w:r>
    </w:p>
    <w:p w14:paraId="2FD7BBA1">
      <w:r>
        <w:t>Doctor Profiles in M05 are bidirectionally linked to Doctor Schedules in M11 (Appointment Scheduling). When a doctor profile is created or updated, a Kafka event (doctor.profile.updated) is emitted to the hms.hr.events topic. The Appointment module consumes this event to synchronize specialty data, consulting fees, and availability schedules. Conversely, appointment statistics (patients MTD, no-show rate) flow back to the Doctor Profile dashboard for HR performance tracking.</w:t>
      </w:r>
    </w:p>
    <w:p w14:paraId="71F7E295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46"/>
        <w:gridCol w:w="2880"/>
        <w:gridCol w:w="2880"/>
      </w:tblGrid>
      <w:tr w14:paraId="2C505165">
        <w:trPr>
          <w:jc w:val="center"/>
        </w:trPr>
        <w:tc>
          <w:tcPr>
            <w:tcW w:w="3146" w:type="dxa"/>
            <w:shd w:val="clear" w:color="auto" w:fill="1B3A5C"/>
          </w:tcPr>
          <w:p w14:paraId="32C87BA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54631C1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32FFD52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7347CA9F">
        <w:trPr>
          <w:jc w:val="center"/>
        </w:trPr>
        <w:tc>
          <w:tcPr>
            <w:tcW w:w="3146" w:type="dxa"/>
            <w:shd w:val="clear" w:color="auto" w:fill="F7F9FC"/>
          </w:tcPr>
          <w:p w14:paraId="66765C0D">
            <w:r>
              <w:rPr>
                <w:rFonts w:ascii="Calibri" w:hAnsi="Calibri"/>
                <w:color w:val="2D3748"/>
                <w:sz w:val="18"/>
              </w:rPr>
              <w:t>Biometric device offline</w:t>
            </w:r>
          </w:p>
        </w:tc>
        <w:tc>
          <w:tcPr>
            <w:tcW w:w="2880" w:type="dxa"/>
            <w:shd w:val="clear" w:color="auto" w:fill="F7F9FC"/>
          </w:tcPr>
          <w:p w14:paraId="56955BEC">
            <w:r>
              <w:rPr>
                <w:rFonts w:ascii="Calibri" w:hAnsi="Calibri"/>
                <w:color w:val="2D3748"/>
                <w:sz w:val="18"/>
              </w:rPr>
              <w:t>Fallback to manual attendance entry; sync when device reconnects; flag manual entries for review</w:t>
            </w:r>
          </w:p>
        </w:tc>
        <w:tc>
          <w:tcPr>
            <w:tcW w:w="2880" w:type="dxa"/>
            <w:shd w:val="clear" w:color="auto" w:fill="F7F9FC"/>
          </w:tcPr>
          <w:p w14:paraId="1FCA7F52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32D7E425">
        <w:trPr>
          <w:jc w:val="center"/>
        </w:trPr>
        <w:tc>
          <w:tcPr>
            <w:tcW w:w="3146" w:type="dxa"/>
            <w:shd w:val="clear" w:color="auto" w:fill="FFFFFF"/>
          </w:tcPr>
          <w:p w14:paraId="3FE5A388">
            <w:r>
              <w:rPr>
                <w:rFonts w:ascii="Calibri" w:hAnsi="Calibri"/>
                <w:color w:val="2D3748"/>
                <w:sz w:val="18"/>
              </w:rPr>
              <w:t>Payroll run with missing attendance</w:t>
            </w:r>
          </w:p>
        </w:tc>
        <w:tc>
          <w:tcPr>
            <w:tcW w:w="2880" w:type="dxa"/>
            <w:shd w:val="clear" w:color="auto" w:fill="FFFFFF"/>
          </w:tcPr>
          <w:p w14:paraId="49D06AEF">
            <w:r>
              <w:rPr>
                <w:rFonts w:ascii="Calibri" w:hAnsi="Calibri"/>
                <w:color w:val="2D3748"/>
                <w:sz w:val="18"/>
              </w:rPr>
              <w:t>Block payroll for affected employees; notify HR; allow override with justification</w:t>
            </w:r>
          </w:p>
        </w:tc>
        <w:tc>
          <w:tcPr>
            <w:tcW w:w="2880" w:type="dxa"/>
            <w:shd w:val="clear" w:color="auto" w:fill="FFFFFF"/>
          </w:tcPr>
          <w:p w14:paraId="41DC3064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5C457CBB">
        <w:trPr>
          <w:jc w:val="center"/>
        </w:trPr>
        <w:tc>
          <w:tcPr>
            <w:tcW w:w="3146" w:type="dxa"/>
            <w:shd w:val="clear" w:color="auto" w:fill="F7F9FC"/>
          </w:tcPr>
          <w:p w14:paraId="68D3B2FD">
            <w:r>
              <w:rPr>
                <w:rFonts w:ascii="Calibri" w:hAnsi="Calibri"/>
                <w:color w:val="2D3748"/>
                <w:sz w:val="18"/>
              </w:rPr>
              <w:t>Doctor license expired</w:t>
            </w:r>
          </w:p>
        </w:tc>
        <w:tc>
          <w:tcPr>
            <w:tcW w:w="2880" w:type="dxa"/>
            <w:shd w:val="clear" w:color="auto" w:fill="F7F9FC"/>
          </w:tcPr>
          <w:p w14:paraId="7F9A55FB">
            <w:r>
              <w:rPr>
                <w:rFonts w:ascii="Calibri" w:hAnsi="Calibri"/>
                <w:color w:val="2D3748"/>
                <w:sz w:val="18"/>
              </w:rPr>
              <w:t>Auto-suspend from appointment scheduling; alert HR and Branch Admin; consultation capability blocked</w:t>
            </w:r>
          </w:p>
        </w:tc>
        <w:tc>
          <w:tcPr>
            <w:tcW w:w="2880" w:type="dxa"/>
            <w:shd w:val="clear" w:color="auto" w:fill="F7F9FC"/>
          </w:tcPr>
          <w:p w14:paraId="5023C5BB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5E06017">
        <w:trPr>
          <w:jc w:val="center"/>
        </w:trPr>
        <w:tc>
          <w:tcPr>
            <w:tcW w:w="3146" w:type="dxa"/>
            <w:shd w:val="clear" w:color="auto" w:fill="FFFFFF"/>
          </w:tcPr>
          <w:p w14:paraId="22FC66EC">
            <w:r>
              <w:rPr>
                <w:rFonts w:ascii="Calibri" w:hAnsi="Calibri"/>
                <w:color w:val="2D3748"/>
                <w:sz w:val="18"/>
              </w:rPr>
              <w:t>Leave balance insufficient</w:t>
            </w:r>
          </w:p>
        </w:tc>
        <w:tc>
          <w:tcPr>
            <w:tcW w:w="2880" w:type="dxa"/>
            <w:shd w:val="clear" w:color="auto" w:fill="FFFFFF"/>
          </w:tcPr>
          <w:p w14:paraId="6A384AC9">
            <w:r>
              <w:rPr>
                <w:rFonts w:ascii="Calibri" w:hAnsi="Calibri"/>
                <w:color w:val="2D3748"/>
                <w:sz w:val="18"/>
              </w:rPr>
              <w:t>Allow Loss of Pay (LOP) option; require HOD approval for advance leave; payroll auto-adjusts</w:t>
            </w:r>
          </w:p>
        </w:tc>
        <w:tc>
          <w:tcPr>
            <w:tcW w:w="2880" w:type="dxa"/>
            <w:shd w:val="clear" w:color="auto" w:fill="FFFFFF"/>
          </w:tcPr>
          <w:p w14:paraId="6811B4FF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64983AA4">
        <w:trPr>
          <w:jc w:val="center"/>
        </w:trPr>
        <w:tc>
          <w:tcPr>
            <w:tcW w:w="3146" w:type="dxa"/>
            <w:shd w:val="clear" w:color="auto" w:fill="F7F9FC"/>
          </w:tcPr>
          <w:p w14:paraId="5790A925">
            <w:r>
              <w:rPr>
                <w:rFonts w:ascii="Calibri" w:hAnsi="Calibri"/>
                <w:color w:val="2D3748"/>
                <w:sz w:val="18"/>
              </w:rPr>
              <w:t>Mid-month salary revision</w:t>
            </w:r>
          </w:p>
        </w:tc>
        <w:tc>
          <w:tcPr>
            <w:tcW w:w="2880" w:type="dxa"/>
            <w:shd w:val="clear" w:color="auto" w:fill="F7F9FC"/>
          </w:tcPr>
          <w:p w14:paraId="27244F7C">
            <w:r>
              <w:rPr>
                <w:rFonts w:ascii="Calibri" w:hAnsi="Calibri"/>
                <w:color w:val="2D3748"/>
                <w:sz w:val="18"/>
              </w:rPr>
              <w:t>Pro-rata calculation from effective date; arrears computed automatically; reflected in next payroll</w:t>
            </w:r>
          </w:p>
        </w:tc>
        <w:tc>
          <w:tcPr>
            <w:tcW w:w="2880" w:type="dxa"/>
            <w:shd w:val="clear" w:color="auto" w:fill="F7F9FC"/>
          </w:tcPr>
          <w:p w14:paraId="60630C98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4A853ACB">
        <w:trPr>
          <w:jc w:val="center"/>
        </w:trPr>
        <w:tc>
          <w:tcPr>
            <w:tcW w:w="3146" w:type="dxa"/>
            <w:shd w:val="clear" w:color="auto" w:fill="FFFFFF"/>
          </w:tcPr>
          <w:p w14:paraId="6BFDEDE2">
            <w:r>
              <w:rPr>
                <w:rFonts w:ascii="Calibri" w:hAnsi="Calibri"/>
                <w:color w:val="2D3748"/>
                <w:sz w:val="18"/>
              </w:rPr>
              <w:t>Employee transfer between branches</w:t>
            </w:r>
          </w:p>
        </w:tc>
        <w:tc>
          <w:tcPr>
            <w:tcW w:w="2880" w:type="dxa"/>
            <w:shd w:val="clear" w:color="auto" w:fill="FFFFFF"/>
          </w:tcPr>
          <w:p w14:paraId="21368C38">
            <w:r>
              <w:rPr>
                <w:rFonts w:ascii="Calibri" w:hAnsi="Calibri"/>
                <w:color w:val="2D3748"/>
                <w:sz w:val="18"/>
              </w:rPr>
              <w:t>Close payroll at source branch; open at destination; attendance history carried forward</w:t>
            </w:r>
          </w:p>
        </w:tc>
        <w:tc>
          <w:tcPr>
            <w:tcW w:w="2880" w:type="dxa"/>
            <w:shd w:val="clear" w:color="auto" w:fill="FFFFFF"/>
          </w:tcPr>
          <w:p w14:paraId="290A20A5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4EEBB08">
        <w:trPr>
          <w:jc w:val="center"/>
        </w:trPr>
        <w:tc>
          <w:tcPr>
            <w:tcW w:w="3146" w:type="dxa"/>
            <w:shd w:val="clear" w:color="auto" w:fill="F7F9FC"/>
          </w:tcPr>
          <w:p w14:paraId="5734237E">
            <w:r>
              <w:rPr>
                <w:rFonts w:ascii="Calibri" w:hAnsi="Calibri"/>
                <w:color w:val="2D3748"/>
                <w:sz w:val="18"/>
              </w:rPr>
              <w:t>PF/ESIC rate change by government</w:t>
            </w:r>
          </w:p>
        </w:tc>
        <w:tc>
          <w:tcPr>
            <w:tcW w:w="2880" w:type="dxa"/>
            <w:shd w:val="clear" w:color="auto" w:fill="F7F9FC"/>
          </w:tcPr>
          <w:p w14:paraId="76D50AE4">
            <w:r>
              <w:rPr>
                <w:rFonts w:ascii="Calibri" w:hAnsi="Calibri"/>
                <w:color w:val="2D3748"/>
                <w:sz w:val="18"/>
              </w:rPr>
              <w:t>Global Config update → All tenant payroll engines updated → Effective from specified date</w:t>
            </w:r>
          </w:p>
        </w:tc>
        <w:tc>
          <w:tcPr>
            <w:tcW w:w="2880" w:type="dxa"/>
            <w:shd w:val="clear" w:color="auto" w:fill="F7F9FC"/>
          </w:tcPr>
          <w:p w14:paraId="3BA61ECE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5245AB0">
        <w:trPr>
          <w:jc w:val="center"/>
        </w:trPr>
        <w:tc>
          <w:tcPr>
            <w:tcW w:w="3146" w:type="dxa"/>
            <w:shd w:val="clear" w:color="auto" w:fill="FFFFFF"/>
          </w:tcPr>
          <w:p w14:paraId="44B5AE8C">
            <w:r>
              <w:rPr>
                <w:rFonts w:ascii="Calibri" w:hAnsi="Calibri"/>
                <w:color w:val="2D3748"/>
                <w:sz w:val="18"/>
              </w:rPr>
              <w:t>Duplicate biometric registration</w:t>
            </w:r>
          </w:p>
        </w:tc>
        <w:tc>
          <w:tcPr>
            <w:tcW w:w="2880" w:type="dxa"/>
            <w:shd w:val="clear" w:color="auto" w:fill="FFFFFF"/>
          </w:tcPr>
          <w:p w14:paraId="2871DE89">
            <w:r>
              <w:rPr>
                <w:rFonts w:ascii="Calibri" w:hAnsi="Calibri"/>
                <w:color w:val="2D3748"/>
                <w:sz w:val="18"/>
              </w:rPr>
              <w:t>Alert HR; prevent duplicate; require identity verification before resolution</w:t>
            </w:r>
          </w:p>
        </w:tc>
        <w:tc>
          <w:tcPr>
            <w:tcW w:w="2880" w:type="dxa"/>
            <w:shd w:val="clear" w:color="auto" w:fill="FFFFFF"/>
          </w:tcPr>
          <w:p w14:paraId="2784F18B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</w:tbl>
    <w:p w14:paraId="4B9EA257">
      <w:r>
        <w:br w:type="page"/>
      </w:r>
    </w:p>
    <w:p w14:paraId="626E9980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4.06 M06 — Inventory &amp; Procurement</w:t>
      </w:r>
    </w:p>
    <w:p w14:paraId="4FECCDC6">
      <w:pPr>
        <w:shd w:val="clear"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Hospital consumables, medical equipment, and non-pharmaceutical supplies management with automated reorder, multi-level PO approval workflow, vendor management, and asset tracking.</w:t>
      </w:r>
    </w:p>
    <w:p w14:paraId="1C7F1066">
      <w:pPr>
        <w:pStyle w:val="4"/>
      </w:pPr>
      <w:r>
        <w:rPr>
          <w:rFonts w:ascii="Calibri" w:hAnsi="Calibri"/>
          <w:b/>
          <w:color w:val="2D3748"/>
          <w:sz w:val="24"/>
        </w:rPr>
        <w:t>Screens (5)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7"/>
        <w:gridCol w:w="2603"/>
        <w:gridCol w:w="5031"/>
      </w:tblGrid>
      <w:tr w14:paraId="481D6BE4">
        <w:trPr>
          <w:jc w:val="center"/>
        </w:trPr>
        <w:tc>
          <w:tcPr>
            <w:tcW w:w="1597" w:type="dxa"/>
            <w:shd w:val="clear" w:color="auto" w:fill="1B3A5C"/>
          </w:tcPr>
          <w:p w14:paraId="794CA91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603" w:type="dxa"/>
            <w:shd w:val="clear" w:color="auto" w:fill="1B3A5C"/>
          </w:tcPr>
          <w:p w14:paraId="7AD8357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031" w:type="dxa"/>
            <w:shd w:val="clear" w:color="auto" w:fill="1B3A5C"/>
          </w:tcPr>
          <w:p w14:paraId="3BD8446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68FA149D">
        <w:trPr>
          <w:jc w:val="center"/>
        </w:trPr>
        <w:tc>
          <w:tcPr>
            <w:tcW w:w="1597" w:type="dxa"/>
            <w:shd w:val="clear" w:color="auto" w:fill="F7F9FC"/>
          </w:tcPr>
          <w:p w14:paraId="59DD5418">
            <w:r>
              <w:rPr>
                <w:rFonts w:ascii="Calibri" w:hAnsi="Calibri"/>
                <w:color w:val="2D3748"/>
                <w:sz w:val="18"/>
              </w:rPr>
              <w:t>Stock Dashboard</w:t>
            </w:r>
          </w:p>
        </w:tc>
        <w:tc>
          <w:tcPr>
            <w:tcW w:w="2603" w:type="dxa"/>
            <w:shd w:val="clear" w:color="auto" w:fill="F7F9FC"/>
          </w:tcPr>
          <w:p w14:paraId="6A8E836A">
            <w:r>
              <w:rPr>
                <w:rFonts w:ascii="Calibri" w:hAnsi="Calibri"/>
                <w:color w:val="2D3748"/>
                <w:sz w:val="18"/>
              </w:rPr>
              <w:t>Real-time inventory levels with alerts</w:t>
            </w:r>
          </w:p>
        </w:tc>
        <w:tc>
          <w:tcPr>
            <w:tcW w:w="5031" w:type="dxa"/>
            <w:shd w:val="clear" w:color="auto" w:fill="F7F9FC"/>
          </w:tcPr>
          <w:p w14:paraId="6C7A751D">
            <w:r>
              <w:rPr>
                <w:rFonts w:ascii="Calibri" w:hAnsi="Calibri"/>
                <w:color w:val="2D3748"/>
                <w:sz w:val="18"/>
              </w:rPr>
              <w:t>Item, Category, Current Stock, Reorder Level, Last Received, Expiry (if applicable), Branch, Status</w:t>
            </w:r>
          </w:p>
        </w:tc>
      </w:tr>
      <w:tr w14:paraId="0F095342">
        <w:trPr>
          <w:jc w:val="center"/>
        </w:trPr>
        <w:tc>
          <w:tcPr>
            <w:tcW w:w="1597" w:type="dxa"/>
            <w:shd w:val="clear" w:color="auto" w:fill="FFFFFF"/>
          </w:tcPr>
          <w:p w14:paraId="7BE06704">
            <w:r>
              <w:rPr>
                <w:rFonts w:ascii="Calibri" w:hAnsi="Calibri"/>
                <w:color w:val="2D3748"/>
                <w:sz w:val="18"/>
              </w:rPr>
              <w:t>Purchase Requisition</w:t>
            </w:r>
          </w:p>
        </w:tc>
        <w:tc>
          <w:tcPr>
            <w:tcW w:w="2603" w:type="dxa"/>
            <w:shd w:val="clear" w:color="auto" w:fill="FFFFFF"/>
          </w:tcPr>
          <w:p w14:paraId="0A31F693">
            <w:r>
              <w:rPr>
                <w:rFonts w:ascii="Calibri" w:hAnsi="Calibri"/>
                <w:color w:val="2D3748"/>
                <w:sz w:val="18"/>
              </w:rPr>
              <w:t>Auto/manual purchase request creation</w:t>
            </w:r>
          </w:p>
        </w:tc>
        <w:tc>
          <w:tcPr>
            <w:tcW w:w="5031" w:type="dxa"/>
            <w:shd w:val="clear" w:color="auto" w:fill="FFFFFF"/>
          </w:tcPr>
          <w:p w14:paraId="2657A819">
            <w:r>
              <w:rPr>
                <w:rFonts w:ascii="Calibri" w:hAnsi="Calibri"/>
                <w:color w:val="2D3748"/>
                <w:sz w:val="18"/>
              </w:rPr>
              <w:t>Item, Qty Required, Estimated Cost, Priority, Justification, Requester, Auto-triggered flag</w:t>
            </w:r>
          </w:p>
        </w:tc>
      </w:tr>
      <w:tr w14:paraId="009CA873">
        <w:trPr>
          <w:jc w:val="center"/>
        </w:trPr>
        <w:tc>
          <w:tcPr>
            <w:tcW w:w="1597" w:type="dxa"/>
            <w:shd w:val="clear" w:color="auto" w:fill="F7F9FC"/>
          </w:tcPr>
          <w:p w14:paraId="2C58C878">
            <w:r>
              <w:rPr>
                <w:rFonts w:ascii="Calibri" w:hAnsi="Calibri"/>
                <w:color w:val="2D3748"/>
                <w:sz w:val="18"/>
              </w:rPr>
              <w:t>Approval Queue</w:t>
            </w:r>
          </w:p>
        </w:tc>
        <w:tc>
          <w:tcPr>
            <w:tcW w:w="2603" w:type="dxa"/>
            <w:shd w:val="clear" w:color="auto" w:fill="F7F9FC"/>
          </w:tcPr>
          <w:p w14:paraId="78D0861D">
            <w:r>
              <w:rPr>
                <w:rFonts w:ascii="Calibri" w:hAnsi="Calibri"/>
                <w:color w:val="2D3748"/>
                <w:sz w:val="18"/>
              </w:rPr>
              <w:t>Multi-level PO approval workflow</w:t>
            </w:r>
          </w:p>
        </w:tc>
        <w:tc>
          <w:tcPr>
            <w:tcW w:w="5031" w:type="dxa"/>
            <w:shd w:val="clear" w:color="auto" w:fill="F7F9FC"/>
          </w:tcPr>
          <w:p w14:paraId="4F2B3D70">
            <w:r>
              <w:rPr>
                <w:rFonts w:ascii="Calibri" w:hAnsi="Calibri"/>
                <w:color w:val="2D3748"/>
                <w:sz w:val="18"/>
              </w:rPr>
              <w:t>PR Reference, Items, Amount, Approver, Level (≤₹10K→Store Mgr, ₹10K-50K→Branch Admin, ≥₹50K→Tenant Admin)</w:t>
            </w:r>
          </w:p>
        </w:tc>
      </w:tr>
      <w:tr w14:paraId="4AD6D52E">
        <w:trPr>
          <w:jc w:val="center"/>
        </w:trPr>
        <w:tc>
          <w:tcPr>
            <w:tcW w:w="1597" w:type="dxa"/>
            <w:shd w:val="clear" w:color="auto" w:fill="FFFFFF"/>
          </w:tcPr>
          <w:p w14:paraId="72C1346F">
            <w:r>
              <w:rPr>
                <w:rFonts w:ascii="Calibri" w:hAnsi="Calibri"/>
                <w:color w:val="2D3748"/>
                <w:sz w:val="18"/>
              </w:rPr>
              <w:t>Vendor Management</w:t>
            </w:r>
          </w:p>
        </w:tc>
        <w:tc>
          <w:tcPr>
            <w:tcW w:w="2603" w:type="dxa"/>
            <w:shd w:val="clear" w:color="auto" w:fill="FFFFFF"/>
          </w:tcPr>
          <w:p w14:paraId="2815E8D6">
            <w:r>
              <w:rPr>
                <w:rFonts w:ascii="Calibri" w:hAnsi="Calibri"/>
                <w:color w:val="2D3748"/>
                <w:sz w:val="18"/>
              </w:rPr>
              <w:t>Supplier database with performance tracking</w:t>
            </w:r>
          </w:p>
        </w:tc>
        <w:tc>
          <w:tcPr>
            <w:tcW w:w="5031" w:type="dxa"/>
            <w:shd w:val="clear" w:color="auto" w:fill="FFFFFF"/>
          </w:tcPr>
          <w:p w14:paraId="753AD530">
            <w:r>
              <w:rPr>
                <w:rFonts w:ascii="Calibri" w:hAnsi="Calibri"/>
                <w:color w:val="2D3748"/>
                <w:sz w:val="18"/>
              </w:rPr>
              <w:t>Vendor name, GSTIN, Categories, Payment terms, Delivery rating, Quality rating, Blacklist status</w:t>
            </w:r>
          </w:p>
        </w:tc>
      </w:tr>
      <w:tr w14:paraId="0B59E246">
        <w:trPr>
          <w:jc w:val="center"/>
        </w:trPr>
        <w:tc>
          <w:tcPr>
            <w:tcW w:w="1597" w:type="dxa"/>
            <w:shd w:val="clear" w:color="auto" w:fill="F7F9FC"/>
          </w:tcPr>
          <w:p w14:paraId="0A4FDE14">
            <w:r>
              <w:rPr>
                <w:rFonts w:ascii="Calibri" w:hAnsi="Calibri"/>
                <w:color w:val="2D3748"/>
                <w:sz w:val="18"/>
              </w:rPr>
              <w:t>Asset Register</w:t>
            </w:r>
          </w:p>
        </w:tc>
        <w:tc>
          <w:tcPr>
            <w:tcW w:w="2603" w:type="dxa"/>
            <w:shd w:val="clear" w:color="auto" w:fill="F7F9FC"/>
          </w:tcPr>
          <w:p w14:paraId="744051D8">
            <w:r>
              <w:rPr>
                <w:rFonts w:ascii="Calibri" w:hAnsi="Calibri"/>
                <w:color w:val="2D3748"/>
                <w:sz w:val="18"/>
              </w:rPr>
              <w:t>Fixed asset tracking with depreciation</w:t>
            </w:r>
          </w:p>
        </w:tc>
        <w:tc>
          <w:tcPr>
            <w:tcW w:w="5031" w:type="dxa"/>
            <w:shd w:val="clear" w:color="auto" w:fill="F7F9FC"/>
          </w:tcPr>
          <w:p w14:paraId="453BD76E">
            <w:r>
              <w:rPr>
                <w:rFonts w:ascii="Calibri" w:hAnsi="Calibri"/>
                <w:color w:val="2D3748"/>
                <w:sz w:val="18"/>
              </w:rPr>
              <w:t>Asset ID, Description, Location, Purchase date, Cost, Depreciation method, Current value, AMC status</w:t>
            </w:r>
          </w:p>
        </w:tc>
      </w:tr>
    </w:tbl>
    <w:p w14:paraId="690382F5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6"/>
        <w:gridCol w:w="2880"/>
        <w:gridCol w:w="2880"/>
      </w:tblGrid>
      <w:tr w14:paraId="1122CA87">
        <w:trPr>
          <w:jc w:val="center"/>
        </w:trPr>
        <w:tc>
          <w:tcPr>
            <w:tcW w:w="3566" w:type="dxa"/>
            <w:shd w:val="clear" w:color="auto" w:fill="1B3A5C"/>
          </w:tcPr>
          <w:p w14:paraId="096666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54EA77F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7327E6A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79945CDE">
        <w:trPr>
          <w:jc w:val="center"/>
        </w:trPr>
        <w:tc>
          <w:tcPr>
            <w:tcW w:w="3566" w:type="dxa"/>
            <w:shd w:val="clear" w:color="auto" w:fill="F7F9FC"/>
          </w:tcPr>
          <w:p w14:paraId="0CF5F1E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PO approval pending &gt; 24 hours</w:t>
            </w:r>
          </w:p>
        </w:tc>
        <w:tc>
          <w:tcPr>
            <w:tcW w:w="2880" w:type="dxa"/>
            <w:shd w:val="clear" w:color="auto" w:fill="F7F9FC"/>
          </w:tcPr>
          <w:p w14:paraId="050516D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Auto-escalation to next approval level; email reminder to pending approver</w:t>
            </w:r>
          </w:p>
        </w:tc>
        <w:tc>
          <w:tcPr>
            <w:tcW w:w="2880" w:type="dxa"/>
            <w:shd w:val="clear" w:color="auto" w:fill="F7F9FC"/>
          </w:tcPr>
          <w:p w14:paraId="6B3D18F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6820F7B8">
        <w:trPr>
          <w:jc w:val="center"/>
        </w:trPr>
        <w:tc>
          <w:tcPr>
            <w:tcW w:w="3566" w:type="dxa"/>
            <w:shd w:val="clear" w:color="auto" w:fill="FFFFFF"/>
          </w:tcPr>
          <w:p w14:paraId="7645508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Emergency procurement bypass</w:t>
            </w:r>
          </w:p>
        </w:tc>
        <w:tc>
          <w:tcPr>
            <w:tcW w:w="2880" w:type="dxa"/>
            <w:shd w:val="clear" w:color="auto" w:fill="FFFFFF"/>
          </w:tcPr>
          <w:p w14:paraId="0C87E5F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Allow with emergency flag; mandatory post-approval within 24h; audit trail required</w:t>
            </w:r>
          </w:p>
        </w:tc>
        <w:tc>
          <w:tcPr>
            <w:tcW w:w="2880" w:type="dxa"/>
            <w:shd w:val="clear" w:color="auto" w:fill="FFFFFF"/>
          </w:tcPr>
          <w:p w14:paraId="13E84CE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P1</w:t>
            </w:r>
          </w:p>
        </w:tc>
      </w:tr>
      <w:tr w14:paraId="719C1346">
        <w:trPr>
          <w:jc w:val="center"/>
        </w:trPr>
        <w:tc>
          <w:tcPr>
            <w:tcW w:w="3566" w:type="dxa"/>
            <w:shd w:val="clear" w:color="auto" w:fill="F7F9FC"/>
          </w:tcPr>
          <w:p w14:paraId="0CBD55E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Vendor blacklisted after PO issued</w:t>
            </w:r>
          </w:p>
        </w:tc>
        <w:tc>
          <w:tcPr>
            <w:tcW w:w="2880" w:type="dxa"/>
            <w:shd w:val="clear" w:color="auto" w:fill="F7F9FC"/>
          </w:tcPr>
          <w:p w14:paraId="375A2F5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Flag existing PO; allow completion or cancellation; prevent new POs to vendor</w:t>
            </w:r>
          </w:p>
        </w:tc>
        <w:tc>
          <w:tcPr>
            <w:tcW w:w="2880" w:type="dxa"/>
            <w:shd w:val="clear" w:color="auto" w:fill="F7F9FC"/>
          </w:tcPr>
          <w:p w14:paraId="553C6D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P2</w:t>
            </w:r>
          </w:p>
        </w:tc>
      </w:tr>
      <w:tr w14:paraId="2AC2D87B">
        <w:trPr>
          <w:jc w:val="center"/>
        </w:trPr>
        <w:tc>
          <w:tcPr>
            <w:tcW w:w="3566" w:type="dxa"/>
            <w:shd w:val="clear" w:color="auto" w:fill="FFFFFF"/>
          </w:tcPr>
          <w:p w14:paraId="6346CB9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Stock below zero (data integrity)</w:t>
            </w:r>
          </w:p>
        </w:tc>
        <w:tc>
          <w:tcPr>
            <w:tcW w:w="2880" w:type="dxa"/>
            <w:shd w:val="clear" w:color="auto" w:fill="FFFFFF"/>
          </w:tcPr>
          <w:p w14:paraId="46A426C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Prevent negative stock with database constraint; alert for investigation; reconciliation workflow</w:t>
            </w:r>
          </w:p>
        </w:tc>
        <w:tc>
          <w:tcPr>
            <w:tcW w:w="2880" w:type="dxa"/>
            <w:shd w:val="clear" w:color="auto" w:fill="FFFFFF"/>
          </w:tcPr>
          <w:p w14:paraId="6629075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P1</w:t>
            </w:r>
          </w:p>
        </w:tc>
      </w:tr>
      <w:tr w14:paraId="2996A9F5">
        <w:trPr>
          <w:jc w:val="center"/>
        </w:trPr>
        <w:tc>
          <w:tcPr>
            <w:tcW w:w="3566" w:type="dxa"/>
            <w:shd w:val="clear" w:color="auto" w:fill="F7F9FC"/>
          </w:tcPr>
          <w:p w14:paraId="68CB426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Asset transferred without record</w:t>
            </w:r>
          </w:p>
        </w:tc>
        <w:tc>
          <w:tcPr>
            <w:tcW w:w="2880" w:type="dxa"/>
            <w:shd w:val="clear" w:color="auto" w:fill="F7F9FC"/>
          </w:tcPr>
          <w:p w14:paraId="0E50FE5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Physical audit reconciliation; discrepancy report; accountability assignment</w:t>
            </w:r>
          </w:p>
        </w:tc>
        <w:tc>
          <w:tcPr>
            <w:tcW w:w="2880" w:type="dxa"/>
            <w:shd w:val="clear" w:color="auto" w:fill="F7F9FC"/>
          </w:tcPr>
          <w:p w14:paraId="3187B66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P3</w:t>
            </w:r>
          </w:p>
        </w:tc>
      </w:tr>
    </w:tbl>
    <w:p w14:paraId="5CB6B559">
      <w:r>
        <w:br w:type="page"/>
      </w:r>
    </w:p>
    <w:p w14:paraId="4FEA732F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4.07 M07 — Business Intelligence &amp; Analytics</w:t>
      </w:r>
    </w:p>
    <w:p w14:paraId="78F51FCA">
      <w:pPr>
        <w:shd w:val="clear" w:fill="E8EDF3"/>
      </w:pPr>
      <w:r>
        <w:rPr>
          <w:rFonts w:ascii="Calibri" w:hAnsi="Calibri"/>
          <w:b/>
          <w:sz w:val="20"/>
        </w:rPr>
        <w:t xml:space="preserve">Category: Analytics  |  </w:t>
      </w:r>
      <w:r>
        <w:rPr>
          <w:rFonts w:ascii="Calibri" w:hAnsi="Calibri"/>
          <w:sz w:val="20"/>
        </w:rPr>
        <w:t>Executive dashboards, branch-level analytics, custom report builder, and KPI monitoring with threshold-based alerting. Powered by Elasticsearch aggregation pipeline.</w:t>
      </w:r>
    </w:p>
    <w:p w14:paraId="07D58F25">
      <w:pPr>
        <w:pStyle w:val="4"/>
      </w:pPr>
      <w:r>
        <w:rPr>
          <w:rFonts w:ascii="Calibri" w:hAnsi="Calibri"/>
          <w:b/>
          <w:color w:val="2D3748"/>
          <w:sz w:val="24"/>
        </w:rPr>
        <w:t>Screens (4)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6"/>
        <w:gridCol w:w="2575"/>
        <w:gridCol w:w="5102"/>
      </w:tblGrid>
      <w:tr w14:paraId="15B10453">
        <w:trPr>
          <w:jc w:val="center"/>
        </w:trPr>
        <w:tc>
          <w:tcPr>
            <w:tcW w:w="1566" w:type="dxa"/>
            <w:shd w:val="clear" w:color="auto" w:fill="1B3A5C"/>
          </w:tcPr>
          <w:p w14:paraId="2254EE9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575" w:type="dxa"/>
            <w:shd w:val="clear" w:color="auto" w:fill="1B3A5C"/>
          </w:tcPr>
          <w:p w14:paraId="4667BB0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102" w:type="dxa"/>
            <w:shd w:val="clear" w:color="auto" w:fill="1B3A5C"/>
          </w:tcPr>
          <w:p w14:paraId="500DA6D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0F8788B8">
        <w:trPr>
          <w:jc w:val="center"/>
        </w:trPr>
        <w:tc>
          <w:tcPr>
            <w:tcW w:w="1566" w:type="dxa"/>
            <w:shd w:val="clear" w:color="auto" w:fill="F7F9FC"/>
          </w:tcPr>
          <w:p w14:paraId="7B165BB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Executive Dashboard</w:t>
            </w:r>
          </w:p>
        </w:tc>
        <w:tc>
          <w:tcPr>
            <w:tcW w:w="2575" w:type="dxa"/>
            <w:shd w:val="clear" w:color="auto" w:fill="F7F9FC"/>
          </w:tcPr>
          <w:p w14:paraId="7754CCD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Org-wide KPIs and trends</w:t>
            </w:r>
          </w:p>
        </w:tc>
        <w:tc>
          <w:tcPr>
            <w:tcW w:w="5102" w:type="dxa"/>
            <w:shd w:val="clear" w:color="auto" w:fill="F7F9FC"/>
          </w:tcPr>
          <w:p w14:paraId="65DE67B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Revenue (today/MTD/YTD), Patient footfall, Avg revenue/patient, Collection ratio, Top departments, Trend charts</w:t>
            </w:r>
          </w:p>
        </w:tc>
      </w:tr>
      <w:tr w14:paraId="38EBCDB1">
        <w:trPr>
          <w:jc w:val="center"/>
        </w:trPr>
        <w:tc>
          <w:tcPr>
            <w:tcW w:w="1566" w:type="dxa"/>
            <w:shd w:val="clear" w:color="auto" w:fill="FFFFFF"/>
          </w:tcPr>
          <w:p w14:paraId="371B4D2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Branch Dashboard</w:t>
            </w:r>
          </w:p>
        </w:tc>
        <w:tc>
          <w:tcPr>
            <w:tcW w:w="2575" w:type="dxa"/>
            <w:shd w:val="clear" w:color="auto" w:fill="FFFFFF"/>
          </w:tcPr>
          <w:p w14:paraId="4B05866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Branch-level operational metrics</w:t>
            </w:r>
          </w:p>
        </w:tc>
        <w:tc>
          <w:tcPr>
            <w:tcW w:w="5102" w:type="dxa"/>
            <w:shd w:val="clear" w:color="auto" w:fill="FFFFFF"/>
          </w:tcPr>
          <w:p w14:paraId="13DC0CE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Branch-specific OPD/IPD/Pharmacy/Lab metrics, Staff utilization, Revenue vs target, Comparison with other branches</w:t>
            </w:r>
          </w:p>
        </w:tc>
      </w:tr>
      <w:tr w14:paraId="16A4804A">
        <w:trPr>
          <w:jc w:val="center"/>
        </w:trPr>
        <w:tc>
          <w:tcPr>
            <w:tcW w:w="1566" w:type="dxa"/>
            <w:shd w:val="clear" w:color="auto" w:fill="F7F9FC"/>
          </w:tcPr>
          <w:p w14:paraId="6BE8BF3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Report Builder</w:t>
            </w:r>
          </w:p>
        </w:tc>
        <w:tc>
          <w:tcPr>
            <w:tcW w:w="2575" w:type="dxa"/>
            <w:shd w:val="clear" w:color="auto" w:fill="F7F9FC"/>
          </w:tcPr>
          <w:p w14:paraId="11C5015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Custom report generator with filters</w:t>
            </w:r>
          </w:p>
        </w:tc>
        <w:tc>
          <w:tcPr>
            <w:tcW w:w="5102" w:type="dxa"/>
            <w:shd w:val="clear" w:color="auto" w:fill="F7F9FC"/>
          </w:tcPr>
          <w:p w14:paraId="414EF68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Module selector, Date range, Branch/Dept filter, Metric selection, Chart type, Export (PDF/Excel/CSV)</w:t>
            </w:r>
          </w:p>
        </w:tc>
      </w:tr>
      <w:tr w14:paraId="6D4CCEFD">
        <w:trPr>
          <w:jc w:val="center"/>
        </w:trPr>
        <w:tc>
          <w:tcPr>
            <w:tcW w:w="1566" w:type="dxa"/>
            <w:shd w:val="clear" w:color="auto" w:fill="FFFFFF"/>
          </w:tcPr>
          <w:p w14:paraId="0D8F656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KPI Monitor</w:t>
            </w:r>
          </w:p>
        </w:tc>
        <w:tc>
          <w:tcPr>
            <w:tcW w:w="2575" w:type="dxa"/>
            <w:shd w:val="clear" w:color="auto" w:fill="FFFFFF"/>
          </w:tcPr>
          <w:p w14:paraId="54D9A0A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Real-time KPI tracking with alerting</w:t>
            </w:r>
          </w:p>
        </w:tc>
        <w:tc>
          <w:tcPr>
            <w:tcW w:w="5102" w:type="dxa"/>
            <w:shd w:val="clear" w:color="auto" w:fill="FFFFFF"/>
          </w:tcPr>
          <w:p w14:paraId="536D0A1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KPI name, Current value, Target, Threshold, Status (Green/Amber/Red), Trend, Alert history, Drill-down</w:t>
            </w:r>
          </w:p>
        </w:tc>
      </w:tr>
    </w:tbl>
    <w:p w14:paraId="3BE31821">
      <w:pPr>
        <w:pStyle w:val="4"/>
      </w:pPr>
      <w:r>
        <w:rPr>
          <w:rFonts w:ascii="Calibri" w:hAnsi="Calibri"/>
          <w:b/>
          <w:color w:val="2D3748"/>
          <w:sz w:val="24"/>
        </w:rPr>
        <w:t>KPI Definitions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29"/>
        <w:gridCol w:w="3166"/>
        <w:gridCol w:w="1967"/>
        <w:gridCol w:w="1964"/>
      </w:tblGrid>
      <w:tr w14:paraId="0D78F86C">
        <w:trPr>
          <w:jc w:val="center"/>
        </w:trPr>
        <w:tc>
          <w:tcPr>
            <w:tcW w:w="2129" w:type="dxa"/>
            <w:shd w:val="clear" w:color="auto" w:fill="1B3A5C"/>
          </w:tcPr>
          <w:p w14:paraId="6B592E2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w="3166" w:type="dxa"/>
            <w:shd w:val="clear" w:color="auto" w:fill="1B3A5C"/>
          </w:tcPr>
          <w:p w14:paraId="0BC1AC4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w="1967" w:type="dxa"/>
            <w:shd w:val="clear" w:color="auto" w:fill="1B3A5C"/>
          </w:tcPr>
          <w:p w14:paraId="796E763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1964" w:type="dxa"/>
            <w:shd w:val="clear" w:color="auto" w:fill="1B3A5C"/>
          </w:tcPr>
          <w:p w14:paraId="630AC74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Alert Threshold</w:t>
            </w:r>
          </w:p>
        </w:tc>
      </w:tr>
      <w:tr w14:paraId="53674095">
        <w:trPr>
          <w:jc w:val="center"/>
        </w:trPr>
        <w:tc>
          <w:tcPr>
            <w:tcW w:w="2129" w:type="dxa"/>
            <w:shd w:val="clear" w:color="auto" w:fill="F7F9FC"/>
          </w:tcPr>
          <w:p w14:paraId="21265C6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OPD Patient Wait Time</w:t>
            </w:r>
          </w:p>
        </w:tc>
        <w:tc>
          <w:tcPr>
            <w:tcW w:w="3166" w:type="dxa"/>
            <w:shd w:val="clear" w:color="auto" w:fill="F7F9FC"/>
          </w:tcPr>
          <w:p w14:paraId="629607A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Token issued → Consultation start</w:t>
            </w:r>
          </w:p>
        </w:tc>
        <w:tc>
          <w:tcPr>
            <w:tcW w:w="1967" w:type="dxa"/>
            <w:shd w:val="clear" w:color="auto" w:fill="F7F9FC"/>
          </w:tcPr>
          <w:p w14:paraId="484D4CE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20 min avg</w:t>
            </w:r>
          </w:p>
        </w:tc>
        <w:tc>
          <w:tcPr>
            <w:tcW w:w="1964" w:type="dxa"/>
            <w:shd w:val="clear" w:color="auto" w:fill="F7F9FC"/>
          </w:tcPr>
          <w:p w14:paraId="4CC9515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30 min</w:t>
            </w:r>
          </w:p>
        </w:tc>
      </w:tr>
      <w:tr w14:paraId="51B3FC98">
        <w:trPr>
          <w:jc w:val="center"/>
        </w:trPr>
        <w:tc>
          <w:tcPr>
            <w:tcW w:w="2129" w:type="dxa"/>
            <w:shd w:val="clear" w:color="auto" w:fill="FFFFFF"/>
          </w:tcPr>
          <w:p w14:paraId="30A758C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Pharmacy Dispensing TAT</w:t>
            </w:r>
          </w:p>
        </w:tc>
        <w:tc>
          <w:tcPr>
            <w:tcW w:w="3166" w:type="dxa"/>
            <w:shd w:val="clear" w:color="auto" w:fill="FFFFFF"/>
          </w:tcPr>
          <w:p w14:paraId="176B714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Prescription received → Dispensed</w:t>
            </w:r>
          </w:p>
        </w:tc>
        <w:tc>
          <w:tcPr>
            <w:tcW w:w="1967" w:type="dxa"/>
            <w:shd w:val="clear" w:color="auto" w:fill="FFFFFF"/>
          </w:tcPr>
          <w:p w14:paraId="0E368ED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10 min</w:t>
            </w:r>
          </w:p>
        </w:tc>
        <w:tc>
          <w:tcPr>
            <w:tcW w:w="1964" w:type="dxa"/>
            <w:shd w:val="clear" w:color="auto" w:fill="FFFFFF"/>
          </w:tcPr>
          <w:p w14:paraId="19A2329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15 min</w:t>
            </w:r>
          </w:p>
        </w:tc>
      </w:tr>
      <w:tr w14:paraId="3B99242C">
        <w:trPr>
          <w:jc w:val="center"/>
        </w:trPr>
        <w:tc>
          <w:tcPr>
            <w:tcW w:w="2129" w:type="dxa"/>
            <w:shd w:val="clear" w:color="auto" w:fill="F7F9FC"/>
          </w:tcPr>
          <w:p w14:paraId="712B37E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Lab Report TAT (Routine)</w:t>
            </w:r>
          </w:p>
        </w:tc>
        <w:tc>
          <w:tcPr>
            <w:tcW w:w="3166" w:type="dxa"/>
            <w:shd w:val="clear" w:color="auto" w:fill="F7F9FC"/>
          </w:tcPr>
          <w:p w14:paraId="45E5783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Sample collected → Report validated</w:t>
            </w:r>
          </w:p>
        </w:tc>
        <w:tc>
          <w:tcPr>
            <w:tcW w:w="1967" w:type="dxa"/>
            <w:shd w:val="clear" w:color="auto" w:fill="F7F9FC"/>
          </w:tcPr>
          <w:p w14:paraId="71BDB6B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4 hours</w:t>
            </w:r>
          </w:p>
        </w:tc>
        <w:tc>
          <w:tcPr>
            <w:tcW w:w="1964" w:type="dxa"/>
            <w:shd w:val="clear" w:color="auto" w:fill="F7F9FC"/>
          </w:tcPr>
          <w:p w14:paraId="64CE357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6 hours</w:t>
            </w:r>
          </w:p>
        </w:tc>
      </w:tr>
      <w:tr w14:paraId="46B55FB4">
        <w:trPr>
          <w:jc w:val="center"/>
        </w:trPr>
        <w:tc>
          <w:tcPr>
            <w:tcW w:w="2129" w:type="dxa"/>
            <w:shd w:val="clear" w:color="auto" w:fill="FFFFFF"/>
          </w:tcPr>
          <w:p w14:paraId="69DDBB8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Collection Ratio</w:t>
            </w:r>
          </w:p>
        </w:tc>
        <w:tc>
          <w:tcPr>
            <w:tcW w:w="3166" w:type="dxa"/>
            <w:shd w:val="clear" w:color="auto" w:fill="FFFFFF"/>
          </w:tcPr>
          <w:p w14:paraId="3D8F03F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Amount collected / Amount billed</w:t>
            </w:r>
          </w:p>
        </w:tc>
        <w:tc>
          <w:tcPr>
            <w:tcW w:w="1967" w:type="dxa"/>
            <w:shd w:val="clear" w:color="auto" w:fill="FFFFFF"/>
          </w:tcPr>
          <w:p w14:paraId="2B8A293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95%</w:t>
            </w:r>
          </w:p>
        </w:tc>
        <w:tc>
          <w:tcPr>
            <w:tcW w:w="1964" w:type="dxa"/>
            <w:shd w:val="clear" w:color="auto" w:fill="FFFFFF"/>
          </w:tcPr>
          <w:p w14:paraId="63D6137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90%</w:t>
            </w:r>
          </w:p>
        </w:tc>
      </w:tr>
      <w:tr w14:paraId="29602E48">
        <w:trPr>
          <w:jc w:val="center"/>
        </w:trPr>
        <w:tc>
          <w:tcPr>
            <w:tcW w:w="2129" w:type="dxa"/>
            <w:shd w:val="clear" w:color="auto" w:fill="F7F9FC"/>
          </w:tcPr>
          <w:p w14:paraId="51124A7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Bed Occupancy Rate</w:t>
            </w:r>
          </w:p>
        </w:tc>
        <w:tc>
          <w:tcPr>
            <w:tcW w:w="3166" w:type="dxa"/>
            <w:shd w:val="clear" w:color="auto" w:fill="F7F9FC"/>
          </w:tcPr>
          <w:p w14:paraId="1F0DC4B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Occupied beds / Total beds</w:t>
            </w:r>
          </w:p>
        </w:tc>
        <w:tc>
          <w:tcPr>
            <w:tcW w:w="1967" w:type="dxa"/>
            <w:shd w:val="clear" w:color="auto" w:fill="F7F9FC"/>
          </w:tcPr>
          <w:p w14:paraId="2E480E0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70-85%</w:t>
            </w:r>
          </w:p>
        </w:tc>
        <w:tc>
          <w:tcPr>
            <w:tcW w:w="1964" w:type="dxa"/>
            <w:shd w:val="clear" w:color="auto" w:fill="F7F9FC"/>
          </w:tcPr>
          <w:p w14:paraId="59121EB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95% or &lt; 50%</w:t>
            </w:r>
          </w:p>
        </w:tc>
      </w:tr>
      <w:tr w14:paraId="63DACB48">
        <w:trPr>
          <w:jc w:val="center"/>
        </w:trPr>
        <w:tc>
          <w:tcPr>
            <w:tcW w:w="2129" w:type="dxa"/>
            <w:shd w:val="clear" w:color="auto" w:fill="FFFFFF"/>
          </w:tcPr>
          <w:p w14:paraId="2228314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No-Show Rate</w:t>
            </w:r>
          </w:p>
        </w:tc>
        <w:tc>
          <w:tcPr>
            <w:tcW w:w="3166" w:type="dxa"/>
            <w:shd w:val="clear" w:color="auto" w:fill="FFFFFF"/>
          </w:tcPr>
          <w:p w14:paraId="55A1F4A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No-shows / Total appointments</w:t>
            </w:r>
          </w:p>
        </w:tc>
        <w:tc>
          <w:tcPr>
            <w:tcW w:w="1967" w:type="dxa"/>
            <w:shd w:val="clear" w:color="auto" w:fill="FFFFFF"/>
          </w:tcPr>
          <w:p w14:paraId="56D009A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10%</w:t>
            </w:r>
          </w:p>
        </w:tc>
        <w:tc>
          <w:tcPr>
            <w:tcW w:w="1964" w:type="dxa"/>
            <w:shd w:val="clear" w:color="auto" w:fill="FFFFFF"/>
          </w:tcPr>
          <w:p w14:paraId="5358A88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15%</w:t>
            </w:r>
          </w:p>
        </w:tc>
      </w:tr>
      <w:tr w14:paraId="3F3DEC13">
        <w:trPr>
          <w:jc w:val="center"/>
        </w:trPr>
        <w:tc>
          <w:tcPr>
            <w:tcW w:w="2129" w:type="dxa"/>
            <w:shd w:val="clear" w:color="auto" w:fill="F7F9FC"/>
          </w:tcPr>
          <w:p w14:paraId="4020BC6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Revenue Per Patient</w:t>
            </w:r>
          </w:p>
        </w:tc>
        <w:tc>
          <w:tcPr>
            <w:tcW w:w="3166" w:type="dxa"/>
            <w:shd w:val="clear" w:color="auto" w:fill="F7F9FC"/>
          </w:tcPr>
          <w:p w14:paraId="62F7E22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Total revenue / Total patients</w:t>
            </w:r>
          </w:p>
        </w:tc>
        <w:tc>
          <w:tcPr>
            <w:tcW w:w="1967" w:type="dxa"/>
            <w:shd w:val="clear" w:color="auto" w:fill="F7F9FC"/>
          </w:tcPr>
          <w:p w14:paraId="2025794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Benchmark based</w:t>
            </w:r>
          </w:p>
        </w:tc>
        <w:tc>
          <w:tcPr>
            <w:tcW w:w="1964" w:type="dxa"/>
            <w:shd w:val="clear" w:color="auto" w:fill="F7F9FC"/>
          </w:tcPr>
          <w:p w14:paraId="43A6491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80% of benchmark</w:t>
            </w:r>
          </w:p>
        </w:tc>
      </w:tr>
      <w:tr w14:paraId="6613D444">
        <w:trPr>
          <w:jc w:val="center"/>
        </w:trPr>
        <w:tc>
          <w:tcPr>
            <w:tcW w:w="2129" w:type="dxa"/>
            <w:shd w:val="clear" w:color="auto" w:fill="FFFFFF"/>
          </w:tcPr>
          <w:p w14:paraId="0D0349A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Staff Utilization</w:t>
            </w:r>
          </w:p>
        </w:tc>
        <w:tc>
          <w:tcPr>
            <w:tcW w:w="3166" w:type="dxa"/>
            <w:shd w:val="clear" w:color="auto" w:fill="FFFFFF"/>
          </w:tcPr>
          <w:p w14:paraId="51DF8C5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Productive hours / Total hours</w:t>
            </w:r>
          </w:p>
        </w:tc>
        <w:tc>
          <w:tcPr>
            <w:tcW w:w="1967" w:type="dxa"/>
            <w:shd w:val="clear" w:color="auto" w:fill="FFFFFF"/>
          </w:tcPr>
          <w:p w14:paraId="2207D16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80%</w:t>
            </w:r>
          </w:p>
        </w:tc>
        <w:tc>
          <w:tcPr>
            <w:tcW w:w="1964" w:type="dxa"/>
            <w:shd w:val="clear" w:color="auto" w:fill="FFFFFF"/>
          </w:tcPr>
          <w:p w14:paraId="3C8D4F6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70%</w:t>
            </w:r>
          </w:p>
        </w:tc>
      </w:tr>
      <w:tr w14:paraId="2C14130D">
        <w:trPr>
          <w:jc w:val="center"/>
        </w:trPr>
        <w:tc>
          <w:tcPr>
            <w:tcW w:w="2129" w:type="dxa"/>
            <w:shd w:val="clear" w:color="auto" w:fill="F7F9FC"/>
          </w:tcPr>
          <w:p w14:paraId="5968E9C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API P95 Latency</w:t>
            </w:r>
          </w:p>
        </w:tc>
        <w:tc>
          <w:tcPr>
            <w:tcW w:w="3166" w:type="dxa"/>
            <w:shd w:val="clear" w:color="auto" w:fill="F7F9FC"/>
          </w:tcPr>
          <w:p w14:paraId="556D2ED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95th percentile response time</w:t>
            </w:r>
          </w:p>
        </w:tc>
        <w:tc>
          <w:tcPr>
            <w:tcW w:w="1967" w:type="dxa"/>
            <w:shd w:val="clear" w:color="auto" w:fill="F7F9FC"/>
          </w:tcPr>
          <w:p w14:paraId="794A1CD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&lt; 500ms</w:t>
            </w:r>
          </w:p>
        </w:tc>
        <w:tc>
          <w:tcPr>
            <w:tcW w:w="1964" w:type="dxa"/>
            <w:shd w:val="clear" w:color="auto" w:fill="F7F9FC"/>
          </w:tcPr>
          <w:p w14:paraId="691AB70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1000ms</w:t>
            </w:r>
          </w:p>
        </w:tc>
      </w:tr>
      <w:tr w14:paraId="1E2D93D2">
        <w:trPr>
          <w:jc w:val="center"/>
        </w:trPr>
        <w:tc>
          <w:tcPr>
            <w:tcW w:w="2129" w:type="dxa"/>
            <w:shd w:val="clear" w:color="auto" w:fill="FFFFFF"/>
          </w:tcPr>
          <w:p w14:paraId="73B73FC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Kafka Consumer Lag</w:t>
            </w:r>
          </w:p>
        </w:tc>
        <w:tc>
          <w:tcPr>
            <w:tcW w:w="3166" w:type="dxa"/>
            <w:shd w:val="clear" w:color="auto" w:fill="FFFFFF"/>
          </w:tcPr>
          <w:p w14:paraId="591B123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Messages pending consumption</w:t>
            </w:r>
          </w:p>
        </w:tc>
        <w:tc>
          <w:tcPr>
            <w:tcW w:w="1967" w:type="dxa"/>
            <w:shd w:val="clear" w:color="auto" w:fill="FFFFFF"/>
          </w:tcPr>
          <w:p w14:paraId="7DB2A45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0</w:t>
            </w:r>
          </w:p>
        </w:tc>
        <w:tc>
          <w:tcPr>
            <w:tcW w:w="1964" w:type="dxa"/>
            <w:shd w:val="clear" w:color="auto" w:fill="FFFFFF"/>
          </w:tcPr>
          <w:p w14:paraId="3CC89C0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&gt; 100</w:t>
            </w:r>
          </w:p>
        </w:tc>
      </w:tr>
    </w:tbl>
    <w:p w14:paraId="6333B054">
      <w:r>
        <w:br w:type="page"/>
      </w:r>
    </w:p>
    <w:p w14:paraId="0E7710A4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4.08 M08 — Patient Portal (PWA)</w:t>
      </w:r>
    </w:p>
    <w:p w14:paraId="7B35C3B1">
      <w:pPr>
        <w:shd w:val="clear" w:fill="E8EDF3"/>
      </w:pPr>
      <w:r>
        <w:rPr>
          <w:rFonts w:ascii="Calibri" w:hAnsi="Calibri"/>
          <w:b/>
          <w:sz w:val="20"/>
        </w:rPr>
        <w:t xml:space="preserve">Category: Engagement  |  </w:t>
      </w:r>
      <w:r>
        <w:rPr>
          <w:rFonts w:ascii="Calibri" w:hAnsi="Calibri"/>
          <w:sz w:val="20"/>
        </w:rPr>
        <w:t>Progressive Web App providing patients self-service access to appointment booking, health records, lab reports, online payments, family account management, and notification preferences.</w:t>
      </w:r>
    </w:p>
    <w:p w14:paraId="0B90E232">
      <w:pPr>
        <w:pStyle w:val="4"/>
      </w:pPr>
      <w:r>
        <w:rPr>
          <w:rFonts w:ascii="Calibri" w:hAnsi="Calibri"/>
          <w:b/>
          <w:color w:val="2D3748"/>
          <w:sz w:val="24"/>
        </w:rPr>
        <w:t>Screens (5)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77"/>
        <w:gridCol w:w="2568"/>
        <w:gridCol w:w="5101"/>
      </w:tblGrid>
      <w:tr w14:paraId="552E9A2C">
        <w:trPr>
          <w:jc w:val="center"/>
        </w:trPr>
        <w:tc>
          <w:tcPr>
            <w:tcW w:w="2160" w:type="dxa"/>
            <w:shd w:val="clear" w:color="auto" w:fill="1B3A5C"/>
          </w:tcPr>
          <w:p w14:paraId="263995D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0B0C011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58AE5BA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3D6297EA">
        <w:trPr>
          <w:jc w:val="center"/>
        </w:trPr>
        <w:tc>
          <w:tcPr>
            <w:tcW w:w="2160" w:type="dxa"/>
            <w:shd w:val="clear" w:color="auto" w:fill="F7F9FC"/>
          </w:tcPr>
          <w:p w14:paraId="792AEF44">
            <w:r>
              <w:rPr>
                <w:rFonts w:ascii="Calibri" w:hAnsi="Calibri"/>
                <w:color w:val="2D3748"/>
                <w:sz w:val="18"/>
              </w:rPr>
              <w:t>Patient Login</w:t>
            </w:r>
          </w:p>
        </w:tc>
        <w:tc>
          <w:tcPr>
            <w:tcW w:w="2880" w:type="dxa"/>
            <w:shd w:val="clear" w:color="auto" w:fill="F7F9FC"/>
          </w:tcPr>
          <w:p w14:paraId="4AB7002E">
            <w:r>
              <w:rPr>
                <w:rFonts w:ascii="Calibri" w:hAnsi="Calibri"/>
                <w:color w:val="2D3748"/>
                <w:sz w:val="18"/>
              </w:rPr>
              <w:t>OTP-based authentication with ABHA link</w:t>
            </w:r>
          </w:p>
        </w:tc>
        <w:tc>
          <w:tcPr>
            <w:tcW w:w="5760" w:type="dxa"/>
            <w:shd w:val="clear" w:color="auto" w:fill="F7F9FC"/>
          </w:tcPr>
          <w:p w14:paraId="35F3F598">
            <w:r>
              <w:rPr>
                <w:rFonts w:ascii="Calibri" w:hAnsi="Calibri"/>
                <w:color w:val="2D3748"/>
                <w:sz w:val="18"/>
              </w:rPr>
              <w:t>Phone/Email, OTP, ABHA ID link option, Family account switcher, Biometric (optional)</w:t>
            </w:r>
          </w:p>
        </w:tc>
      </w:tr>
      <w:tr w14:paraId="1F013EA3">
        <w:trPr>
          <w:jc w:val="center"/>
        </w:trPr>
        <w:tc>
          <w:tcPr>
            <w:tcW w:w="2160" w:type="dxa"/>
            <w:shd w:val="clear" w:color="auto" w:fill="FFFFFF"/>
          </w:tcPr>
          <w:p w14:paraId="05034873">
            <w:r>
              <w:rPr>
                <w:rFonts w:ascii="Calibri" w:hAnsi="Calibri"/>
                <w:color w:val="2D3748"/>
                <w:sz w:val="18"/>
              </w:rPr>
              <w:t>Appointment Booking</w:t>
            </w:r>
          </w:p>
        </w:tc>
        <w:tc>
          <w:tcPr>
            <w:tcW w:w="2880" w:type="dxa"/>
            <w:shd w:val="clear" w:color="auto" w:fill="FFFFFF"/>
          </w:tcPr>
          <w:p w14:paraId="7BD65E35">
            <w:r>
              <w:rPr>
                <w:rFonts w:ascii="Calibri" w:hAnsi="Calibri"/>
                <w:color w:val="2D3748"/>
                <w:sz w:val="18"/>
              </w:rPr>
              <w:t>Real-time slot selection</w:t>
            </w:r>
          </w:p>
        </w:tc>
        <w:tc>
          <w:tcPr>
            <w:tcW w:w="5760" w:type="dxa"/>
            <w:shd w:val="clear" w:color="auto" w:fill="FFFFFF"/>
          </w:tcPr>
          <w:p w14:paraId="04B7F083">
            <w:r>
              <w:rPr>
                <w:rFonts w:ascii="Calibri" w:hAnsi="Calibri"/>
                <w:color w:val="2D3748"/>
                <w:sz w:val="18"/>
              </w:rPr>
              <w:t>Branch, Department, Doctor (with specialty/fee), Date, Available slots, Booking confirmation, SMS/Email</w:t>
            </w:r>
          </w:p>
        </w:tc>
      </w:tr>
      <w:tr w14:paraId="2FC21C3B">
        <w:trPr>
          <w:jc w:val="center"/>
        </w:trPr>
        <w:tc>
          <w:tcPr>
            <w:tcW w:w="2160" w:type="dxa"/>
            <w:shd w:val="clear" w:color="auto" w:fill="F7F9FC"/>
          </w:tcPr>
          <w:p w14:paraId="1E3A6175">
            <w:r>
              <w:rPr>
                <w:rFonts w:ascii="Calibri" w:hAnsi="Calibri"/>
                <w:color w:val="2D3748"/>
                <w:sz w:val="18"/>
              </w:rPr>
              <w:t>Health Records</w:t>
            </w:r>
          </w:p>
        </w:tc>
        <w:tc>
          <w:tcPr>
            <w:tcW w:w="2880" w:type="dxa"/>
            <w:shd w:val="clear" w:color="auto" w:fill="F7F9FC"/>
          </w:tcPr>
          <w:p w14:paraId="79A00CEE">
            <w:r>
              <w:rPr>
                <w:rFonts w:ascii="Calibri" w:hAnsi="Calibri"/>
                <w:color w:val="2D3748"/>
                <w:sz w:val="18"/>
              </w:rPr>
              <w:t>Consolidated medical history</w:t>
            </w:r>
          </w:p>
        </w:tc>
        <w:tc>
          <w:tcPr>
            <w:tcW w:w="5760" w:type="dxa"/>
            <w:shd w:val="clear" w:color="auto" w:fill="F7F9FC"/>
          </w:tcPr>
          <w:p w14:paraId="0F2B5A12">
            <w:r>
              <w:rPr>
                <w:rFonts w:ascii="Calibri" w:hAnsi="Calibri"/>
                <w:color w:val="2D3748"/>
                <w:sz w:val="18"/>
              </w:rPr>
              <w:t>Visit history, Prescriptions, Lab reports (S3 presigned URL, 72h validity), Discharge summaries, Vitals trends</w:t>
            </w:r>
          </w:p>
        </w:tc>
      </w:tr>
      <w:tr w14:paraId="01DBC481">
        <w:trPr>
          <w:jc w:val="center"/>
        </w:trPr>
        <w:tc>
          <w:tcPr>
            <w:tcW w:w="2160" w:type="dxa"/>
            <w:shd w:val="clear" w:color="auto" w:fill="FFFFFF"/>
          </w:tcPr>
          <w:p w14:paraId="7070915B">
            <w:r>
              <w:rPr>
                <w:rFonts w:ascii="Calibri" w:hAnsi="Calibri"/>
                <w:color w:val="2D3748"/>
                <w:sz w:val="18"/>
              </w:rPr>
              <w:t>Online Payment</w:t>
            </w:r>
          </w:p>
        </w:tc>
        <w:tc>
          <w:tcPr>
            <w:tcW w:w="2880" w:type="dxa"/>
            <w:shd w:val="clear" w:color="auto" w:fill="FFFFFF"/>
          </w:tcPr>
          <w:p w14:paraId="1C27A158">
            <w:r>
              <w:rPr>
                <w:rFonts w:ascii="Calibri" w:hAnsi="Calibri"/>
                <w:color w:val="2D3748"/>
                <w:sz w:val="18"/>
              </w:rPr>
              <w:t>Outstanding bill payment</w:t>
            </w:r>
          </w:p>
        </w:tc>
        <w:tc>
          <w:tcPr>
            <w:tcW w:w="5760" w:type="dxa"/>
            <w:shd w:val="clear" w:color="auto" w:fill="FFFFFF"/>
          </w:tcPr>
          <w:p w14:paraId="183A9257">
            <w:r>
              <w:rPr>
                <w:rFonts w:ascii="Calibri" w:hAnsi="Calibri"/>
                <w:color w:val="2D3748"/>
                <w:sz w:val="18"/>
              </w:rPr>
              <w:t>Bill summary, Payment gateway (Razorpay/Paytm), UPI/Card/NetBanking, Receipt download, Payment history</w:t>
            </w:r>
          </w:p>
        </w:tc>
      </w:tr>
      <w:tr w14:paraId="14C63FA3">
        <w:trPr>
          <w:jc w:val="center"/>
        </w:trPr>
        <w:tc>
          <w:tcPr>
            <w:tcW w:w="2160" w:type="dxa"/>
            <w:shd w:val="clear" w:color="auto" w:fill="F7F9FC"/>
          </w:tcPr>
          <w:p w14:paraId="4BFE8FF8">
            <w:r>
              <w:rPr>
                <w:rFonts w:ascii="Calibri" w:hAnsi="Calibri"/>
                <w:color w:val="2D3748"/>
                <w:sz w:val="18"/>
              </w:rPr>
              <w:t>Notifications</w:t>
            </w:r>
          </w:p>
        </w:tc>
        <w:tc>
          <w:tcPr>
            <w:tcW w:w="2880" w:type="dxa"/>
            <w:shd w:val="clear" w:color="auto" w:fill="F7F9FC"/>
          </w:tcPr>
          <w:p w14:paraId="0CA6E054">
            <w:r>
              <w:rPr>
                <w:rFonts w:ascii="Calibri" w:hAnsi="Calibri"/>
                <w:color w:val="2D3748"/>
                <w:sz w:val="18"/>
              </w:rPr>
              <w:t>Multi-channel notification preferences</w:t>
            </w:r>
          </w:p>
        </w:tc>
        <w:tc>
          <w:tcPr>
            <w:tcW w:w="5760" w:type="dxa"/>
            <w:shd w:val="clear" w:color="auto" w:fill="F7F9FC"/>
          </w:tcPr>
          <w:p w14:paraId="42DE3D45">
            <w:r>
              <w:rPr>
                <w:rFonts w:ascii="Calibri" w:hAnsi="Calibri"/>
                <w:color w:val="2D3748"/>
                <w:sz w:val="18"/>
              </w:rPr>
              <w:t>Appointment reminders, Lab reports ready, Payment receipts, Channel preference (SMS/WhatsApp/Email/Push)</w:t>
            </w:r>
          </w:p>
        </w:tc>
      </w:tr>
    </w:tbl>
    <w:p w14:paraId="2FF7F778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 w14:paraId="16288CB2">
        <w:trPr>
          <w:jc w:val="center"/>
        </w:trPr>
        <w:tc>
          <w:tcPr>
            <w:tcW w:w="2880" w:type="dxa"/>
            <w:shd w:val="clear" w:color="auto" w:fill="1B3A5C"/>
          </w:tcPr>
          <w:p w14:paraId="26C518F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1E5CDE4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5E8946F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2076162B">
        <w:trPr>
          <w:jc w:val="center"/>
        </w:trPr>
        <w:tc>
          <w:tcPr>
            <w:tcW w:w="2880" w:type="dxa"/>
            <w:shd w:val="clear" w:color="auto" w:fill="F7F9FC"/>
          </w:tcPr>
          <w:p w14:paraId="57D9B3E0">
            <w:r>
              <w:rPr>
                <w:rFonts w:ascii="Calibri" w:hAnsi="Calibri"/>
                <w:color w:val="2D3748"/>
                <w:sz w:val="18"/>
              </w:rPr>
              <w:t>Patient books conflicting appointment</w:t>
            </w:r>
          </w:p>
        </w:tc>
        <w:tc>
          <w:tcPr>
            <w:tcW w:w="2880" w:type="dxa"/>
            <w:shd w:val="clear" w:color="auto" w:fill="F7F9FC"/>
          </w:tcPr>
          <w:p w14:paraId="3586BC7A">
            <w:r>
              <w:rPr>
                <w:rFonts w:ascii="Calibri" w:hAnsi="Calibri"/>
                <w:color w:val="2D3748"/>
                <w:sz w:val="18"/>
              </w:rPr>
              <w:t>System prevents double-booking for same patient; suggest alternative slots</w:t>
            </w:r>
          </w:p>
        </w:tc>
        <w:tc>
          <w:tcPr>
            <w:tcW w:w="2880" w:type="dxa"/>
            <w:shd w:val="clear" w:color="auto" w:fill="F7F9FC"/>
          </w:tcPr>
          <w:p w14:paraId="006692BD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782DFA5F">
        <w:trPr>
          <w:jc w:val="center"/>
        </w:trPr>
        <w:tc>
          <w:tcPr>
            <w:tcW w:w="2880" w:type="dxa"/>
            <w:shd w:val="clear" w:color="auto" w:fill="FFFFFF"/>
          </w:tcPr>
          <w:p w14:paraId="7CB490D7">
            <w:r>
              <w:rPr>
                <w:rFonts w:ascii="Calibri" w:hAnsi="Calibri"/>
                <w:color w:val="2D3748"/>
                <w:sz w:val="18"/>
              </w:rPr>
              <w:t>Payment gateway failure mid-transaction</w:t>
            </w:r>
          </w:p>
        </w:tc>
        <w:tc>
          <w:tcPr>
            <w:tcW w:w="2880" w:type="dxa"/>
            <w:shd w:val="clear" w:color="auto" w:fill="FFFFFF"/>
          </w:tcPr>
          <w:p w14:paraId="77AA2EC7">
            <w:r>
              <w:rPr>
                <w:rFonts w:ascii="Calibri" w:hAnsi="Calibri"/>
                <w:color w:val="2D3748"/>
                <w:sz w:val="18"/>
              </w:rPr>
              <w:t>Transaction marked pending; auto-reconcile on webhook; manual check after 30min timeout</w:t>
            </w:r>
          </w:p>
        </w:tc>
        <w:tc>
          <w:tcPr>
            <w:tcW w:w="2880" w:type="dxa"/>
            <w:shd w:val="clear" w:color="auto" w:fill="FFFFFF"/>
          </w:tcPr>
          <w:p w14:paraId="6973CA73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3F6FF0E4">
        <w:trPr>
          <w:jc w:val="center"/>
        </w:trPr>
        <w:tc>
          <w:tcPr>
            <w:tcW w:w="2880" w:type="dxa"/>
            <w:shd w:val="clear" w:color="auto" w:fill="F7F9FC"/>
          </w:tcPr>
          <w:p w14:paraId="0B514A5A">
            <w:r>
              <w:rPr>
                <w:rFonts w:ascii="Calibri" w:hAnsi="Calibri"/>
                <w:color w:val="2D3748"/>
                <w:sz w:val="18"/>
              </w:rPr>
              <w:t>Family account — minor patient consent</w:t>
            </w:r>
          </w:p>
        </w:tc>
        <w:tc>
          <w:tcPr>
            <w:tcW w:w="2880" w:type="dxa"/>
            <w:shd w:val="clear" w:color="auto" w:fill="F7F9FC"/>
          </w:tcPr>
          <w:p w14:paraId="05774190">
            <w:r>
              <w:rPr>
                <w:rFonts w:ascii="Calibri" w:hAnsi="Calibri"/>
                <w:color w:val="2D3748"/>
                <w:sz w:val="18"/>
              </w:rPr>
              <w:t>Guardian consent mandatory; DISHA minor-specific consent flow; age verification</w:t>
            </w:r>
          </w:p>
        </w:tc>
        <w:tc>
          <w:tcPr>
            <w:tcW w:w="2880" w:type="dxa"/>
            <w:shd w:val="clear" w:color="auto" w:fill="F7F9FC"/>
          </w:tcPr>
          <w:p w14:paraId="3BDAD9EC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17C22D44">
        <w:trPr>
          <w:jc w:val="center"/>
        </w:trPr>
        <w:tc>
          <w:tcPr>
            <w:tcW w:w="2880" w:type="dxa"/>
            <w:shd w:val="clear" w:color="auto" w:fill="FFFFFF"/>
          </w:tcPr>
          <w:p w14:paraId="18BAA951">
            <w:r>
              <w:rPr>
                <w:rFonts w:ascii="Calibri" w:hAnsi="Calibri"/>
                <w:color w:val="2D3748"/>
                <w:sz w:val="18"/>
              </w:rPr>
              <w:t>Lab report not yet available</w:t>
            </w:r>
          </w:p>
        </w:tc>
        <w:tc>
          <w:tcPr>
            <w:tcW w:w="2880" w:type="dxa"/>
            <w:shd w:val="clear" w:color="auto" w:fill="FFFFFF"/>
          </w:tcPr>
          <w:p w14:paraId="3E06A90E">
            <w:r>
              <w:rPr>
                <w:rFonts w:ascii="Calibri" w:hAnsi="Calibri"/>
                <w:color w:val="2D3748"/>
                <w:sz w:val="18"/>
              </w:rPr>
              <w:t>Show "Processing" status with estimated time; push notification when ready</w:t>
            </w:r>
          </w:p>
        </w:tc>
        <w:tc>
          <w:tcPr>
            <w:tcW w:w="2880" w:type="dxa"/>
            <w:shd w:val="clear" w:color="auto" w:fill="FFFFFF"/>
          </w:tcPr>
          <w:p w14:paraId="1076927F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  <w:tr w14:paraId="78C84527">
        <w:trPr>
          <w:jc w:val="center"/>
        </w:trPr>
        <w:tc>
          <w:tcPr>
            <w:tcW w:w="2880" w:type="dxa"/>
            <w:shd w:val="clear" w:color="auto" w:fill="F7F9FC"/>
          </w:tcPr>
          <w:p w14:paraId="49367345">
            <w:r>
              <w:rPr>
                <w:rFonts w:ascii="Calibri" w:hAnsi="Calibri"/>
                <w:color w:val="2D3748"/>
                <w:sz w:val="18"/>
              </w:rPr>
              <w:t>ABHA ID linking failure</w:t>
            </w:r>
          </w:p>
        </w:tc>
        <w:tc>
          <w:tcPr>
            <w:tcW w:w="2880" w:type="dxa"/>
            <w:shd w:val="clear" w:color="auto" w:fill="F7F9FC"/>
          </w:tcPr>
          <w:p w14:paraId="57161F87">
            <w:r>
              <w:rPr>
                <w:rFonts w:ascii="Calibri" w:hAnsi="Calibri"/>
                <w:color w:val="2D3748"/>
                <w:sz w:val="18"/>
              </w:rPr>
              <w:t>Proceed without ABHA; queue for manual linkage; patient notified of benefits</w:t>
            </w:r>
          </w:p>
        </w:tc>
        <w:tc>
          <w:tcPr>
            <w:tcW w:w="2880" w:type="dxa"/>
            <w:shd w:val="clear" w:color="auto" w:fill="F7F9FC"/>
          </w:tcPr>
          <w:p w14:paraId="401FDEDD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  <w:tr w14:paraId="17E424EC">
        <w:trPr>
          <w:jc w:val="center"/>
        </w:trPr>
        <w:tc>
          <w:tcPr>
            <w:tcW w:w="2880" w:type="dxa"/>
            <w:shd w:val="clear" w:color="auto" w:fill="FFFFFF"/>
          </w:tcPr>
          <w:p w14:paraId="65A6EBF7">
            <w:r>
              <w:rPr>
                <w:rFonts w:ascii="Calibri" w:hAnsi="Calibri"/>
                <w:color w:val="2D3748"/>
                <w:sz w:val="18"/>
              </w:rPr>
              <w:t>OTP delivery failure</w:t>
            </w:r>
          </w:p>
        </w:tc>
        <w:tc>
          <w:tcPr>
            <w:tcW w:w="2880" w:type="dxa"/>
            <w:shd w:val="clear" w:color="auto" w:fill="FFFFFF"/>
          </w:tcPr>
          <w:p w14:paraId="665ADCE5">
            <w:r>
              <w:rPr>
                <w:rFonts w:ascii="Calibri" w:hAnsi="Calibri"/>
                <w:color w:val="2D3748"/>
                <w:sz w:val="18"/>
              </w:rPr>
              <w:t>Retry via alternate channel (SMS→WhatsApp); fallback to email OTP; support escalation after 3 failures</w:t>
            </w:r>
          </w:p>
        </w:tc>
        <w:tc>
          <w:tcPr>
            <w:tcW w:w="2880" w:type="dxa"/>
            <w:shd w:val="clear" w:color="auto" w:fill="FFFFFF"/>
          </w:tcPr>
          <w:p w14:paraId="121A3D9A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</w:tbl>
    <w:p w14:paraId="59C467A1">
      <w:r>
        <w:br w:type="page"/>
      </w:r>
    </w:p>
    <w:p w14:paraId="0D8E2023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4.09 M09 — Audit &amp; Compliance</w:t>
      </w:r>
    </w:p>
    <w:p w14:paraId="047AFE78">
      <w:pPr>
        <w:shd w:val="clear" w:fill="E8EDF3"/>
      </w:pPr>
      <w:r>
        <w:rPr>
          <w:rFonts w:ascii="Calibri" w:hAnsi="Calibri"/>
          <w:b/>
          <w:sz w:val="20"/>
        </w:rPr>
        <w:t xml:space="preserve">Category: Governance  |  </w:t>
      </w:r>
      <w:r>
        <w:rPr>
          <w:rFonts w:ascii="Calibri" w:hAnsi="Calibri"/>
          <w:sz w:val="20"/>
        </w:rPr>
        <w:t>Immutable audit logging of all system events, security monitoring, DISHA Act compliance management, and backup status monitoring. 7-year retention with PostgreSQL row-level security.</w:t>
      </w:r>
    </w:p>
    <w:p w14:paraId="7DCA0949">
      <w:pPr>
        <w:pStyle w:val="4"/>
      </w:pPr>
      <w:r>
        <w:rPr>
          <w:rFonts w:ascii="Calibri" w:hAnsi="Calibri"/>
          <w:b/>
          <w:color w:val="2D3748"/>
          <w:sz w:val="24"/>
        </w:rPr>
        <w:t>Screens (4)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4"/>
        <w:gridCol w:w="2622"/>
        <w:gridCol w:w="5020"/>
      </w:tblGrid>
      <w:tr w14:paraId="08F9BBAE">
        <w:trPr>
          <w:jc w:val="center"/>
        </w:trPr>
        <w:tc>
          <w:tcPr>
            <w:tcW w:w="2160" w:type="dxa"/>
            <w:shd w:val="clear" w:color="auto" w:fill="1B3A5C"/>
          </w:tcPr>
          <w:p w14:paraId="38B9832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04C4A6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5D6D8D7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52E55C74">
        <w:trPr>
          <w:jc w:val="center"/>
        </w:trPr>
        <w:tc>
          <w:tcPr>
            <w:tcW w:w="2160" w:type="dxa"/>
            <w:shd w:val="clear" w:color="auto" w:fill="F7F9FC"/>
          </w:tcPr>
          <w:p w14:paraId="2BDB810B">
            <w:r>
              <w:rPr>
                <w:rFonts w:ascii="Calibri" w:hAnsi="Calibri"/>
                <w:color w:val="2D3748"/>
                <w:sz w:val="18"/>
              </w:rPr>
              <w:t>Audit Log</w:t>
            </w:r>
          </w:p>
        </w:tc>
        <w:tc>
          <w:tcPr>
            <w:tcW w:w="2880" w:type="dxa"/>
            <w:shd w:val="clear" w:color="auto" w:fill="F7F9FC"/>
          </w:tcPr>
          <w:p w14:paraId="526D7614">
            <w:r>
              <w:rPr>
                <w:rFonts w:ascii="Calibri" w:hAnsi="Calibri"/>
                <w:color w:val="2D3748"/>
                <w:sz w:val="18"/>
              </w:rPr>
              <w:t>Immutable event log with search/filter</w:t>
            </w:r>
          </w:p>
        </w:tc>
        <w:tc>
          <w:tcPr>
            <w:tcW w:w="5760" w:type="dxa"/>
            <w:shd w:val="clear" w:color="auto" w:fill="F7F9FC"/>
          </w:tcPr>
          <w:p w14:paraId="00CB9D8A">
            <w:r>
              <w:rPr>
                <w:rFonts w:ascii="Calibri" w:hAnsi="Calibri"/>
                <w:color w:val="2D3748"/>
                <w:sz w:val="18"/>
              </w:rPr>
              <w:t>Timestamp, User, Module, Action, Entity, Before/After JSON diff, IP Address, Session ID, Tenant</w:t>
            </w:r>
          </w:p>
        </w:tc>
      </w:tr>
      <w:tr w14:paraId="7FD93C22">
        <w:trPr>
          <w:jc w:val="center"/>
        </w:trPr>
        <w:tc>
          <w:tcPr>
            <w:tcW w:w="2160" w:type="dxa"/>
            <w:shd w:val="clear" w:color="auto" w:fill="FFFFFF"/>
          </w:tcPr>
          <w:p w14:paraId="3AD2E5B8">
            <w:r>
              <w:rPr>
                <w:rFonts w:ascii="Calibri" w:hAnsi="Calibri"/>
                <w:color w:val="2D3748"/>
                <w:sz w:val="18"/>
              </w:rPr>
              <w:t>Security Monitor</w:t>
            </w:r>
          </w:p>
        </w:tc>
        <w:tc>
          <w:tcPr>
            <w:tcW w:w="2880" w:type="dxa"/>
            <w:shd w:val="clear" w:color="auto" w:fill="FFFFFF"/>
          </w:tcPr>
          <w:p w14:paraId="076A4D4A">
            <w:r>
              <w:rPr>
                <w:rFonts w:ascii="Calibri" w:hAnsi="Calibri"/>
                <w:color w:val="2D3748"/>
                <w:sz w:val="18"/>
              </w:rPr>
              <w:t>Real-time threat detection dashboard</w:t>
            </w:r>
          </w:p>
        </w:tc>
        <w:tc>
          <w:tcPr>
            <w:tcW w:w="5760" w:type="dxa"/>
            <w:shd w:val="clear" w:color="auto" w:fill="FFFFFF"/>
          </w:tcPr>
          <w:p w14:paraId="7D8B9AB2">
            <w:r>
              <w:rPr>
                <w:rFonts w:ascii="Calibri" w:hAnsi="Calibri"/>
                <w:color w:val="2D3748"/>
                <w:sz w:val="18"/>
              </w:rPr>
              <w:t>Failed logins (brute-force detection), Unusual access patterns, Privilege escalation attempts, Active sessions</w:t>
            </w:r>
          </w:p>
        </w:tc>
      </w:tr>
      <w:tr w14:paraId="41DE8F97">
        <w:trPr>
          <w:jc w:val="center"/>
        </w:trPr>
        <w:tc>
          <w:tcPr>
            <w:tcW w:w="2160" w:type="dxa"/>
            <w:shd w:val="clear" w:color="auto" w:fill="F7F9FC"/>
          </w:tcPr>
          <w:p w14:paraId="6E8BD1FB">
            <w:r>
              <w:rPr>
                <w:rFonts w:ascii="Calibri" w:hAnsi="Calibri"/>
                <w:color w:val="2D3748"/>
                <w:sz w:val="18"/>
              </w:rPr>
              <w:t>DISHA Compliance</w:t>
            </w:r>
          </w:p>
        </w:tc>
        <w:tc>
          <w:tcPr>
            <w:tcW w:w="2880" w:type="dxa"/>
            <w:shd w:val="clear" w:color="auto" w:fill="F7F9FC"/>
          </w:tcPr>
          <w:p w14:paraId="2B19D06B">
            <w:r>
              <w:rPr>
                <w:rFonts w:ascii="Calibri" w:hAnsi="Calibri"/>
                <w:color w:val="2D3748"/>
                <w:sz w:val="18"/>
              </w:rPr>
              <w:t>Consent management and compliance tracker</w:t>
            </w:r>
          </w:p>
        </w:tc>
        <w:tc>
          <w:tcPr>
            <w:tcW w:w="5760" w:type="dxa"/>
            <w:shd w:val="clear" w:color="auto" w:fill="F7F9FC"/>
          </w:tcPr>
          <w:p w14:paraId="7CF0797B">
            <w:r>
              <w:rPr>
                <w:rFonts w:ascii="Calibri" w:hAnsi="Calibri"/>
                <w:color w:val="2D3748"/>
                <w:sz w:val="18"/>
              </w:rPr>
              <w:t>Patient consent status, Data sharing consent, Research consent, Guardian consent (minors), Consent audit trail</w:t>
            </w:r>
          </w:p>
        </w:tc>
      </w:tr>
      <w:tr w14:paraId="71844689">
        <w:trPr>
          <w:jc w:val="center"/>
        </w:trPr>
        <w:tc>
          <w:tcPr>
            <w:tcW w:w="2160" w:type="dxa"/>
            <w:shd w:val="clear" w:color="auto" w:fill="FFFFFF"/>
          </w:tcPr>
          <w:p w14:paraId="77115AAD">
            <w:r>
              <w:rPr>
                <w:rFonts w:ascii="Calibri" w:hAnsi="Calibri"/>
                <w:color w:val="2D3748"/>
                <w:sz w:val="18"/>
              </w:rPr>
              <w:t>Backup Status</w:t>
            </w:r>
          </w:p>
        </w:tc>
        <w:tc>
          <w:tcPr>
            <w:tcW w:w="2880" w:type="dxa"/>
            <w:shd w:val="clear" w:color="auto" w:fill="FFFFFF"/>
          </w:tcPr>
          <w:p w14:paraId="27AF1ABE">
            <w:r>
              <w:rPr>
                <w:rFonts w:ascii="Calibri" w:hAnsi="Calibri"/>
                <w:color w:val="2D3748"/>
                <w:sz w:val="18"/>
              </w:rPr>
              <w:t>DR and backup monitoring</w:t>
            </w:r>
          </w:p>
        </w:tc>
        <w:tc>
          <w:tcPr>
            <w:tcW w:w="5760" w:type="dxa"/>
            <w:shd w:val="clear" w:color="auto" w:fill="FFFFFF"/>
          </w:tcPr>
          <w:p w14:paraId="4F71E312">
            <w:r>
              <w:rPr>
                <w:rFonts w:ascii="Calibri" w:hAnsi="Calibri"/>
                <w:color w:val="2D3748"/>
                <w:sz w:val="18"/>
              </w:rPr>
              <w:t>Last backup time, Backup size, S3 sync status (Mumbai + Singapore), WAL archiving, PITR window, RTO/RPO status</w:t>
            </w:r>
          </w:p>
        </w:tc>
      </w:tr>
    </w:tbl>
    <w:p w14:paraId="5F2120E7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15CA85A4">
      <w:pPr>
        <w:pStyle w:val="23"/>
      </w:pPr>
      <w:r>
        <w:rPr>
          <w:rFonts w:ascii="Calibri" w:hAnsi="Calibri"/>
          <w:b/>
          <w:sz w:val="20"/>
        </w:rPr>
        <w:t xml:space="preserve">AuditEvent: </w:t>
      </w:r>
      <w:r>
        <w:rPr>
          <w:rFonts w:ascii="Calibri" w:hAnsi="Calibri"/>
          <w:color w:val="2D3748"/>
          <w:sz w:val="20"/>
        </w:rPr>
        <w:t>id, tenantId, branchId, userId, module, action, entity, entityId, beforeState, afterState, ipAddress, sessionId, timestamp</w:t>
      </w:r>
    </w:p>
    <w:p w14:paraId="18F9A233">
      <w:pPr>
        <w:pStyle w:val="23"/>
      </w:pPr>
      <w:r>
        <w:rPr>
          <w:rFonts w:ascii="Calibri" w:hAnsi="Calibri"/>
          <w:b/>
          <w:sz w:val="20"/>
        </w:rPr>
        <w:t xml:space="preserve">SecurityAlert: </w:t>
      </w:r>
      <w:r>
        <w:rPr>
          <w:rFonts w:ascii="Calibri" w:hAnsi="Calibri"/>
          <w:color w:val="2D3748"/>
          <w:sz w:val="20"/>
        </w:rPr>
        <w:t>id, type, severity, userId, description, detectedAt, resolvedAt, resolvedBy</w:t>
      </w:r>
    </w:p>
    <w:p w14:paraId="0E47676F">
      <w:pPr>
        <w:pStyle w:val="23"/>
      </w:pPr>
      <w:r>
        <w:rPr>
          <w:rFonts w:ascii="Calibri" w:hAnsi="Calibri"/>
          <w:b/>
          <w:sz w:val="20"/>
        </w:rPr>
        <w:t xml:space="preserve">DISHAConsent: </w:t>
      </w:r>
      <w:r>
        <w:rPr>
          <w:rFonts w:ascii="Calibri" w:hAnsi="Calibri"/>
          <w:color w:val="2D3748"/>
          <w:sz w:val="20"/>
        </w:rPr>
        <w:t>id, patientId, consentType, granted, grantedAt, revokedAt, guardianId, documentUrl</w:t>
      </w:r>
    </w:p>
    <w:p w14:paraId="63B8A8A2">
      <w:pPr>
        <w:pStyle w:val="23"/>
      </w:pPr>
      <w:r>
        <w:rPr>
          <w:rFonts w:ascii="Calibri" w:hAnsi="Calibri"/>
          <w:b/>
          <w:sz w:val="20"/>
        </w:rPr>
        <w:t xml:space="preserve">BackupRecord: </w:t>
      </w:r>
      <w:r>
        <w:rPr>
          <w:rFonts w:ascii="Calibri" w:hAnsi="Calibri"/>
          <w:color w:val="2D3748"/>
          <w:sz w:val="20"/>
        </w:rPr>
        <w:t>id, type, startedAt, completedAt, sizeBytes, s3Path, region, status, pitrWindow</w:t>
      </w:r>
    </w:p>
    <w:p w14:paraId="036F682F">
      <w:pPr>
        <w:pStyle w:val="4"/>
      </w:pPr>
      <w:r>
        <w:rPr>
          <w:rFonts w:ascii="Calibri" w:hAnsi="Calibri"/>
          <w:b/>
          <w:color w:val="2D3748"/>
          <w:sz w:val="24"/>
        </w:rPr>
        <w:t>Compliance Requirements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38"/>
        <w:gridCol w:w="3116"/>
        <w:gridCol w:w="4892"/>
      </w:tblGrid>
      <w:tr w14:paraId="305A4684">
        <w:trPr>
          <w:jc w:val="center"/>
        </w:trPr>
        <w:tc>
          <w:tcPr>
            <w:tcW w:w="1728" w:type="dxa"/>
            <w:shd w:val="clear" w:color="auto" w:fill="1B3A5C"/>
          </w:tcPr>
          <w:p w14:paraId="40B2299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Regulation</w:t>
            </w:r>
          </w:p>
        </w:tc>
        <w:tc>
          <w:tcPr>
            <w:tcW w:w="3600" w:type="dxa"/>
            <w:shd w:val="clear" w:color="auto" w:fill="1B3A5C"/>
          </w:tcPr>
          <w:p w14:paraId="3801D6A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w="5760" w:type="dxa"/>
            <w:shd w:val="clear" w:color="auto" w:fill="1B3A5C"/>
          </w:tcPr>
          <w:p w14:paraId="04B418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 w14:paraId="02038D56">
        <w:trPr>
          <w:jc w:val="center"/>
        </w:trPr>
        <w:tc>
          <w:tcPr>
            <w:tcW w:w="1728" w:type="dxa"/>
            <w:shd w:val="clear" w:color="auto" w:fill="F7F9FC"/>
          </w:tcPr>
          <w:p w14:paraId="5B10E9D7">
            <w:r>
              <w:rPr>
                <w:rFonts w:ascii="Calibri" w:hAnsi="Calibri"/>
                <w:color w:val="2D3748"/>
                <w:sz w:val="18"/>
              </w:rPr>
              <w:t>DISHA Act</w:t>
            </w:r>
          </w:p>
        </w:tc>
        <w:tc>
          <w:tcPr>
            <w:tcW w:w="3600" w:type="dxa"/>
            <w:shd w:val="clear" w:color="auto" w:fill="F7F9FC"/>
          </w:tcPr>
          <w:p w14:paraId="24BF18F1">
            <w:r>
              <w:rPr>
                <w:rFonts w:ascii="Calibri" w:hAnsi="Calibri"/>
                <w:color w:val="2D3748"/>
                <w:sz w:val="18"/>
              </w:rPr>
              <w:t>Patient consent for data collection, sharing, research</w:t>
            </w:r>
          </w:p>
        </w:tc>
        <w:tc>
          <w:tcPr>
            <w:tcW w:w="5760" w:type="dxa"/>
            <w:shd w:val="clear" w:color="auto" w:fill="F7F9FC"/>
          </w:tcPr>
          <w:p w14:paraId="073A67F3">
            <w:r>
              <w:rPr>
                <w:rFonts w:ascii="Calibri" w:hAnsi="Calibri"/>
                <w:color w:val="2D3748"/>
                <w:sz w:val="18"/>
              </w:rPr>
              <w:t>Consent checkboxes at registration; granular consent management; revocation workflow; 7-year audit retention</w:t>
            </w:r>
          </w:p>
        </w:tc>
      </w:tr>
      <w:tr w14:paraId="5B956235">
        <w:trPr>
          <w:jc w:val="center"/>
        </w:trPr>
        <w:tc>
          <w:tcPr>
            <w:tcW w:w="1728" w:type="dxa"/>
            <w:shd w:val="clear" w:color="auto" w:fill="FFFFFF"/>
          </w:tcPr>
          <w:p w14:paraId="47101AE5">
            <w:r>
              <w:rPr>
                <w:rFonts w:ascii="Calibri" w:hAnsi="Calibri"/>
                <w:color w:val="2D3748"/>
                <w:sz w:val="18"/>
              </w:rPr>
              <w:t>ABDM/ABHA</w:t>
            </w:r>
          </w:p>
        </w:tc>
        <w:tc>
          <w:tcPr>
            <w:tcW w:w="3600" w:type="dxa"/>
            <w:shd w:val="clear" w:color="auto" w:fill="FFFFFF"/>
          </w:tcPr>
          <w:p w14:paraId="0DE2015E">
            <w:r>
              <w:rPr>
                <w:rFonts w:ascii="Calibri" w:hAnsi="Calibri"/>
                <w:color w:val="2D3748"/>
                <w:sz w:val="18"/>
              </w:rPr>
              <w:t>Ayushman Bharat Digital Mission health ID integration</w:t>
            </w:r>
          </w:p>
        </w:tc>
        <w:tc>
          <w:tcPr>
            <w:tcW w:w="5760" w:type="dxa"/>
            <w:shd w:val="clear" w:color="auto" w:fill="FFFFFF"/>
          </w:tcPr>
          <w:p w14:paraId="3CD79B53">
            <w:r>
              <w:rPr>
                <w:rFonts w:ascii="Calibri" w:hAnsi="Calibri"/>
                <w:color w:val="2D3748"/>
                <w:sz w:val="18"/>
              </w:rPr>
              <w:t>ABHA ID field in patient registration; FHIR-compliant health record exchange; lab report push to ABDM</w:t>
            </w:r>
          </w:p>
        </w:tc>
      </w:tr>
      <w:tr w14:paraId="3DD16970">
        <w:trPr>
          <w:jc w:val="center"/>
        </w:trPr>
        <w:tc>
          <w:tcPr>
            <w:tcW w:w="1728" w:type="dxa"/>
            <w:shd w:val="clear" w:color="auto" w:fill="F7F9FC"/>
          </w:tcPr>
          <w:p w14:paraId="682CE159">
            <w:r>
              <w:rPr>
                <w:rFonts w:ascii="Calibri" w:hAnsi="Calibri"/>
                <w:color w:val="2D3748"/>
                <w:sz w:val="18"/>
              </w:rPr>
              <w:t>IT Act 2000</w:t>
            </w:r>
          </w:p>
        </w:tc>
        <w:tc>
          <w:tcPr>
            <w:tcW w:w="3600" w:type="dxa"/>
            <w:shd w:val="clear" w:color="auto" w:fill="F7F9FC"/>
          </w:tcPr>
          <w:p w14:paraId="61129C7A">
            <w:r>
              <w:rPr>
                <w:rFonts w:ascii="Calibri" w:hAnsi="Calibri"/>
                <w:color w:val="2D3748"/>
                <w:sz w:val="18"/>
              </w:rPr>
              <w:t>Data protection and electronic records</w:t>
            </w:r>
          </w:p>
        </w:tc>
        <w:tc>
          <w:tcPr>
            <w:tcW w:w="5760" w:type="dxa"/>
            <w:shd w:val="clear" w:color="auto" w:fill="F7F9FC"/>
          </w:tcPr>
          <w:p w14:paraId="083DCB4B">
            <w:r>
              <w:rPr>
                <w:rFonts w:ascii="Calibri" w:hAnsi="Calibri"/>
                <w:color w:val="2D3748"/>
                <w:sz w:val="18"/>
              </w:rPr>
              <w:t>AES-256 encryption at rest; TLS 1.3 in transit; digital signatures on reports; access logging</w:t>
            </w:r>
          </w:p>
        </w:tc>
      </w:tr>
      <w:tr w14:paraId="2B406EE4">
        <w:trPr>
          <w:jc w:val="center"/>
        </w:trPr>
        <w:tc>
          <w:tcPr>
            <w:tcW w:w="1728" w:type="dxa"/>
            <w:shd w:val="clear" w:color="auto" w:fill="FFFFFF"/>
          </w:tcPr>
          <w:p w14:paraId="078ECCF4">
            <w:r>
              <w:rPr>
                <w:rFonts w:ascii="Calibri" w:hAnsi="Calibri"/>
                <w:color w:val="2D3748"/>
                <w:sz w:val="18"/>
              </w:rPr>
              <w:t>GST Compliance</w:t>
            </w:r>
          </w:p>
        </w:tc>
        <w:tc>
          <w:tcPr>
            <w:tcW w:w="3600" w:type="dxa"/>
            <w:shd w:val="clear" w:color="auto" w:fill="FFFFFF"/>
          </w:tcPr>
          <w:p w14:paraId="205359B4">
            <w:r>
              <w:rPr>
                <w:rFonts w:ascii="Calibri" w:hAnsi="Calibri"/>
                <w:color w:val="2D3748"/>
                <w:sz w:val="18"/>
              </w:rPr>
              <w:t>Tax-compliant invoicing</w:t>
            </w:r>
          </w:p>
        </w:tc>
        <w:tc>
          <w:tcPr>
            <w:tcW w:w="5760" w:type="dxa"/>
            <w:shd w:val="clear" w:color="auto" w:fill="FFFFFF"/>
          </w:tcPr>
          <w:p w14:paraId="093A00EC">
            <w:r>
              <w:rPr>
                <w:rFonts w:ascii="Calibri" w:hAnsi="Calibri"/>
                <w:color w:val="2D3748"/>
                <w:sz w:val="18"/>
              </w:rPr>
              <w:t>HSN code mapping; CGST/SGST/IGST computation; E-invoice IRN generation; GST return data export</w:t>
            </w:r>
          </w:p>
        </w:tc>
      </w:tr>
      <w:tr w14:paraId="25BFA5F8">
        <w:trPr>
          <w:jc w:val="center"/>
        </w:trPr>
        <w:tc>
          <w:tcPr>
            <w:tcW w:w="1728" w:type="dxa"/>
            <w:shd w:val="clear" w:color="auto" w:fill="F7F9FC"/>
          </w:tcPr>
          <w:p w14:paraId="50D17B65">
            <w:r>
              <w:rPr>
                <w:rFonts w:ascii="Calibri" w:hAnsi="Calibri"/>
                <w:color w:val="2D3748"/>
                <w:sz w:val="18"/>
              </w:rPr>
              <w:t>PF/ESIC Act</w:t>
            </w:r>
          </w:p>
        </w:tc>
        <w:tc>
          <w:tcPr>
            <w:tcW w:w="3600" w:type="dxa"/>
            <w:shd w:val="clear" w:color="auto" w:fill="F7F9FC"/>
          </w:tcPr>
          <w:p w14:paraId="6CD944A8">
            <w:r>
              <w:rPr>
                <w:rFonts w:ascii="Calibri" w:hAnsi="Calibri"/>
                <w:color w:val="2D3748"/>
                <w:sz w:val="18"/>
              </w:rPr>
              <w:t>Statutory employee deductions</w:t>
            </w:r>
          </w:p>
        </w:tc>
        <w:tc>
          <w:tcPr>
            <w:tcW w:w="5760" w:type="dxa"/>
            <w:shd w:val="clear" w:color="auto" w:fill="F7F9FC"/>
          </w:tcPr>
          <w:p w14:paraId="48C0B1B6">
            <w:r>
              <w:rPr>
                <w:rFonts w:ascii="Calibri" w:hAnsi="Calibri"/>
                <w:color w:val="2D3748"/>
                <w:sz w:val="18"/>
              </w:rPr>
              <w:t>Auto-computation in payroll; challan generation; government format export</w:t>
            </w:r>
          </w:p>
        </w:tc>
      </w:tr>
      <w:tr w14:paraId="0CF07BC6">
        <w:trPr>
          <w:jc w:val="center"/>
        </w:trPr>
        <w:tc>
          <w:tcPr>
            <w:tcW w:w="1728" w:type="dxa"/>
            <w:shd w:val="clear" w:color="auto" w:fill="FFFFFF"/>
          </w:tcPr>
          <w:p w14:paraId="328457A9">
            <w:r>
              <w:rPr>
                <w:rFonts w:ascii="Calibri" w:hAnsi="Calibri"/>
                <w:color w:val="2D3748"/>
                <w:sz w:val="18"/>
              </w:rPr>
              <w:t>NABH Standards</w:t>
            </w:r>
          </w:p>
        </w:tc>
        <w:tc>
          <w:tcPr>
            <w:tcW w:w="3600" w:type="dxa"/>
            <w:shd w:val="clear" w:color="auto" w:fill="FFFFFF"/>
          </w:tcPr>
          <w:p w14:paraId="57172356">
            <w:r>
              <w:rPr>
                <w:rFonts w:ascii="Calibri" w:hAnsi="Calibri"/>
                <w:color w:val="2D3748"/>
                <w:sz w:val="18"/>
              </w:rPr>
              <w:t>Hospital accreditation readiness</w:t>
            </w:r>
          </w:p>
        </w:tc>
        <w:tc>
          <w:tcPr>
            <w:tcW w:w="5760" w:type="dxa"/>
            <w:shd w:val="clear" w:color="auto" w:fill="FFFFFF"/>
          </w:tcPr>
          <w:p w14:paraId="7FE8120D">
            <w:r>
              <w:rPr>
                <w:rFonts w:ascii="Calibri" w:hAnsi="Calibri"/>
                <w:color w:val="2D3748"/>
                <w:sz w:val="18"/>
              </w:rPr>
              <w:t>Standardized clinical workflows; TAT tracking; quality indicators; documentation completeness</w:t>
            </w:r>
          </w:p>
        </w:tc>
      </w:tr>
      <w:tr w14:paraId="7C606AD1">
        <w:trPr>
          <w:jc w:val="center"/>
        </w:trPr>
        <w:tc>
          <w:tcPr>
            <w:tcW w:w="1728" w:type="dxa"/>
            <w:shd w:val="clear" w:color="auto" w:fill="F7F9FC"/>
          </w:tcPr>
          <w:p w14:paraId="009997A9">
            <w:r>
              <w:rPr>
                <w:rFonts w:ascii="Calibri" w:hAnsi="Calibri"/>
                <w:color w:val="2D3748"/>
                <w:sz w:val="18"/>
              </w:rPr>
              <w:t>CERT-In Guidelines</w:t>
            </w:r>
          </w:p>
        </w:tc>
        <w:tc>
          <w:tcPr>
            <w:tcW w:w="3600" w:type="dxa"/>
            <w:shd w:val="clear" w:color="auto" w:fill="F7F9FC"/>
          </w:tcPr>
          <w:p w14:paraId="38B9E230">
            <w:r>
              <w:rPr>
                <w:rFonts w:ascii="Calibri" w:hAnsi="Calibri"/>
                <w:color w:val="2D3748"/>
                <w:sz w:val="18"/>
              </w:rPr>
              <w:t>Incident reporting and security practices</w:t>
            </w:r>
          </w:p>
        </w:tc>
        <w:tc>
          <w:tcPr>
            <w:tcW w:w="5760" w:type="dxa"/>
            <w:shd w:val="clear" w:color="auto" w:fill="F7F9FC"/>
          </w:tcPr>
          <w:p w14:paraId="12E1690C">
            <w:r>
              <w:rPr>
                <w:rFonts w:ascii="Calibri" w:hAnsi="Calibri"/>
                <w:color w:val="2D3748"/>
                <w:sz w:val="18"/>
              </w:rPr>
              <w:t>Security event monitoring; incident response procedures; vulnerability management</w:t>
            </w:r>
          </w:p>
        </w:tc>
      </w:tr>
    </w:tbl>
    <w:p w14:paraId="7AA06FDB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 w14:paraId="32078F9C">
        <w:trPr>
          <w:jc w:val="center"/>
        </w:trPr>
        <w:tc>
          <w:tcPr>
            <w:tcW w:w="2880" w:type="dxa"/>
            <w:shd w:val="clear" w:color="auto" w:fill="1B3A5C"/>
          </w:tcPr>
          <w:p w14:paraId="4174F26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4A03BA5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61C444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4355AB90">
        <w:trPr>
          <w:jc w:val="center"/>
        </w:trPr>
        <w:tc>
          <w:tcPr>
            <w:tcW w:w="2880" w:type="dxa"/>
            <w:shd w:val="clear" w:color="auto" w:fill="F7F9FC"/>
          </w:tcPr>
          <w:p w14:paraId="734F8D5D">
            <w:r>
              <w:rPr>
                <w:rFonts w:ascii="Calibri" w:hAnsi="Calibri"/>
                <w:color w:val="2D3748"/>
                <w:sz w:val="18"/>
              </w:rPr>
              <w:t>Audit log storage approaching capacity</w:t>
            </w:r>
          </w:p>
        </w:tc>
        <w:tc>
          <w:tcPr>
            <w:tcW w:w="2880" w:type="dxa"/>
            <w:shd w:val="clear" w:color="auto" w:fill="F7F9FC"/>
          </w:tcPr>
          <w:p w14:paraId="02736BAB">
            <w:r>
              <w:rPr>
                <w:rFonts w:ascii="Calibri" w:hAnsi="Calibri"/>
                <w:color w:val="2D3748"/>
                <w:sz w:val="18"/>
              </w:rPr>
              <w:t>Auto-archive to cold storage (S3 Glacier); alert platform admin; retention policy enforcement</w:t>
            </w:r>
          </w:p>
        </w:tc>
        <w:tc>
          <w:tcPr>
            <w:tcW w:w="2880" w:type="dxa"/>
            <w:shd w:val="clear" w:color="auto" w:fill="F7F9FC"/>
          </w:tcPr>
          <w:p w14:paraId="11D683C4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61B16C11">
        <w:trPr>
          <w:jc w:val="center"/>
        </w:trPr>
        <w:tc>
          <w:tcPr>
            <w:tcW w:w="2880" w:type="dxa"/>
            <w:shd w:val="clear" w:color="auto" w:fill="FFFFFF"/>
          </w:tcPr>
          <w:p w14:paraId="37750A53">
            <w:r>
              <w:rPr>
                <w:rFonts w:ascii="Calibri" w:hAnsi="Calibri"/>
                <w:color w:val="2D3748"/>
                <w:sz w:val="18"/>
              </w:rPr>
              <w:t>DISHA consent revocation mid-treatment</w:t>
            </w:r>
          </w:p>
        </w:tc>
        <w:tc>
          <w:tcPr>
            <w:tcW w:w="2880" w:type="dxa"/>
            <w:shd w:val="clear" w:color="auto" w:fill="FFFFFF"/>
          </w:tcPr>
          <w:p w14:paraId="4181DD8A">
            <w:r>
              <w:rPr>
                <w:rFonts w:ascii="Calibri" w:hAnsi="Calibri"/>
                <w:color w:val="2D3748"/>
                <w:sz w:val="18"/>
              </w:rPr>
              <w:t>Respect revocation for future data; existing treatment data retained per medical necessity; legal review flagged</w:t>
            </w:r>
          </w:p>
        </w:tc>
        <w:tc>
          <w:tcPr>
            <w:tcW w:w="2880" w:type="dxa"/>
            <w:shd w:val="clear" w:color="auto" w:fill="FFFFFF"/>
          </w:tcPr>
          <w:p w14:paraId="19EEED42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F02A465">
        <w:trPr>
          <w:jc w:val="center"/>
        </w:trPr>
        <w:tc>
          <w:tcPr>
            <w:tcW w:w="2880" w:type="dxa"/>
            <w:shd w:val="clear" w:color="auto" w:fill="F7F9FC"/>
          </w:tcPr>
          <w:p w14:paraId="473FAB68">
            <w:r>
              <w:rPr>
                <w:rFonts w:ascii="Calibri" w:hAnsi="Calibri"/>
                <w:color w:val="2D3748"/>
                <w:sz w:val="18"/>
              </w:rPr>
              <w:t>Brute-force login detected</w:t>
            </w:r>
          </w:p>
        </w:tc>
        <w:tc>
          <w:tcPr>
            <w:tcW w:w="2880" w:type="dxa"/>
            <w:shd w:val="clear" w:color="auto" w:fill="F7F9FC"/>
          </w:tcPr>
          <w:p w14:paraId="590E3B5E">
            <w:r>
              <w:rPr>
                <w:rFonts w:ascii="Calibri" w:hAnsi="Calibri"/>
                <w:color w:val="2D3748"/>
                <w:sz w:val="18"/>
              </w:rPr>
              <w:t>Account locked after 5 failures; CAPTCHA enforcement; IP-based rate limiting; security alert raised</w:t>
            </w:r>
          </w:p>
        </w:tc>
        <w:tc>
          <w:tcPr>
            <w:tcW w:w="2880" w:type="dxa"/>
            <w:shd w:val="clear" w:color="auto" w:fill="F7F9FC"/>
          </w:tcPr>
          <w:p w14:paraId="6B958546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3C968E1F">
        <w:trPr>
          <w:jc w:val="center"/>
        </w:trPr>
        <w:tc>
          <w:tcPr>
            <w:tcW w:w="2880" w:type="dxa"/>
            <w:shd w:val="clear" w:color="auto" w:fill="FFFFFF"/>
          </w:tcPr>
          <w:p w14:paraId="649BD830">
            <w:r>
              <w:rPr>
                <w:rFonts w:ascii="Calibri" w:hAnsi="Calibri"/>
                <w:color w:val="2D3748"/>
                <w:sz w:val="18"/>
              </w:rPr>
              <w:t>Backup failure</w:t>
            </w:r>
          </w:p>
        </w:tc>
        <w:tc>
          <w:tcPr>
            <w:tcW w:w="2880" w:type="dxa"/>
            <w:shd w:val="clear" w:color="auto" w:fill="FFFFFF"/>
          </w:tcPr>
          <w:p w14:paraId="67A9396D">
            <w:r>
              <w:rPr>
                <w:rFonts w:ascii="Calibri" w:hAnsi="Calibri"/>
                <w:color w:val="2D3748"/>
                <w:sz w:val="18"/>
              </w:rPr>
              <w:t>Immediate alert to platform admin; auto-retry in 30min; manual trigger option; RTO/RPO breach warning</w:t>
            </w:r>
          </w:p>
        </w:tc>
        <w:tc>
          <w:tcPr>
            <w:tcW w:w="2880" w:type="dxa"/>
            <w:shd w:val="clear" w:color="auto" w:fill="FFFFFF"/>
          </w:tcPr>
          <w:p w14:paraId="65ED4746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59B93740">
        <w:trPr>
          <w:jc w:val="center"/>
        </w:trPr>
        <w:tc>
          <w:tcPr>
            <w:tcW w:w="2880" w:type="dxa"/>
            <w:shd w:val="clear" w:color="auto" w:fill="F7F9FC"/>
          </w:tcPr>
          <w:p w14:paraId="50B62F3B">
            <w:r>
              <w:rPr>
                <w:rFonts w:ascii="Calibri" w:hAnsi="Calibri"/>
                <w:color w:val="2D3748"/>
                <w:sz w:val="18"/>
              </w:rPr>
              <w:t>Cross-tenant data leak attempt</w:t>
            </w:r>
          </w:p>
        </w:tc>
        <w:tc>
          <w:tcPr>
            <w:tcW w:w="2880" w:type="dxa"/>
            <w:shd w:val="clear" w:color="auto" w:fill="F7F9FC"/>
          </w:tcPr>
          <w:p w14:paraId="1E8B9622">
            <w:r>
              <w:rPr>
                <w:rFonts w:ascii="Calibri" w:hAnsi="Calibri"/>
                <w:color w:val="2D3748"/>
                <w:sz w:val="18"/>
              </w:rPr>
              <w:t>Request blocked by schema isolation; security alert P1; session terminated; forensic log captured</w:t>
            </w:r>
          </w:p>
        </w:tc>
        <w:tc>
          <w:tcPr>
            <w:tcW w:w="2880" w:type="dxa"/>
            <w:shd w:val="clear" w:color="auto" w:fill="F7F9FC"/>
          </w:tcPr>
          <w:p w14:paraId="0037628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</w:tbl>
    <w:p w14:paraId="5D893F72">
      <w:r>
        <w:br w:type="page"/>
      </w:r>
    </w:p>
    <w:p w14:paraId="491B1F81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4.10 M10 — Inpatient Department (IPD)</w:t>
      </w:r>
    </w:p>
    <w:p w14:paraId="373FC59D">
      <w:pPr>
        <w:shd w:val="clear"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Complete inpatient lifecycle from bed assignment through ward nursing, daily doctor rounds, medication administration (MAR), diet management, and structured discharge workflow.</w:t>
      </w:r>
    </w:p>
    <w:p w14:paraId="32B44328">
      <w:pPr>
        <w:pStyle w:val="4"/>
      </w:pPr>
      <w:r>
        <w:rPr>
          <w:rFonts w:ascii="Calibri" w:hAnsi="Calibri"/>
          <w:b/>
          <w:color w:val="2D3748"/>
          <w:sz w:val="24"/>
        </w:rPr>
        <w:t>Screens (5)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91"/>
        <w:gridCol w:w="2468"/>
        <w:gridCol w:w="5287"/>
      </w:tblGrid>
      <w:tr w14:paraId="2CF203E8">
        <w:trPr>
          <w:jc w:val="center"/>
        </w:trPr>
        <w:tc>
          <w:tcPr>
            <w:tcW w:w="2160" w:type="dxa"/>
            <w:shd w:val="clear" w:color="auto" w:fill="1B3A5C"/>
          </w:tcPr>
          <w:p w14:paraId="6656B6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17C4CB3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739B603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35D1D489">
        <w:trPr>
          <w:jc w:val="center"/>
        </w:trPr>
        <w:tc>
          <w:tcPr>
            <w:tcW w:w="2160" w:type="dxa"/>
            <w:shd w:val="clear" w:color="auto" w:fill="F7F9FC"/>
          </w:tcPr>
          <w:p w14:paraId="56EEFB3C">
            <w:r>
              <w:rPr>
                <w:rFonts w:ascii="Calibri" w:hAnsi="Calibri"/>
                <w:color w:val="2D3748"/>
                <w:sz w:val="18"/>
              </w:rPr>
              <w:t>Bed Map</w:t>
            </w:r>
          </w:p>
        </w:tc>
        <w:tc>
          <w:tcPr>
            <w:tcW w:w="2880" w:type="dxa"/>
            <w:shd w:val="clear" w:color="auto" w:fill="F7F9FC"/>
          </w:tcPr>
          <w:p w14:paraId="00A90DA1">
            <w:r>
              <w:rPr>
                <w:rFonts w:ascii="Calibri" w:hAnsi="Calibri"/>
                <w:color w:val="2D3748"/>
                <w:sz w:val="18"/>
              </w:rPr>
              <w:t>Visual ward-wise bed occupancy</w:t>
            </w:r>
          </w:p>
        </w:tc>
        <w:tc>
          <w:tcPr>
            <w:tcW w:w="5760" w:type="dxa"/>
            <w:shd w:val="clear" w:color="auto" w:fill="F7F9FC"/>
          </w:tcPr>
          <w:p w14:paraId="1E6DAE12">
            <w:r>
              <w:rPr>
                <w:rFonts w:ascii="Calibri" w:hAnsi="Calibri"/>
                <w:color w:val="2D3748"/>
                <w:sz w:val="18"/>
              </w:rPr>
              <w:t>Ward, Bed number, Status (Available/Occupied/Maintenance/Reserved), Patient name, Admission date, Doctor</w:t>
            </w:r>
          </w:p>
        </w:tc>
      </w:tr>
      <w:tr w14:paraId="3A20CADD">
        <w:trPr>
          <w:jc w:val="center"/>
        </w:trPr>
        <w:tc>
          <w:tcPr>
            <w:tcW w:w="2160" w:type="dxa"/>
            <w:shd w:val="clear" w:color="auto" w:fill="FFFFFF"/>
          </w:tcPr>
          <w:p w14:paraId="082E3297">
            <w:r>
              <w:rPr>
                <w:rFonts w:ascii="Calibri" w:hAnsi="Calibri"/>
                <w:color w:val="2D3748"/>
                <w:sz w:val="18"/>
              </w:rPr>
              <w:t>Admission</w:t>
            </w:r>
          </w:p>
        </w:tc>
        <w:tc>
          <w:tcPr>
            <w:tcW w:w="2880" w:type="dxa"/>
            <w:shd w:val="clear" w:color="auto" w:fill="FFFFFF"/>
          </w:tcPr>
          <w:p w14:paraId="22EEABB7">
            <w:r>
              <w:rPr>
                <w:rFonts w:ascii="Calibri" w:hAnsi="Calibri"/>
                <w:color w:val="2D3748"/>
                <w:sz w:val="18"/>
              </w:rPr>
              <w:t>Patient admission workflow</w:t>
            </w:r>
          </w:p>
        </w:tc>
        <w:tc>
          <w:tcPr>
            <w:tcW w:w="5760" w:type="dxa"/>
            <w:shd w:val="clear" w:color="auto" w:fill="FFFFFF"/>
          </w:tcPr>
          <w:p w14:paraId="360F1A16">
            <w:r>
              <w:rPr>
                <w:rFonts w:ascii="Calibri" w:hAnsi="Calibri"/>
                <w:color w:val="2D3748"/>
                <w:sz w:val="18"/>
              </w:rPr>
              <w:t>Patient UHID, Admitting doctor, Ward/Bed, Expected stay, Insurance details, Advance payment, Emergency flag</w:t>
            </w:r>
          </w:p>
        </w:tc>
      </w:tr>
      <w:tr w14:paraId="3FF16AB1">
        <w:trPr>
          <w:jc w:val="center"/>
        </w:trPr>
        <w:tc>
          <w:tcPr>
            <w:tcW w:w="2160" w:type="dxa"/>
            <w:shd w:val="clear" w:color="auto" w:fill="F7F9FC"/>
          </w:tcPr>
          <w:p w14:paraId="072100B6">
            <w:r>
              <w:rPr>
                <w:rFonts w:ascii="Calibri" w:hAnsi="Calibri"/>
                <w:color w:val="2D3748"/>
                <w:sz w:val="18"/>
              </w:rPr>
              <w:t>Nursing Station</w:t>
            </w:r>
          </w:p>
        </w:tc>
        <w:tc>
          <w:tcPr>
            <w:tcW w:w="2880" w:type="dxa"/>
            <w:shd w:val="clear" w:color="auto" w:fill="F7F9FC"/>
          </w:tcPr>
          <w:p w14:paraId="2C660D53">
            <w:r>
              <w:rPr>
                <w:rFonts w:ascii="Calibri" w:hAnsi="Calibri"/>
                <w:color w:val="2D3748"/>
                <w:sz w:val="18"/>
              </w:rPr>
              <w:t>Nurse-centric patient care dashboard</w:t>
            </w:r>
          </w:p>
        </w:tc>
        <w:tc>
          <w:tcPr>
            <w:tcW w:w="5760" w:type="dxa"/>
            <w:shd w:val="clear" w:color="auto" w:fill="F7F9FC"/>
          </w:tcPr>
          <w:p w14:paraId="7643FDE9">
            <w:r>
              <w:rPr>
                <w:rFonts w:ascii="Calibri" w:hAnsi="Calibri"/>
                <w:color w:val="2D3748"/>
                <w:sz w:val="18"/>
              </w:rPr>
              <w:t>Patient list, Vitals (BP/Pulse/Temp/SpO2), MAR, IV status, Diet orders, Alerts, Shift handover notes</w:t>
            </w:r>
          </w:p>
        </w:tc>
      </w:tr>
      <w:tr w14:paraId="5646632E">
        <w:trPr>
          <w:jc w:val="center"/>
        </w:trPr>
        <w:tc>
          <w:tcPr>
            <w:tcW w:w="2160" w:type="dxa"/>
            <w:shd w:val="clear" w:color="auto" w:fill="FFFFFF"/>
          </w:tcPr>
          <w:p w14:paraId="5DBFA37F">
            <w:r>
              <w:rPr>
                <w:rFonts w:ascii="Calibri" w:hAnsi="Calibri"/>
                <w:color w:val="2D3748"/>
                <w:sz w:val="18"/>
              </w:rPr>
              <w:t>Doctor Rounds</w:t>
            </w:r>
          </w:p>
        </w:tc>
        <w:tc>
          <w:tcPr>
            <w:tcW w:w="2880" w:type="dxa"/>
            <w:shd w:val="clear" w:color="auto" w:fill="FFFFFF"/>
          </w:tcPr>
          <w:p w14:paraId="00C3FD7F">
            <w:r>
              <w:rPr>
                <w:rFonts w:ascii="Calibri" w:hAnsi="Calibri"/>
                <w:color w:val="2D3748"/>
                <w:sz w:val="18"/>
              </w:rPr>
              <w:t>Daily progress notes and orders</w:t>
            </w:r>
          </w:p>
        </w:tc>
        <w:tc>
          <w:tcPr>
            <w:tcW w:w="5760" w:type="dxa"/>
            <w:shd w:val="clear" w:color="auto" w:fill="FFFFFF"/>
          </w:tcPr>
          <w:p w14:paraId="5F1751F9">
            <w:r>
              <w:rPr>
                <w:rFonts w:ascii="Calibri" w:hAnsi="Calibri"/>
                <w:color w:val="2D3748"/>
                <w:sz w:val="18"/>
              </w:rPr>
              <w:t>Patient, Vitals trend, Progress note (SOAP), New orders (medications/labs/procedures), Consultant referral</w:t>
            </w:r>
          </w:p>
        </w:tc>
      </w:tr>
      <w:tr w14:paraId="107561F2">
        <w:trPr>
          <w:jc w:val="center"/>
        </w:trPr>
        <w:tc>
          <w:tcPr>
            <w:tcW w:w="2160" w:type="dxa"/>
            <w:shd w:val="clear" w:color="auto" w:fill="F7F9FC"/>
          </w:tcPr>
          <w:p w14:paraId="3C203F80">
            <w:r>
              <w:rPr>
                <w:rFonts w:ascii="Calibri" w:hAnsi="Calibri"/>
                <w:color w:val="2D3748"/>
                <w:sz w:val="18"/>
              </w:rPr>
              <w:t>Discharge Checklist</w:t>
            </w:r>
          </w:p>
        </w:tc>
        <w:tc>
          <w:tcPr>
            <w:tcW w:w="2880" w:type="dxa"/>
            <w:shd w:val="clear" w:color="auto" w:fill="F7F9FC"/>
          </w:tcPr>
          <w:p w14:paraId="1C5B6F28">
            <w:r>
              <w:rPr>
                <w:rFonts w:ascii="Calibri" w:hAnsi="Calibri"/>
                <w:color w:val="2D3748"/>
                <w:sz w:val="18"/>
              </w:rPr>
              <w:t>Structured discharge process</w:t>
            </w:r>
          </w:p>
        </w:tc>
        <w:tc>
          <w:tcPr>
            <w:tcW w:w="5760" w:type="dxa"/>
            <w:shd w:val="clear" w:color="auto" w:fill="F7F9FC"/>
          </w:tcPr>
          <w:p w14:paraId="4941E48C">
            <w:r>
              <w:rPr>
                <w:rFonts w:ascii="Calibri" w:hAnsi="Calibri"/>
                <w:color w:val="2D3748"/>
                <w:sz w:val="18"/>
              </w:rPr>
              <w:t>Bill settlement status, Medication reconciliation, Follow-up scheduled, Discharge summary signed, Patient education done</w:t>
            </w:r>
          </w:p>
        </w:tc>
      </w:tr>
    </w:tbl>
    <w:p w14:paraId="1F14580E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4AA79842">
      <w:pPr>
        <w:pStyle w:val="23"/>
      </w:pPr>
      <w:r>
        <w:rPr>
          <w:rFonts w:ascii="Calibri" w:hAnsi="Calibri"/>
          <w:b/>
          <w:sz w:val="20"/>
        </w:rPr>
        <w:t xml:space="preserve">Admission: </w:t>
      </w:r>
      <w:r>
        <w:rPr>
          <w:rFonts w:ascii="Calibri" w:hAnsi="Calibri"/>
          <w:color w:val="2D3748"/>
          <w:sz w:val="20"/>
        </w:rPr>
        <w:t>id, patientId, admittingDoctorId, wardId, bedId, admittedAt, expectedStay, insuranceDetails{}, advancePayment, status</w:t>
      </w:r>
    </w:p>
    <w:p w14:paraId="3C91F15B">
      <w:pPr>
        <w:pStyle w:val="23"/>
      </w:pPr>
      <w:r>
        <w:rPr>
          <w:rFonts w:ascii="Calibri" w:hAnsi="Calibri"/>
          <w:b/>
          <w:sz w:val="20"/>
        </w:rPr>
        <w:t xml:space="preserve">BedMaster: </w:t>
      </w:r>
      <w:r>
        <w:rPr>
          <w:rFonts w:ascii="Calibri" w:hAnsi="Calibri"/>
          <w:color w:val="2D3748"/>
          <w:sz w:val="20"/>
        </w:rPr>
        <w:t>id, wardId, branchId, bedNumber, type (General/Semi-Private/Private/ICU), status, currentPatientId</w:t>
      </w:r>
    </w:p>
    <w:p w14:paraId="244CED71">
      <w:pPr>
        <w:pStyle w:val="23"/>
      </w:pPr>
      <w:r>
        <w:rPr>
          <w:rFonts w:ascii="Calibri" w:hAnsi="Calibri"/>
          <w:b/>
          <w:sz w:val="20"/>
        </w:rPr>
        <w:t xml:space="preserve">NursingRecord: </w:t>
      </w:r>
      <w:r>
        <w:rPr>
          <w:rFonts w:ascii="Calibri" w:hAnsi="Calibri"/>
          <w:color w:val="2D3748"/>
          <w:sz w:val="20"/>
        </w:rPr>
        <w:t>id, admissionId, nurseId, shiftId, vitals{}, marEntries[], dietOrders[], ivStatus, notes, timestamp</w:t>
      </w:r>
    </w:p>
    <w:p w14:paraId="62A1B9AF">
      <w:pPr>
        <w:pStyle w:val="23"/>
      </w:pPr>
      <w:r>
        <w:rPr>
          <w:rFonts w:ascii="Calibri" w:hAnsi="Calibri"/>
          <w:b/>
          <w:sz w:val="20"/>
        </w:rPr>
        <w:t xml:space="preserve">DoctorRound: </w:t>
      </w:r>
      <w:r>
        <w:rPr>
          <w:rFonts w:ascii="Calibri" w:hAnsi="Calibri"/>
          <w:color w:val="2D3748"/>
          <w:sz w:val="20"/>
        </w:rPr>
        <w:t>id, admissionId, doctorId, progressNote{soap}, newOrders[], referrals[], roundedAt</w:t>
      </w:r>
    </w:p>
    <w:p w14:paraId="6AA9FF5E">
      <w:pPr>
        <w:pStyle w:val="23"/>
      </w:pPr>
      <w:r>
        <w:rPr>
          <w:rFonts w:ascii="Calibri" w:hAnsi="Calibri"/>
          <w:b/>
          <w:sz w:val="20"/>
        </w:rPr>
        <w:t xml:space="preserve">DischargeChecklist: </w:t>
      </w:r>
      <w:r>
        <w:rPr>
          <w:rFonts w:ascii="Calibri" w:hAnsi="Calibri"/>
          <w:color w:val="2D3748"/>
          <w:sz w:val="20"/>
        </w:rPr>
        <w:t>id, admissionId, billSettled, medsReconciled, followUpScheduled, summarySigned, patientEducated, dischargedAt</w:t>
      </w:r>
    </w:p>
    <w:p w14:paraId="0FAF02E6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 w14:paraId="69681B3A">
        <w:trPr>
          <w:jc w:val="center"/>
        </w:trPr>
        <w:tc>
          <w:tcPr>
            <w:tcW w:w="2880" w:type="dxa"/>
            <w:shd w:val="clear" w:color="auto" w:fill="1B3A5C"/>
          </w:tcPr>
          <w:p w14:paraId="272FD34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51B840A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24FE809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1938A629">
        <w:trPr>
          <w:jc w:val="center"/>
        </w:trPr>
        <w:tc>
          <w:tcPr>
            <w:tcW w:w="2880" w:type="dxa"/>
            <w:shd w:val="clear" w:color="auto" w:fill="F7F9FC"/>
          </w:tcPr>
          <w:p w14:paraId="7F39DDB6">
            <w:r>
              <w:rPr>
                <w:rFonts w:ascii="Calibri" w:hAnsi="Calibri"/>
                <w:color w:val="2D3748"/>
                <w:sz w:val="18"/>
              </w:rPr>
              <w:t>No beds available in requested ward</w:t>
            </w:r>
          </w:p>
        </w:tc>
        <w:tc>
          <w:tcPr>
            <w:tcW w:w="2880" w:type="dxa"/>
            <w:shd w:val="clear" w:color="auto" w:fill="F7F9FC"/>
          </w:tcPr>
          <w:p w14:paraId="1C4E592F">
            <w:r>
              <w:rPr>
                <w:rFonts w:ascii="Calibri" w:hAnsi="Calibri"/>
                <w:color w:val="2D3748"/>
                <w:sz w:val="18"/>
              </w:rPr>
              <w:t>Show available beds in alternate wards; waitlist option; escalation to nursing supervisor</w:t>
            </w:r>
          </w:p>
        </w:tc>
        <w:tc>
          <w:tcPr>
            <w:tcW w:w="2880" w:type="dxa"/>
            <w:shd w:val="clear" w:color="auto" w:fill="F7F9FC"/>
          </w:tcPr>
          <w:p w14:paraId="329E2323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44216510">
        <w:trPr>
          <w:jc w:val="center"/>
        </w:trPr>
        <w:tc>
          <w:tcPr>
            <w:tcW w:w="2880" w:type="dxa"/>
            <w:shd w:val="clear" w:color="auto" w:fill="FFFFFF"/>
          </w:tcPr>
          <w:p w14:paraId="38917661">
            <w:r>
              <w:rPr>
                <w:rFonts w:ascii="Calibri" w:hAnsi="Calibri"/>
                <w:color w:val="2D3748"/>
                <w:sz w:val="18"/>
              </w:rPr>
              <w:t>Patient deterioration (critical vitals)</w:t>
            </w:r>
          </w:p>
        </w:tc>
        <w:tc>
          <w:tcPr>
            <w:tcW w:w="2880" w:type="dxa"/>
            <w:shd w:val="clear" w:color="auto" w:fill="FFFFFF"/>
          </w:tcPr>
          <w:p w14:paraId="6183D6ED">
            <w:r>
              <w:rPr>
                <w:rFonts w:ascii="Calibri" w:hAnsi="Calibri"/>
                <w:color w:val="2D3748"/>
                <w:sz w:val="18"/>
              </w:rPr>
              <w:t>Auto-alert attending doctor and nursing supervisor; escalation to ICU if configured; code blue trigger</w:t>
            </w:r>
          </w:p>
        </w:tc>
        <w:tc>
          <w:tcPr>
            <w:tcW w:w="2880" w:type="dxa"/>
            <w:shd w:val="clear" w:color="auto" w:fill="FFFFFF"/>
          </w:tcPr>
          <w:p w14:paraId="2F446DE4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0152AF32">
        <w:trPr>
          <w:jc w:val="center"/>
        </w:trPr>
        <w:tc>
          <w:tcPr>
            <w:tcW w:w="2880" w:type="dxa"/>
            <w:shd w:val="clear" w:color="auto" w:fill="F7F9FC"/>
          </w:tcPr>
          <w:p w14:paraId="530079C0">
            <w:r>
              <w:rPr>
                <w:rFonts w:ascii="Calibri" w:hAnsi="Calibri"/>
                <w:color w:val="2D3748"/>
                <w:sz w:val="18"/>
              </w:rPr>
              <w:t>Discharge with outstanding bill</w:t>
            </w:r>
          </w:p>
        </w:tc>
        <w:tc>
          <w:tcPr>
            <w:tcW w:w="2880" w:type="dxa"/>
            <w:shd w:val="clear" w:color="auto" w:fill="F7F9FC"/>
          </w:tcPr>
          <w:p w14:paraId="4F10C53F">
            <w:r>
              <w:rPr>
                <w:rFonts w:ascii="Calibri" w:hAnsi="Calibri"/>
                <w:color w:val="2D3748"/>
                <w:sz w:val="18"/>
              </w:rPr>
              <w:t>Block discharge until billing team confirmation; partial payment + undertaking option; Branch Admin override</w:t>
            </w:r>
          </w:p>
        </w:tc>
        <w:tc>
          <w:tcPr>
            <w:tcW w:w="2880" w:type="dxa"/>
            <w:shd w:val="clear" w:color="auto" w:fill="F7F9FC"/>
          </w:tcPr>
          <w:p w14:paraId="0815F4E2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0874402B">
        <w:trPr>
          <w:jc w:val="center"/>
        </w:trPr>
        <w:tc>
          <w:tcPr>
            <w:tcW w:w="2880" w:type="dxa"/>
            <w:shd w:val="clear" w:color="auto" w:fill="FFFFFF"/>
          </w:tcPr>
          <w:p w14:paraId="38F6EDDF">
            <w:r>
              <w:rPr>
                <w:rFonts w:ascii="Calibri" w:hAnsi="Calibri"/>
                <w:color w:val="2D3748"/>
                <w:sz w:val="18"/>
              </w:rPr>
              <w:t>Medication administration error</w:t>
            </w:r>
          </w:p>
        </w:tc>
        <w:tc>
          <w:tcPr>
            <w:tcW w:w="2880" w:type="dxa"/>
            <w:shd w:val="clear" w:color="auto" w:fill="FFFFFF"/>
          </w:tcPr>
          <w:p w14:paraId="392DD451">
            <w:r>
              <w:rPr>
                <w:rFonts w:ascii="Calibri" w:hAnsi="Calibri"/>
                <w:color w:val="2D3748"/>
                <w:sz w:val="18"/>
              </w:rPr>
              <w:t>MAR double-check required; scan medication barcode; patient wristband verification; incident report auto-generated</w:t>
            </w:r>
          </w:p>
        </w:tc>
        <w:tc>
          <w:tcPr>
            <w:tcW w:w="2880" w:type="dxa"/>
            <w:shd w:val="clear" w:color="auto" w:fill="FFFFFF"/>
          </w:tcPr>
          <w:p w14:paraId="6860CB9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2CCDA11F">
        <w:trPr>
          <w:jc w:val="center"/>
        </w:trPr>
        <w:tc>
          <w:tcPr>
            <w:tcW w:w="2880" w:type="dxa"/>
            <w:shd w:val="clear" w:color="auto" w:fill="F7F9FC"/>
          </w:tcPr>
          <w:p w14:paraId="242006DD">
            <w:r>
              <w:rPr>
                <w:rFonts w:ascii="Calibri" w:hAnsi="Calibri"/>
                <w:color w:val="2D3748"/>
                <w:sz w:val="18"/>
              </w:rPr>
              <w:t>Bed transfer during stay</w:t>
            </w:r>
          </w:p>
        </w:tc>
        <w:tc>
          <w:tcPr>
            <w:tcW w:w="2880" w:type="dxa"/>
            <w:shd w:val="clear" w:color="auto" w:fill="F7F9FC"/>
          </w:tcPr>
          <w:p w14:paraId="292DFE3B">
            <w:r>
              <w:rPr>
                <w:rFonts w:ascii="Calibri" w:hAnsi="Calibri"/>
                <w:color w:val="2D3748"/>
                <w:sz w:val="18"/>
              </w:rPr>
              <w:t>Update bed map atomically; transfer clinical records; notify all care team members</w:t>
            </w:r>
          </w:p>
        </w:tc>
        <w:tc>
          <w:tcPr>
            <w:tcW w:w="2880" w:type="dxa"/>
            <w:shd w:val="clear" w:color="auto" w:fill="F7F9FC"/>
          </w:tcPr>
          <w:p w14:paraId="69819149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47B74C82">
        <w:trPr>
          <w:jc w:val="center"/>
        </w:trPr>
        <w:tc>
          <w:tcPr>
            <w:tcW w:w="2880" w:type="dxa"/>
            <w:shd w:val="clear" w:color="auto" w:fill="FFFFFF"/>
          </w:tcPr>
          <w:p w14:paraId="32BDFDDE">
            <w:r>
              <w:rPr>
                <w:rFonts w:ascii="Calibri" w:hAnsi="Calibri"/>
                <w:color w:val="2D3748"/>
                <w:sz w:val="18"/>
              </w:rPr>
              <w:t>LAMA (Left Against Medical Advice)</w:t>
            </w:r>
          </w:p>
        </w:tc>
        <w:tc>
          <w:tcPr>
            <w:tcW w:w="2880" w:type="dxa"/>
            <w:shd w:val="clear" w:color="auto" w:fill="FFFFFF"/>
          </w:tcPr>
          <w:p w14:paraId="790EA41E">
            <w:r>
              <w:rPr>
                <w:rFonts w:ascii="Calibri" w:hAnsi="Calibri"/>
                <w:color w:val="2D3748"/>
                <w:sz w:val="18"/>
              </w:rPr>
              <w:t>LAMA form generated; doctor notification; partial billing; legal documentation</w:t>
            </w:r>
          </w:p>
        </w:tc>
        <w:tc>
          <w:tcPr>
            <w:tcW w:w="2880" w:type="dxa"/>
            <w:shd w:val="clear" w:color="auto" w:fill="FFFFFF"/>
          </w:tcPr>
          <w:p w14:paraId="5A050B11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</w:tbl>
    <w:p w14:paraId="69331290">
      <w:r>
        <w:br w:type="page"/>
      </w:r>
    </w:p>
    <w:p w14:paraId="6720E178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4.11 M11 — Appointment Scheduling</w:t>
      </w:r>
    </w:p>
    <w:p w14:paraId="20658F43">
      <w:pPr>
        <w:shd w:val="clear"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Real-time slot management for all OPD doctors across branches. Supports multi-channel booking (front desk, portal, phone), conflict prevention, automated reminders, check-in, and no-show tracking. Bidirectionally linked to Doctor Profiles (M05) for specialty and fee data.</w:t>
      </w:r>
    </w:p>
    <w:p w14:paraId="13EE1363">
      <w:pPr>
        <w:pStyle w:val="4"/>
      </w:pPr>
      <w:r>
        <w:rPr>
          <w:rFonts w:ascii="Calibri" w:hAnsi="Calibri"/>
          <w:b/>
          <w:color w:val="2D3748"/>
          <w:sz w:val="24"/>
        </w:rPr>
        <w:t>Screens (4)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82"/>
        <w:gridCol w:w="2560"/>
        <w:gridCol w:w="5104"/>
      </w:tblGrid>
      <w:tr w14:paraId="59FAC36C">
        <w:trPr>
          <w:jc w:val="center"/>
        </w:trPr>
        <w:tc>
          <w:tcPr>
            <w:tcW w:w="2160" w:type="dxa"/>
            <w:shd w:val="clear" w:color="auto" w:fill="1B3A5C"/>
          </w:tcPr>
          <w:p w14:paraId="7E0607A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2363822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578ACF8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3FCA1422">
        <w:trPr>
          <w:jc w:val="center"/>
        </w:trPr>
        <w:tc>
          <w:tcPr>
            <w:tcW w:w="2160" w:type="dxa"/>
            <w:shd w:val="clear" w:color="auto" w:fill="F7F9FC"/>
          </w:tcPr>
          <w:p w14:paraId="4EE4F9EC">
            <w:r>
              <w:rPr>
                <w:rFonts w:ascii="Calibri" w:hAnsi="Calibri"/>
                <w:color w:val="2D3748"/>
                <w:sz w:val="18"/>
              </w:rPr>
              <w:t>Doctor Schedule</w:t>
            </w:r>
          </w:p>
        </w:tc>
        <w:tc>
          <w:tcPr>
            <w:tcW w:w="2880" w:type="dxa"/>
            <w:shd w:val="clear" w:color="auto" w:fill="F7F9FC"/>
          </w:tcPr>
          <w:p w14:paraId="07F6459E">
            <w:r>
              <w:rPr>
                <w:rFonts w:ascii="Calibri" w:hAnsi="Calibri"/>
                <w:color w:val="2D3748"/>
                <w:sz w:val="18"/>
              </w:rPr>
              <w:t>Working days, hours, slot configuration</w:t>
            </w:r>
          </w:p>
        </w:tc>
        <w:tc>
          <w:tcPr>
            <w:tcW w:w="5760" w:type="dxa"/>
            <w:shd w:val="clear" w:color="auto" w:fill="F7F9FC"/>
          </w:tcPr>
          <w:p w14:paraId="7885A968">
            <w:r>
              <w:rPr>
                <w:rFonts w:ascii="Calibri" w:hAnsi="Calibri"/>
                <w:color w:val="2D3748"/>
                <w:sz w:val="18"/>
              </w:rPr>
              <w:t>Doctor (linked from M05), Branch, Working days, Start/End time, Slot duration, Max per slot, Block-out dates</w:t>
            </w:r>
          </w:p>
        </w:tc>
      </w:tr>
      <w:tr w14:paraId="702C3B32">
        <w:trPr>
          <w:jc w:val="center"/>
        </w:trPr>
        <w:tc>
          <w:tcPr>
            <w:tcW w:w="2160" w:type="dxa"/>
            <w:shd w:val="clear" w:color="auto" w:fill="FFFFFF"/>
          </w:tcPr>
          <w:p w14:paraId="7302F370">
            <w:r>
              <w:rPr>
                <w:rFonts w:ascii="Calibri" w:hAnsi="Calibri"/>
                <w:color w:val="2D3748"/>
                <w:sz w:val="18"/>
              </w:rPr>
              <w:t>Appointment Calendar</w:t>
            </w:r>
          </w:p>
        </w:tc>
        <w:tc>
          <w:tcPr>
            <w:tcW w:w="2880" w:type="dxa"/>
            <w:shd w:val="clear" w:color="auto" w:fill="FFFFFF"/>
          </w:tcPr>
          <w:p w14:paraId="25765E35">
            <w:r>
              <w:rPr>
                <w:rFonts w:ascii="Calibri" w:hAnsi="Calibri"/>
                <w:color w:val="2D3748"/>
                <w:sz w:val="18"/>
              </w:rPr>
              <w:t>Visual calendar with booking management</w:t>
            </w:r>
          </w:p>
        </w:tc>
        <w:tc>
          <w:tcPr>
            <w:tcW w:w="5760" w:type="dxa"/>
            <w:shd w:val="clear" w:color="auto" w:fill="FFFFFF"/>
          </w:tcPr>
          <w:p w14:paraId="3642C74C">
            <w:r>
              <w:rPr>
                <w:rFonts w:ascii="Calibri" w:hAnsi="Calibri"/>
                <w:color w:val="2D3748"/>
                <w:sz w:val="18"/>
              </w:rPr>
              <w:t>Date picker, Doctor filter, Slot grid (Available/Booked/Blocked), Patient details on hover, Drag-to-reschedule</w:t>
            </w:r>
          </w:p>
        </w:tc>
      </w:tr>
      <w:tr w14:paraId="43F68C30">
        <w:trPr>
          <w:jc w:val="center"/>
        </w:trPr>
        <w:tc>
          <w:tcPr>
            <w:tcW w:w="2160" w:type="dxa"/>
            <w:shd w:val="clear" w:color="auto" w:fill="F7F9FC"/>
          </w:tcPr>
          <w:p w14:paraId="452C15B9">
            <w:r>
              <w:rPr>
                <w:rFonts w:ascii="Calibri" w:hAnsi="Calibri"/>
                <w:color w:val="2D3748"/>
                <w:sz w:val="18"/>
              </w:rPr>
              <w:t>Check-In</w:t>
            </w:r>
          </w:p>
        </w:tc>
        <w:tc>
          <w:tcPr>
            <w:tcW w:w="2880" w:type="dxa"/>
            <w:shd w:val="clear" w:color="auto" w:fill="F7F9FC"/>
          </w:tcPr>
          <w:p w14:paraId="430D448D">
            <w:r>
              <w:rPr>
                <w:rFonts w:ascii="Calibri" w:hAnsi="Calibri"/>
                <w:color w:val="2D3748"/>
                <w:sz w:val="18"/>
              </w:rPr>
              <w:t>Day-of-visit patient check-in</w:t>
            </w:r>
          </w:p>
        </w:tc>
        <w:tc>
          <w:tcPr>
            <w:tcW w:w="5760" w:type="dxa"/>
            <w:shd w:val="clear" w:color="auto" w:fill="F7F9FC"/>
          </w:tcPr>
          <w:p w14:paraId="48D5E3E5">
            <w:r>
              <w:rPr>
                <w:rFonts w:ascii="Calibri" w:hAnsi="Calibri"/>
                <w:color w:val="2D3748"/>
                <w:sz w:val="18"/>
              </w:rPr>
              <w:t>QR scan / Booking code entry, Identity verification, OPD token auto-generation, Pre-loaded patient context</w:t>
            </w:r>
          </w:p>
        </w:tc>
      </w:tr>
      <w:tr w14:paraId="374F05AA">
        <w:trPr>
          <w:jc w:val="center"/>
        </w:trPr>
        <w:tc>
          <w:tcPr>
            <w:tcW w:w="2160" w:type="dxa"/>
            <w:shd w:val="clear" w:color="auto" w:fill="FFFFFF"/>
          </w:tcPr>
          <w:p w14:paraId="14E9AB25">
            <w:r>
              <w:rPr>
                <w:rFonts w:ascii="Calibri" w:hAnsi="Calibri"/>
                <w:color w:val="2D3748"/>
                <w:sz w:val="18"/>
              </w:rPr>
              <w:t>No-Show Tracker</w:t>
            </w:r>
          </w:p>
        </w:tc>
        <w:tc>
          <w:tcPr>
            <w:tcW w:w="2880" w:type="dxa"/>
            <w:shd w:val="clear" w:color="auto" w:fill="FFFFFF"/>
          </w:tcPr>
          <w:p w14:paraId="0FD7C5FB">
            <w:r>
              <w:rPr>
                <w:rFonts w:ascii="Calibri" w:hAnsi="Calibri"/>
                <w:color w:val="2D3748"/>
                <w:sz w:val="18"/>
              </w:rPr>
              <w:t>No-show analytics and management</w:t>
            </w:r>
          </w:p>
        </w:tc>
        <w:tc>
          <w:tcPr>
            <w:tcW w:w="5760" w:type="dxa"/>
            <w:shd w:val="clear" w:color="auto" w:fill="FFFFFF"/>
          </w:tcPr>
          <w:p w14:paraId="77933092">
            <w:r>
              <w:rPr>
                <w:rFonts w:ascii="Calibri" w:hAnsi="Calibri"/>
                <w:color w:val="2D3748"/>
                <w:sz w:val="18"/>
              </w:rPr>
              <w:t>No-show rate by doctor/department, Patient no-show history, Slot release automation, Follow-up actions</w:t>
            </w:r>
          </w:p>
        </w:tc>
      </w:tr>
    </w:tbl>
    <w:p w14:paraId="329A5056">
      <w:pPr>
        <w:pStyle w:val="4"/>
      </w:pPr>
      <w:r>
        <w:rPr>
          <w:rFonts w:ascii="Calibri" w:hAnsi="Calibri"/>
          <w:b/>
          <w:color w:val="2D3748"/>
          <w:sz w:val="24"/>
        </w:rPr>
        <w:t>Data Entities</w:t>
      </w:r>
    </w:p>
    <w:p w14:paraId="3297B388">
      <w:pPr>
        <w:pStyle w:val="23"/>
      </w:pPr>
      <w:r>
        <w:rPr>
          <w:rFonts w:ascii="Calibri" w:hAnsi="Calibri"/>
          <w:b/>
          <w:sz w:val="20"/>
        </w:rPr>
        <w:t xml:space="preserve">DoctorSchedule: </w:t>
      </w:r>
      <w:r>
        <w:rPr>
          <w:rFonts w:ascii="Calibri" w:hAnsi="Calibri"/>
          <w:color w:val="2D3748"/>
          <w:sz w:val="20"/>
        </w:rPr>
        <w:t>id, doctorId, branchId, workingDays[], slotDuration, startTime, endTime, maxPerSlot, effectiveFrom, blockOutDates[]</w:t>
      </w:r>
    </w:p>
    <w:p w14:paraId="490B14F6">
      <w:pPr>
        <w:pStyle w:val="23"/>
      </w:pPr>
      <w:r>
        <w:rPr>
          <w:rFonts w:ascii="Calibri" w:hAnsi="Calibri"/>
          <w:b/>
          <w:sz w:val="20"/>
        </w:rPr>
        <w:t xml:space="preserve">AppointmentSlot: </w:t>
      </w:r>
      <w:r>
        <w:rPr>
          <w:rFonts w:ascii="Calibri" w:hAnsi="Calibri"/>
          <w:color w:val="2D3748"/>
          <w:sz w:val="20"/>
        </w:rPr>
        <w:t>id, doctorId, branchId, slotDateTime, isBooked, isBlocked, blockReason</w:t>
      </w:r>
    </w:p>
    <w:p w14:paraId="5CC68CC6">
      <w:pPr>
        <w:pStyle w:val="23"/>
      </w:pPr>
      <w:r>
        <w:rPr>
          <w:rFonts w:ascii="Calibri" w:hAnsi="Calibri"/>
          <w:b/>
          <w:sz w:val="20"/>
        </w:rPr>
        <w:t xml:space="preserve">Appointment: </w:t>
      </w:r>
      <w:r>
        <w:rPr>
          <w:rFonts w:ascii="Calibri" w:hAnsi="Calibri"/>
          <w:color w:val="2D3748"/>
          <w:sz w:val="20"/>
        </w:rPr>
        <w:t>id, slotId, patientId, bookingCode, channel (Walk-in/Portal/Phone), status, reminders[], checkedInAt, noShowFlaggedAt</w:t>
      </w:r>
    </w:p>
    <w:p w14:paraId="7B8B524B">
      <w:pPr>
        <w:pStyle w:val="23"/>
      </w:pPr>
      <w:r>
        <w:rPr>
          <w:rFonts w:ascii="Calibri" w:hAnsi="Calibri"/>
          <w:b/>
          <w:sz w:val="20"/>
        </w:rPr>
        <w:t xml:space="preserve">NoShowRecord: </w:t>
      </w:r>
      <w:r>
        <w:rPr>
          <w:rFonts w:ascii="Calibri" w:hAnsi="Calibri"/>
          <w:color w:val="2D3748"/>
          <w:sz w:val="20"/>
        </w:rPr>
        <w:t>id, appointmentId, patientId, flaggedAt, actionTaken, slotReleasedAt</w:t>
      </w:r>
    </w:p>
    <w:p w14:paraId="2DF0AB69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 w14:paraId="75BB52A8">
        <w:trPr>
          <w:jc w:val="center"/>
        </w:trPr>
        <w:tc>
          <w:tcPr>
            <w:tcW w:w="2880" w:type="dxa"/>
            <w:shd w:val="clear" w:color="auto" w:fill="1B3A5C"/>
          </w:tcPr>
          <w:p w14:paraId="4EA2A7C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608DEE7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70D103D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32878FCD">
        <w:trPr>
          <w:jc w:val="center"/>
        </w:trPr>
        <w:tc>
          <w:tcPr>
            <w:tcW w:w="2880" w:type="dxa"/>
            <w:shd w:val="clear" w:color="auto" w:fill="F7F9FC"/>
          </w:tcPr>
          <w:p w14:paraId="767F2CD5">
            <w:r>
              <w:rPr>
                <w:rFonts w:ascii="Calibri" w:hAnsi="Calibri"/>
                <w:color w:val="2D3748"/>
                <w:sz w:val="18"/>
              </w:rPr>
              <w:t>Double-booking same slot (race condition)</w:t>
            </w:r>
          </w:p>
        </w:tc>
        <w:tc>
          <w:tcPr>
            <w:tcW w:w="2880" w:type="dxa"/>
            <w:shd w:val="clear" w:color="auto" w:fill="F7F9FC"/>
          </w:tcPr>
          <w:p w14:paraId="3B94371C">
            <w:r>
              <w:rPr>
                <w:rFonts w:ascii="Calibri" w:hAnsi="Calibri"/>
                <w:color w:val="2D3748"/>
                <w:sz w:val="18"/>
              </w:rPr>
              <w:t>Optimistic locking on slot record; second booking fails with suggestion of next available slot</w:t>
            </w:r>
          </w:p>
        </w:tc>
        <w:tc>
          <w:tcPr>
            <w:tcW w:w="2880" w:type="dxa"/>
            <w:shd w:val="clear" w:color="auto" w:fill="F7F9FC"/>
          </w:tcPr>
          <w:p w14:paraId="323E9F2B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7F5692D">
        <w:trPr>
          <w:jc w:val="center"/>
        </w:trPr>
        <w:tc>
          <w:tcPr>
            <w:tcW w:w="2880" w:type="dxa"/>
            <w:shd w:val="clear" w:color="auto" w:fill="FFFFFF"/>
          </w:tcPr>
          <w:p w14:paraId="67A15724">
            <w:r>
              <w:rPr>
                <w:rFonts w:ascii="Calibri" w:hAnsi="Calibri"/>
                <w:color w:val="2D3748"/>
                <w:sz w:val="18"/>
              </w:rPr>
              <w:t>Doctor calls in sick</w:t>
            </w:r>
          </w:p>
        </w:tc>
        <w:tc>
          <w:tcPr>
            <w:tcW w:w="2880" w:type="dxa"/>
            <w:shd w:val="clear" w:color="auto" w:fill="FFFFFF"/>
          </w:tcPr>
          <w:p w14:paraId="29EF5271">
            <w:r>
              <w:rPr>
                <w:rFonts w:ascii="Calibri" w:hAnsi="Calibri"/>
                <w:color w:val="2D3748"/>
                <w:sz w:val="18"/>
              </w:rPr>
              <w:t>Bulk cancel day's appointments; auto-notify all patients; offer rebooking to alternate doctors</w:t>
            </w:r>
          </w:p>
        </w:tc>
        <w:tc>
          <w:tcPr>
            <w:tcW w:w="2880" w:type="dxa"/>
            <w:shd w:val="clear" w:color="auto" w:fill="FFFFFF"/>
          </w:tcPr>
          <w:p w14:paraId="780C2F87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2AE5FCAA">
        <w:trPr>
          <w:jc w:val="center"/>
        </w:trPr>
        <w:tc>
          <w:tcPr>
            <w:tcW w:w="2880" w:type="dxa"/>
            <w:shd w:val="clear" w:color="auto" w:fill="F7F9FC"/>
          </w:tcPr>
          <w:p w14:paraId="31D563C5">
            <w:r>
              <w:rPr>
                <w:rFonts w:ascii="Calibri" w:hAnsi="Calibri"/>
                <w:color w:val="2D3748"/>
                <w:sz w:val="18"/>
              </w:rPr>
              <w:t>Patient arrives without appointment</w:t>
            </w:r>
          </w:p>
        </w:tc>
        <w:tc>
          <w:tcPr>
            <w:tcW w:w="2880" w:type="dxa"/>
            <w:shd w:val="clear" w:color="auto" w:fill="F7F9FC"/>
          </w:tcPr>
          <w:p w14:paraId="71ACB189">
            <w:r>
              <w:rPr>
                <w:rFonts w:ascii="Calibri" w:hAnsi="Calibri"/>
                <w:color w:val="2D3748"/>
                <w:sz w:val="18"/>
              </w:rPr>
              <w:t>Walk-in booking if slots available; waitlist if full; redirect to emergency if urgent</w:t>
            </w:r>
          </w:p>
        </w:tc>
        <w:tc>
          <w:tcPr>
            <w:tcW w:w="2880" w:type="dxa"/>
            <w:shd w:val="clear" w:color="auto" w:fill="F7F9FC"/>
          </w:tcPr>
          <w:p w14:paraId="4AB3FEB2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5052D2BB">
        <w:trPr>
          <w:jc w:val="center"/>
        </w:trPr>
        <w:tc>
          <w:tcPr>
            <w:tcW w:w="2880" w:type="dxa"/>
            <w:shd w:val="clear" w:color="auto" w:fill="FFFFFF"/>
          </w:tcPr>
          <w:p w14:paraId="43184152">
            <w:r>
              <w:rPr>
                <w:rFonts w:ascii="Calibri" w:hAnsi="Calibri"/>
                <w:color w:val="2D3748"/>
                <w:sz w:val="18"/>
              </w:rPr>
              <w:t>Reminder delivery failure (SMS)</w:t>
            </w:r>
          </w:p>
        </w:tc>
        <w:tc>
          <w:tcPr>
            <w:tcW w:w="2880" w:type="dxa"/>
            <w:shd w:val="clear" w:color="auto" w:fill="FFFFFF"/>
          </w:tcPr>
          <w:p w14:paraId="0EBE5D24">
            <w:r>
              <w:rPr>
                <w:rFonts w:ascii="Calibri" w:hAnsi="Calibri"/>
                <w:color w:val="2D3748"/>
                <w:sz w:val="18"/>
              </w:rPr>
              <w:t>Fallback to WhatsApp → Email → Push notification; flag undelivered for manual follow-up</w:t>
            </w:r>
          </w:p>
        </w:tc>
        <w:tc>
          <w:tcPr>
            <w:tcW w:w="2880" w:type="dxa"/>
            <w:shd w:val="clear" w:color="auto" w:fill="FFFFFF"/>
          </w:tcPr>
          <w:p w14:paraId="41FC211D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7DF8FC7A">
        <w:trPr>
          <w:jc w:val="center"/>
        </w:trPr>
        <w:tc>
          <w:tcPr>
            <w:tcW w:w="2880" w:type="dxa"/>
            <w:shd w:val="clear" w:color="auto" w:fill="F7F9FC"/>
          </w:tcPr>
          <w:p w14:paraId="534C46DF">
            <w:r>
              <w:rPr>
                <w:rFonts w:ascii="Calibri" w:hAnsi="Calibri"/>
                <w:color w:val="2D3748"/>
                <w:sz w:val="18"/>
              </w:rPr>
              <w:t>Chronic no-show patient</w:t>
            </w:r>
          </w:p>
        </w:tc>
        <w:tc>
          <w:tcPr>
            <w:tcW w:w="2880" w:type="dxa"/>
            <w:shd w:val="clear" w:color="auto" w:fill="F7F9FC"/>
          </w:tcPr>
          <w:p w14:paraId="55CA4FCB">
            <w:r>
              <w:rPr>
                <w:rFonts w:ascii="Calibri" w:hAnsi="Calibri"/>
                <w:color w:val="2D3748"/>
                <w:sz w:val="18"/>
              </w:rPr>
              <w:t>Flag in patient profile; require advance payment/deposit for future bookings after 3 no-shows</w:t>
            </w:r>
          </w:p>
        </w:tc>
        <w:tc>
          <w:tcPr>
            <w:tcW w:w="2880" w:type="dxa"/>
            <w:shd w:val="clear" w:color="auto" w:fill="F7F9FC"/>
          </w:tcPr>
          <w:p w14:paraId="5F6D9975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  <w:tr w14:paraId="05929EC9">
        <w:trPr>
          <w:jc w:val="center"/>
        </w:trPr>
        <w:tc>
          <w:tcPr>
            <w:tcW w:w="2880" w:type="dxa"/>
            <w:shd w:val="clear" w:color="auto" w:fill="FFFFFF"/>
          </w:tcPr>
          <w:p w14:paraId="4EB69B82">
            <w:r>
              <w:rPr>
                <w:rFonts w:ascii="Calibri" w:hAnsi="Calibri"/>
                <w:color w:val="2D3748"/>
                <w:sz w:val="18"/>
              </w:rPr>
              <w:t>Schedule change affecting existing bookings</w:t>
            </w:r>
          </w:p>
        </w:tc>
        <w:tc>
          <w:tcPr>
            <w:tcW w:w="2880" w:type="dxa"/>
            <w:shd w:val="clear" w:color="auto" w:fill="FFFFFF"/>
          </w:tcPr>
          <w:p w14:paraId="0D624222">
            <w:r>
              <w:rPr>
                <w:rFonts w:ascii="Calibri" w:hAnsi="Calibri"/>
                <w:color w:val="2D3748"/>
                <w:sz w:val="18"/>
              </w:rPr>
              <w:t>Identify affected appointments; bulk reschedule or cancel with notification; patient choice honored</w:t>
            </w:r>
          </w:p>
        </w:tc>
        <w:tc>
          <w:tcPr>
            <w:tcW w:w="2880" w:type="dxa"/>
            <w:shd w:val="clear" w:color="auto" w:fill="FFFFFF"/>
          </w:tcPr>
          <w:p w14:paraId="58C9533E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</w:tbl>
    <w:p w14:paraId="38F8BE8B">
      <w:r>
        <w:br w:type="page"/>
      </w:r>
    </w:p>
    <w:p w14:paraId="39BF3862">
      <w:pPr>
        <w:pStyle w:val="3"/>
        <w:pBdr>
          <w:left w:val="single" w:color="0D7377" w:sz="36" w:space="8"/>
          <w:bottom w:val="single" w:color="0D7377" w:sz="8" w:space="4"/>
        </w:pBdr>
        <w:shd w:val="clear" w:color="auto" w:fill="EBF8FF"/>
        <w:ind w:left="240" w:right="120"/>
      </w:pPr>
      <w:r>
        <w:rPr>
          <w:rFonts w:ascii="Calibri" w:hAnsi="Calibri"/>
          <w:b/>
          <w:color w:val="0D7377"/>
          <w:sz w:val="30"/>
        </w:rPr>
        <w:t>4.12 M12 — Platform Administration</w:t>
      </w:r>
    </w:p>
    <w:p w14:paraId="7BAABB2C">
      <w:pPr>
        <w:shd w:val="clear" w:fill="E8EDF3"/>
      </w:pPr>
      <w:r>
        <w:rPr>
          <w:rFonts w:ascii="Calibri" w:hAnsi="Calibri"/>
          <w:b/>
          <w:sz w:val="20"/>
        </w:rPr>
        <w:t xml:space="preserve">Category: Infrastructure  |  </w:t>
      </w:r>
      <w:r>
        <w:rPr>
          <w:rFonts w:ascii="Calibri" w:hAnsi="Calibri"/>
          <w:sz w:val="20"/>
        </w:rPr>
        <w:t>Super Admin interface for managing the entire HMS SaaS platform. Handles tenant lifecycle, schema provisioning, health monitoring, global configuration, and cross-tenant analytics.</w:t>
      </w:r>
    </w:p>
    <w:p w14:paraId="1482E174">
      <w:pPr>
        <w:pStyle w:val="4"/>
      </w:pPr>
      <w:r>
        <w:rPr>
          <w:rFonts w:ascii="Calibri" w:hAnsi="Calibri"/>
          <w:b/>
          <w:color w:val="2D3748"/>
          <w:sz w:val="24"/>
        </w:rPr>
        <w:t>Screens (4)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74"/>
        <w:gridCol w:w="2541"/>
        <w:gridCol w:w="5131"/>
      </w:tblGrid>
      <w:tr w14:paraId="02B83C22">
        <w:trPr>
          <w:jc w:val="center"/>
        </w:trPr>
        <w:tc>
          <w:tcPr>
            <w:tcW w:w="2160" w:type="dxa"/>
            <w:shd w:val="clear" w:color="auto" w:fill="1B3A5C"/>
          </w:tcPr>
          <w:p w14:paraId="7104174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w="2880" w:type="dxa"/>
            <w:shd w:val="clear" w:color="auto" w:fill="1B3A5C"/>
          </w:tcPr>
          <w:p w14:paraId="7EBA4D6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5760" w:type="dxa"/>
            <w:shd w:val="clear" w:color="auto" w:fill="1B3A5C"/>
          </w:tcPr>
          <w:p w14:paraId="36595CD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 w14:paraId="0406A3D4">
        <w:trPr>
          <w:jc w:val="center"/>
        </w:trPr>
        <w:tc>
          <w:tcPr>
            <w:tcW w:w="2160" w:type="dxa"/>
            <w:shd w:val="clear" w:color="auto" w:fill="F7F9FC"/>
          </w:tcPr>
          <w:p w14:paraId="299E2E64">
            <w:r>
              <w:rPr>
                <w:rFonts w:ascii="Calibri" w:hAnsi="Calibri"/>
                <w:color w:val="2D3748"/>
                <w:sz w:val="18"/>
              </w:rPr>
              <w:t>Tenant Onboarding</w:t>
            </w:r>
          </w:p>
        </w:tc>
        <w:tc>
          <w:tcPr>
            <w:tcW w:w="2880" w:type="dxa"/>
            <w:shd w:val="clear" w:color="auto" w:fill="F7F9FC"/>
          </w:tcPr>
          <w:p w14:paraId="5D167F74">
            <w:r>
              <w:rPr>
                <w:rFonts w:ascii="Calibri" w:hAnsi="Calibri"/>
                <w:color w:val="2D3748"/>
                <w:sz w:val="18"/>
              </w:rPr>
              <w:t>5-step wizard for new tenant setup</w:t>
            </w:r>
          </w:p>
        </w:tc>
        <w:tc>
          <w:tcPr>
            <w:tcW w:w="5760" w:type="dxa"/>
            <w:shd w:val="clear" w:color="auto" w:fill="F7F9FC"/>
          </w:tcPr>
          <w:p w14:paraId="0F88893B">
            <w:r>
              <w:rPr>
                <w:rFonts w:ascii="Calibri" w:hAnsi="Calibri"/>
                <w:color w:val="2D3748"/>
                <w:sz w:val="18"/>
              </w:rPr>
              <w:t>Org Name, Subdomain, Primary Contact, GSTIN, Plan (Starter/Professional/Enterprise), Module Activation, Schema Provisioning</w:t>
            </w:r>
          </w:p>
        </w:tc>
      </w:tr>
      <w:tr w14:paraId="3C8414E4">
        <w:trPr>
          <w:jc w:val="center"/>
        </w:trPr>
        <w:tc>
          <w:tcPr>
            <w:tcW w:w="2160" w:type="dxa"/>
            <w:shd w:val="clear" w:color="auto" w:fill="FFFFFF"/>
          </w:tcPr>
          <w:p w14:paraId="36A1A3C8">
            <w:r>
              <w:rPr>
                <w:rFonts w:ascii="Calibri" w:hAnsi="Calibri"/>
                <w:color w:val="2D3748"/>
                <w:sz w:val="18"/>
              </w:rPr>
              <w:t>Tenant Management</w:t>
            </w:r>
          </w:p>
        </w:tc>
        <w:tc>
          <w:tcPr>
            <w:tcW w:w="2880" w:type="dxa"/>
            <w:shd w:val="clear" w:color="auto" w:fill="FFFFFF"/>
          </w:tcPr>
          <w:p w14:paraId="0BCAC6FB">
            <w:r>
              <w:rPr>
                <w:rFonts w:ascii="Calibri" w:hAnsi="Calibri"/>
                <w:color w:val="2D3748"/>
                <w:sz w:val="18"/>
              </w:rPr>
              <w:t>All tenants lifecycle dashboard</w:t>
            </w:r>
          </w:p>
        </w:tc>
        <w:tc>
          <w:tcPr>
            <w:tcW w:w="5760" w:type="dxa"/>
            <w:shd w:val="clear" w:color="auto" w:fill="FFFFFF"/>
          </w:tcPr>
          <w:p w14:paraId="0DFC9B53">
            <w:r>
              <w:rPr>
                <w:rFonts w:ascii="Calibri" w:hAnsi="Calibri"/>
                <w:color w:val="2D3748"/>
                <w:sz w:val="18"/>
              </w:rPr>
              <w:t>Tenant, Subdomain, Plan, Branches, Users, Status (Active/Suspended/Trial), MRR, Billing</w:t>
            </w:r>
          </w:p>
        </w:tc>
      </w:tr>
      <w:tr w14:paraId="34B055D9">
        <w:trPr>
          <w:jc w:val="center"/>
        </w:trPr>
        <w:tc>
          <w:tcPr>
            <w:tcW w:w="2160" w:type="dxa"/>
            <w:shd w:val="clear" w:color="auto" w:fill="F7F9FC"/>
          </w:tcPr>
          <w:p w14:paraId="5104EBD8">
            <w:r>
              <w:rPr>
                <w:rFonts w:ascii="Calibri" w:hAnsi="Calibri"/>
                <w:color w:val="2D3748"/>
                <w:sz w:val="18"/>
              </w:rPr>
              <w:t>Platform Health</w:t>
            </w:r>
          </w:p>
        </w:tc>
        <w:tc>
          <w:tcPr>
            <w:tcW w:w="2880" w:type="dxa"/>
            <w:shd w:val="clear" w:color="auto" w:fill="F7F9FC"/>
          </w:tcPr>
          <w:p w14:paraId="1D8779DC">
            <w:r>
              <w:rPr>
                <w:rFonts w:ascii="Calibri" w:hAnsi="Calibri"/>
                <w:color w:val="2D3748"/>
                <w:sz w:val="18"/>
              </w:rPr>
              <w:t>Infrastructure monitoring</w:t>
            </w:r>
          </w:p>
        </w:tc>
        <w:tc>
          <w:tcPr>
            <w:tcW w:w="5760" w:type="dxa"/>
            <w:shd w:val="clear" w:color="auto" w:fill="F7F9FC"/>
          </w:tcPr>
          <w:p w14:paraId="0D9AEB68">
            <w:r>
              <w:rPr>
                <w:rFonts w:ascii="Calibri" w:hAnsi="Calibri"/>
                <w:color w:val="2D3748"/>
                <w:sz w:val="18"/>
              </w:rPr>
              <w:t>Uptime (30d), K8s Pods status, API P95 latency, Kafka consumer lag, DB connections, Redis memory, Disk usage</w:t>
            </w:r>
          </w:p>
        </w:tc>
      </w:tr>
      <w:tr w14:paraId="430A988D">
        <w:trPr>
          <w:jc w:val="center"/>
        </w:trPr>
        <w:tc>
          <w:tcPr>
            <w:tcW w:w="2160" w:type="dxa"/>
            <w:shd w:val="clear" w:color="auto" w:fill="FFFFFF"/>
          </w:tcPr>
          <w:p w14:paraId="6A428D6F">
            <w:r>
              <w:rPr>
                <w:rFonts w:ascii="Calibri" w:hAnsi="Calibri"/>
                <w:color w:val="2D3748"/>
                <w:sz w:val="18"/>
              </w:rPr>
              <w:t>Global Config</w:t>
            </w:r>
          </w:p>
        </w:tc>
        <w:tc>
          <w:tcPr>
            <w:tcW w:w="2880" w:type="dxa"/>
            <w:shd w:val="clear" w:color="auto" w:fill="FFFFFF"/>
          </w:tcPr>
          <w:p w14:paraId="0349A749">
            <w:r>
              <w:rPr>
                <w:rFonts w:ascii="Calibri" w:hAnsi="Calibri"/>
                <w:color w:val="2D3748"/>
                <w:sz w:val="18"/>
              </w:rPr>
              <w:t>Platform-wide settings management</w:t>
            </w:r>
          </w:p>
        </w:tc>
        <w:tc>
          <w:tcPr>
            <w:tcW w:w="5760" w:type="dxa"/>
            <w:shd w:val="clear" w:color="auto" w:fill="FFFFFF"/>
          </w:tcPr>
          <w:p w14:paraId="4F1541D6">
            <w:r>
              <w:rPr>
                <w:rFonts w:ascii="Calibri" w:hAnsi="Calibri"/>
                <w:color w:val="2D3748"/>
                <w:sz w:val="18"/>
              </w:rPr>
              <w:t>Notification templates, GST rates library, Drug interaction DB (Rxnorm), ICD-10 codes, System-wide parameters</w:t>
            </w:r>
          </w:p>
        </w:tc>
      </w:tr>
    </w:tbl>
    <w:p w14:paraId="12EA1725">
      <w:pPr>
        <w:pStyle w:val="4"/>
      </w:pPr>
      <w:r>
        <w:rPr>
          <w:rFonts w:ascii="Calibri" w:hAnsi="Calibri"/>
          <w:b/>
          <w:color w:val="2D3748"/>
          <w:sz w:val="24"/>
        </w:rPr>
        <w:t>Tenant Provisioning Workflow</w:t>
      </w:r>
    </w:p>
    <w:p w14:paraId="3333658A">
      <w:r>
        <w:t>New Tenant Setup: Org Details → Plan Selection → Module Activation → Schema Provisioning (PostgreSQL schema creation + Flyway migrations for all 12 modules) → DNS record creation → Admin credentials generated and emailed → Tenant active within 5 minutes.</w:t>
      </w:r>
    </w:p>
    <w:p w14:paraId="4E4BAE0E">
      <w:pPr>
        <w:pStyle w:val="4"/>
      </w:pPr>
      <w:r>
        <w:rPr>
          <w:rFonts w:ascii="Calibri" w:hAnsi="Calibri"/>
          <w:b/>
          <w:color w:val="2D3748"/>
          <w:sz w:val="24"/>
        </w:rPr>
        <w:t>Edge Cases &amp; Error Handling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 w14:paraId="50E5398B">
        <w:trPr>
          <w:jc w:val="center"/>
        </w:trPr>
        <w:tc>
          <w:tcPr>
            <w:tcW w:w="2880" w:type="dxa"/>
            <w:shd w:val="clear" w:color="auto" w:fill="1B3A5C"/>
          </w:tcPr>
          <w:p w14:paraId="1DA1B6D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w="2880" w:type="dxa"/>
            <w:shd w:val="clear" w:color="auto" w:fill="1B3A5C"/>
          </w:tcPr>
          <w:p w14:paraId="0F886BC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w="2880" w:type="dxa"/>
            <w:shd w:val="clear" w:color="auto" w:fill="1B3A5C"/>
          </w:tcPr>
          <w:p w14:paraId="58BA068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14:paraId="7B2E2397">
        <w:trPr>
          <w:jc w:val="center"/>
        </w:trPr>
        <w:tc>
          <w:tcPr>
            <w:tcW w:w="2880" w:type="dxa"/>
            <w:shd w:val="clear" w:color="auto" w:fill="F7F9FC"/>
          </w:tcPr>
          <w:p w14:paraId="33AA573B">
            <w:r>
              <w:rPr>
                <w:rFonts w:ascii="Calibri" w:hAnsi="Calibri"/>
                <w:color w:val="2D3748"/>
                <w:sz w:val="18"/>
              </w:rPr>
              <w:t>Schema provisioning failure</w:t>
            </w:r>
          </w:p>
        </w:tc>
        <w:tc>
          <w:tcPr>
            <w:tcW w:w="2880" w:type="dxa"/>
            <w:shd w:val="clear" w:color="auto" w:fill="F7F9FC"/>
          </w:tcPr>
          <w:p w14:paraId="54538478">
            <w:r>
              <w:rPr>
                <w:rFonts w:ascii="Calibri" w:hAnsi="Calibri"/>
                <w:color w:val="2D3748"/>
                <w:sz w:val="18"/>
              </w:rPr>
              <w:t>Rollback partial schema; retry mechanism; manual provisioning option; alert platform team</w:t>
            </w:r>
          </w:p>
        </w:tc>
        <w:tc>
          <w:tcPr>
            <w:tcW w:w="2880" w:type="dxa"/>
            <w:shd w:val="clear" w:color="auto" w:fill="F7F9FC"/>
          </w:tcPr>
          <w:p w14:paraId="1B319F33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7EE3BE5">
        <w:trPr>
          <w:jc w:val="center"/>
        </w:trPr>
        <w:tc>
          <w:tcPr>
            <w:tcW w:w="2880" w:type="dxa"/>
            <w:shd w:val="clear" w:color="auto" w:fill="FFFFFF"/>
          </w:tcPr>
          <w:p w14:paraId="499E9BC0">
            <w:r>
              <w:rPr>
                <w:rFonts w:ascii="Calibri" w:hAnsi="Calibri"/>
                <w:color w:val="2D3748"/>
                <w:sz w:val="18"/>
              </w:rPr>
              <w:t>Tenant data exceeds plan limits</w:t>
            </w:r>
          </w:p>
        </w:tc>
        <w:tc>
          <w:tcPr>
            <w:tcW w:w="2880" w:type="dxa"/>
            <w:shd w:val="clear" w:color="auto" w:fill="FFFFFF"/>
          </w:tcPr>
          <w:p w14:paraId="79C45A60">
            <w:r>
              <w:rPr>
                <w:rFonts w:ascii="Calibri" w:hAnsi="Calibri"/>
                <w:color w:val="2D3748"/>
                <w:sz w:val="18"/>
              </w:rPr>
              <w:t>Soft warning at 80%; hard block at 100% with upgrade prompt; grace period for critical operations</w:t>
            </w:r>
          </w:p>
        </w:tc>
        <w:tc>
          <w:tcPr>
            <w:tcW w:w="2880" w:type="dxa"/>
            <w:shd w:val="clear" w:color="auto" w:fill="FFFFFF"/>
          </w:tcPr>
          <w:p w14:paraId="363EC7D5">
            <w:r>
              <w:rPr>
                <w:rFonts w:ascii="Calibri" w:hAnsi="Calibri"/>
                <w:color w:val="2D3748"/>
                <w:sz w:val="18"/>
              </w:rPr>
              <w:t>P2</w:t>
            </w:r>
          </w:p>
        </w:tc>
      </w:tr>
      <w:tr w14:paraId="29474F43">
        <w:trPr>
          <w:jc w:val="center"/>
        </w:trPr>
        <w:tc>
          <w:tcPr>
            <w:tcW w:w="2880" w:type="dxa"/>
            <w:shd w:val="clear" w:color="auto" w:fill="F7F9FC"/>
          </w:tcPr>
          <w:p w14:paraId="17D27ADE">
            <w:r>
              <w:rPr>
                <w:rFonts w:ascii="Calibri" w:hAnsi="Calibri"/>
                <w:color w:val="2D3748"/>
                <w:sz w:val="18"/>
              </w:rPr>
              <w:t>Platform-wide Kafka outage</w:t>
            </w:r>
          </w:p>
        </w:tc>
        <w:tc>
          <w:tcPr>
            <w:tcW w:w="2880" w:type="dxa"/>
            <w:shd w:val="clear" w:color="auto" w:fill="F7F9FC"/>
          </w:tcPr>
          <w:p w14:paraId="07B80996">
            <w:r>
              <w:rPr>
                <w:rFonts w:ascii="Calibri" w:hAnsi="Calibri"/>
                <w:color w:val="2D3748"/>
                <w:sz w:val="18"/>
              </w:rPr>
              <w:t>Spring Batch fallback for critical workflows; event replay on recovery; zero data loss guarantee</w:t>
            </w:r>
          </w:p>
        </w:tc>
        <w:tc>
          <w:tcPr>
            <w:tcW w:w="2880" w:type="dxa"/>
            <w:shd w:val="clear" w:color="auto" w:fill="F7F9FC"/>
          </w:tcPr>
          <w:p w14:paraId="72A3419B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6F7B7636">
        <w:trPr>
          <w:jc w:val="center"/>
        </w:trPr>
        <w:tc>
          <w:tcPr>
            <w:tcW w:w="2880" w:type="dxa"/>
            <w:shd w:val="clear" w:color="auto" w:fill="FFFFFF"/>
          </w:tcPr>
          <w:p w14:paraId="7737EAC9">
            <w:r>
              <w:rPr>
                <w:rFonts w:ascii="Calibri" w:hAnsi="Calibri"/>
                <w:color w:val="2D3748"/>
                <w:sz w:val="18"/>
              </w:rPr>
              <w:t>Cross-tenant data query (analytics)</w:t>
            </w:r>
          </w:p>
        </w:tc>
        <w:tc>
          <w:tcPr>
            <w:tcW w:w="2880" w:type="dxa"/>
            <w:shd w:val="clear" w:color="auto" w:fill="FFFFFF"/>
          </w:tcPr>
          <w:p w14:paraId="12E8E766">
            <w:r>
              <w:rPr>
                <w:rFonts w:ascii="Calibri" w:hAnsi="Calibri"/>
                <w:color w:val="2D3748"/>
                <w:sz w:val="18"/>
              </w:rPr>
              <w:t>Strict anonymization; aggregate-only access; no PII in cross-tenant views; audit logged</w:t>
            </w:r>
          </w:p>
        </w:tc>
        <w:tc>
          <w:tcPr>
            <w:tcW w:w="2880" w:type="dxa"/>
            <w:shd w:val="clear" w:color="auto" w:fill="FFFFFF"/>
          </w:tcPr>
          <w:p w14:paraId="0D3BAA0F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25E60EDC">
        <w:trPr>
          <w:jc w:val="center"/>
        </w:trPr>
        <w:tc>
          <w:tcPr>
            <w:tcW w:w="2880" w:type="dxa"/>
            <w:shd w:val="clear" w:color="auto" w:fill="F7F9FC"/>
          </w:tcPr>
          <w:p w14:paraId="56F1CFB3">
            <w:r>
              <w:rPr>
                <w:rFonts w:ascii="Calibri" w:hAnsi="Calibri"/>
                <w:color w:val="2D3748"/>
                <w:sz w:val="18"/>
              </w:rPr>
              <w:t>Tenant requests data deletion (DISHA)</w:t>
            </w:r>
          </w:p>
        </w:tc>
        <w:tc>
          <w:tcPr>
            <w:tcW w:w="2880" w:type="dxa"/>
            <w:shd w:val="clear" w:color="auto" w:fill="F7F9FC"/>
          </w:tcPr>
          <w:p w14:paraId="0611847E">
            <w:r>
              <w:rPr>
                <w:rFonts w:ascii="Calibri" w:hAnsi="Calibri"/>
                <w:color w:val="2D3748"/>
                <w:sz w:val="18"/>
              </w:rPr>
              <w:t>Verify identity; 30-day cool-off; full schema purge; backup retention per regulatory requirement</w:t>
            </w:r>
          </w:p>
        </w:tc>
        <w:tc>
          <w:tcPr>
            <w:tcW w:w="2880" w:type="dxa"/>
            <w:shd w:val="clear" w:color="auto" w:fill="F7F9FC"/>
          </w:tcPr>
          <w:p w14:paraId="7AB5964B">
            <w:r>
              <w:rPr>
                <w:rFonts w:ascii="Calibri" w:hAnsi="Calibri"/>
                <w:color w:val="2D3748"/>
                <w:sz w:val="18"/>
              </w:rPr>
              <w:t>P1</w:t>
            </w:r>
          </w:p>
        </w:tc>
      </w:tr>
      <w:tr w14:paraId="79C6CFFD">
        <w:trPr>
          <w:jc w:val="center"/>
        </w:trPr>
        <w:tc>
          <w:tcPr>
            <w:tcW w:w="2880" w:type="dxa"/>
            <w:shd w:val="clear" w:color="auto" w:fill="FFFFFF"/>
          </w:tcPr>
          <w:p w14:paraId="573CBF15">
            <w:r>
              <w:rPr>
                <w:rFonts w:ascii="Calibri" w:hAnsi="Calibri"/>
                <w:color w:val="2D3748"/>
                <w:sz w:val="18"/>
              </w:rPr>
              <w:t>Subdomain conflict</w:t>
            </w:r>
          </w:p>
        </w:tc>
        <w:tc>
          <w:tcPr>
            <w:tcW w:w="2880" w:type="dxa"/>
            <w:shd w:val="clear" w:color="auto" w:fill="FFFFFF"/>
          </w:tcPr>
          <w:p w14:paraId="4104A9C1">
            <w:r>
              <w:rPr>
                <w:rFonts w:ascii="Calibri" w:hAnsi="Calibri"/>
                <w:color w:val="2D3748"/>
                <w:sz w:val="18"/>
              </w:rPr>
              <w:t>Uniqueness check at registration; suggest alternatives; prevent squatting with verification</w:t>
            </w:r>
          </w:p>
        </w:tc>
        <w:tc>
          <w:tcPr>
            <w:tcW w:w="2880" w:type="dxa"/>
            <w:shd w:val="clear" w:color="auto" w:fill="FFFFFF"/>
          </w:tcPr>
          <w:p w14:paraId="77BAB005">
            <w:r>
              <w:rPr>
                <w:rFonts w:ascii="Calibri" w:hAnsi="Calibri"/>
                <w:color w:val="2D3748"/>
                <w:sz w:val="18"/>
              </w:rPr>
              <w:t>P3</w:t>
            </w:r>
          </w:p>
        </w:tc>
      </w:tr>
    </w:tbl>
    <w:p w14:paraId="4DE96E5A">
      <w:r>
        <w:br w:type="page"/>
      </w:r>
    </w:p>
    <w:p w14:paraId="64EAA8A5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5. Technical Architecture</w:t>
      </w:r>
    </w:p>
    <w:p w14:paraId="1FAAD0D4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5.1 Architecture Overview</w:t>
      </w:r>
    </w:p>
    <w:p w14:paraId="47EC0796">
      <w:r>
        <w:t>The HMS Enterprise Platform follows a cloud-native, microservices architecture deployed on Kubernetes with event-driven integration via Apache Kafka. The platform uses a schema-per-tenant PostgreSQL model for complete data isolation while maintaining infrastructure efficiency.</w:t>
      </w:r>
    </w:p>
    <w:p w14:paraId="69051C70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5.2 Technology Stack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8"/>
        <w:gridCol w:w="2879"/>
        <w:gridCol w:w="3599"/>
        <w:gridCol w:w="1440"/>
      </w:tblGrid>
      <w:tr w14:paraId="4B9C268F">
        <w:trPr>
          <w:jc w:val="center"/>
        </w:trPr>
        <w:tc>
          <w:tcPr>
            <w:tcW w:w="1728" w:type="dxa"/>
            <w:shd w:val="clear" w:color="auto" w:fill="1B3A5C"/>
          </w:tcPr>
          <w:p w14:paraId="0A2CE7D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2880" w:type="dxa"/>
            <w:shd w:val="clear" w:color="auto" w:fill="1B3A5C"/>
          </w:tcPr>
          <w:p w14:paraId="024F6B0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w="3600" w:type="dxa"/>
            <w:shd w:val="clear" w:color="auto" w:fill="1B3A5C"/>
          </w:tcPr>
          <w:p w14:paraId="43840A3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w="1440" w:type="dxa"/>
            <w:shd w:val="clear" w:color="auto" w:fill="1B3A5C"/>
          </w:tcPr>
          <w:p w14:paraId="4106274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 w14:paraId="18B6C0B8">
        <w:trPr>
          <w:jc w:val="center"/>
        </w:trPr>
        <w:tc>
          <w:tcPr>
            <w:tcW w:w="1728" w:type="dxa"/>
            <w:shd w:val="clear" w:color="auto" w:fill="F7F9FC"/>
          </w:tcPr>
          <w:p w14:paraId="6E8C7DC1">
            <w:r>
              <w:rPr>
                <w:rFonts w:ascii="Calibri" w:hAnsi="Calibri"/>
                <w:color w:val="2D3748"/>
                <w:sz w:val="18"/>
              </w:rPr>
              <w:t>Frontend</w:t>
            </w:r>
          </w:p>
        </w:tc>
        <w:tc>
          <w:tcPr>
            <w:tcW w:w="2880" w:type="dxa"/>
            <w:shd w:val="clear" w:color="auto" w:fill="F7F9FC"/>
          </w:tcPr>
          <w:p w14:paraId="28154281">
            <w:r>
              <w:rPr>
                <w:rFonts w:ascii="Calibri" w:hAnsi="Calibri"/>
                <w:color w:val="2D3748"/>
                <w:sz w:val="18"/>
              </w:rPr>
              <w:t>React 18 + Tailwind CSS</w:t>
            </w:r>
          </w:p>
        </w:tc>
        <w:tc>
          <w:tcPr>
            <w:tcW w:w="3600" w:type="dxa"/>
            <w:shd w:val="clear" w:color="auto" w:fill="F7F9FC"/>
          </w:tcPr>
          <w:p w14:paraId="6FBB7C89">
            <w:r>
              <w:rPr>
                <w:rFonts w:ascii="Calibri" w:hAnsi="Calibri"/>
                <w:color w:val="2D3748"/>
                <w:sz w:val="18"/>
              </w:rPr>
              <w:t>Single-page application with responsive UI</w:t>
            </w:r>
          </w:p>
        </w:tc>
        <w:tc>
          <w:tcPr>
            <w:tcW w:w="1440" w:type="dxa"/>
            <w:shd w:val="clear" w:color="auto" w:fill="F7F9FC"/>
          </w:tcPr>
          <w:p w14:paraId="7501B313">
            <w:r>
              <w:rPr>
                <w:rFonts w:ascii="Calibri" w:hAnsi="Calibri"/>
                <w:color w:val="2D3748"/>
                <w:sz w:val="18"/>
              </w:rPr>
              <w:t>18.x / 3.x</w:t>
            </w:r>
          </w:p>
        </w:tc>
      </w:tr>
      <w:tr w14:paraId="717414F2">
        <w:trPr>
          <w:jc w:val="center"/>
        </w:trPr>
        <w:tc>
          <w:tcPr>
            <w:tcW w:w="1728" w:type="dxa"/>
            <w:shd w:val="clear" w:color="auto" w:fill="FFFFFF"/>
          </w:tcPr>
          <w:p w14:paraId="7887E7E2">
            <w:r>
              <w:rPr>
                <w:rFonts w:ascii="Calibri" w:hAnsi="Calibri"/>
                <w:color w:val="2D3748"/>
                <w:sz w:val="18"/>
              </w:rPr>
              <w:t>Frontend</w:t>
            </w:r>
          </w:p>
        </w:tc>
        <w:tc>
          <w:tcPr>
            <w:tcW w:w="2880" w:type="dxa"/>
            <w:shd w:val="clear" w:color="auto" w:fill="FFFFFF"/>
          </w:tcPr>
          <w:p w14:paraId="79AE9644">
            <w:r>
              <w:rPr>
                <w:rFonts w:ascii="Calibri" w:hAnsi="Calibri"/>
                <w:color w:val="2D3748"/>
                <w:sz w:val="18"/>
              </w:rPr>
              <w:t>Progressive Web App (PWA)</w:t>
            </w:r>
          </w:p>
        </w:tc>
        <w:tc>
          <w:tcPr>
            <w:tcW w:w="3600" w:type="dxa"/>
            <w:shd w:val="clear" w:color="auto" w:fill="FFFFFF"/>
          </w:tcPr>
          <w:p w14:paraId="39367E1F">
            <w:r>
              <w:rPr>
                <w:rFonts w:ascii="Calibri" w:hAnsi="Calibri"/>
                <w:color w:val="2D3748"/>
                <w:sz w:val="18"/>
              </w:rPr>
              <w:t>Patient portal with offline capability</w:t>
            </w:r>
          </w:p>
        </w:tc>
        <w:tc>
          <w:tcPr>
            <w:tcW w:w="1440" w:type="dxa"/>
            <w:shd w:val="clear" w:color="auto" w:fill="FFFFFF"/>
          </w:tcPr>
          <w:p w14:paraId="6D4ADED4">
            <w:r>
              <w:rPr>
                <w:rFonts w:ascii="Calibri" w:hAnsi="Calibri"/>
                <w:color w:val="2D3748"/>
                <w:sz w:val="18"/>
              </w:rPr>
              <w:t>Service Worker v3</w:t>
            </w:r>
          </w:p>
        </w:tc>
      </w:tr>
      <w:tr w14:paraId="63F113FF">
        <w:trPr>
          <w:jc w:val="center"/>
        </w:trPr>
        <w:tc>
          <w:tcPr>
            <w:tcW w:w="1728" w:type="dxa"/>
            <w:shd w:val="clear" w:color="auto" w:fill="F7F9FC"/>
          </w:tcPr>
          <w:p w14:paraId="0B475BEE">
            <w:r>
              <w:rPr>
                <w:rFonts w:ascii="Calibri" w:hAnsi="Calibri"/>
                <w:color w:val="2D3748"/>
                <w:sz w:val="18"/>
              </w:rPr>
              <w:t>API Gateway</w:t>
            </w:r>
          </w:p>
        </w:tc>
        <w:tc>
          <w:tcPr>
            <w:tcW w:w="2880" w:type="dxa"/>
            <w:shd w:val="clear" w:color="auto" w:fill="F7F9FC"/>
          </w:tcPr>
          <w:p w14:paraId="7C177FFC">
            <w:r>
              <w:rPr>
                <w:rFonts w:ascii="Calibri" w:hAnsi="Calibri"/>
                <w:color w:val="2D3748"/>
                <w:sz w:val="18"/>
              </w:rPr>
              <w:t>Spring Cloud Gateway / Kong</w:t>
            </w:r>
          </w:p>
        </w:tc>
        <w:tc>
          <w:tcPr>
            <w:tcW w:w="3600" w:type="dxa"/>
            <w:shd w:val="clear" w:color="auto" w:fill="F7F9FC"/>
          </w:tcPr>
          <w:p w14:paraId="123A948C">
            <w:r>
              <w:rPr>
                <w:rFonts w:ascii="Calibri" w:hAnsi="Calibri"/>
                <w:color w:val="2D3748"/>
                <w:sz w:val="18"/>
              </w:rPr>
              <w:t>Request routing, rate limiting, auth</w:t>
            </w:r>
          </w:p>
        </w:tc>
        <w:tc>
          <w:tcPr>
            <w:tcW w:w="1440" w:type="dxa"/>
            <w:shd w:val="clear" w:color="auto" w:fill="F7F9FC"/>
          </w:tcPr>
          <w:p w14:paraId="49E96D93">
            <w:r>
              <w:rPr>
                <w:rFonts w:ascii="Calibri" w:hAnsi="Calibri"/>
                <w:color w:val="2D3748"/>
                <w:sz w:val="18"/>
              </w:rPr>
              <w:t>Latest stable</w:t>
            </w:r>
          </w:p>
        </w:tc>
      </w:tr>
      <w:tr w14:paraId="4D661AB6">
        <w:trPr>
          <w:jc w:val="center"/>
        </w:trPr>
        <w:tc>
          <w:tcPr>
            <w:tcW w:w="1728" w:type="dxa"/>
            <w:shd w:val="clear" w:color="auto" w:fill="FFFFFF"/>
          </w:tcPr>
          <w:p w14:paraId="07789853">
            <w:r>
              <w:rPr>
                <w:rFonts w:ascii="Calibri" w:hAnsi="Calibri"/>
                <w:color w:val="2D3748"/>
                <w:sz w:val="18"/>
              </w:rPr>
              <w:t>Backend</w:t>
            </w:r>
          </w:p>
        </w:tc>
        <w:tc>
          <w:tcPr>
            <w:tcW w:w="2880" w:type="dxa"/>
            <w:shd w:val="clear" w:color="auto" w:fill="FFFFFF"/>
          </w:tcPr>
          <w:p w14:paraId="122AA81B">
            <w:r>
              <w:rPr>
                <w:rFonts w:ascii="Calibri" w:hAnsi="Calibri"/>
                <w:color w:val="2D3748"/>
                <w:sz w:val="18"/>
              </w:rPr>
              <w:t>Spring Boot (Java 17+)</w:t>
            </w:r>
          </w:p>
        </w:tc>
        <w:tc>
          <w:tcPr>
            <w:tcW w:w="3600" w:type="dxa"/>
            <w:shd w:val="clear" w:color="auto" w:fill="FFFFFF"/>
          </w:tcPr>
          <w:p w14:paraId="66A5C5DC">
            <w:r>
              <w:rPr>
                <w:rFonts w:ascii="Calibri" w:hAnsi="Calibri"/>
                <w:color w:val="2D3748"/>
                <w:sz w:val="18"/>
              </w:rPr>
              <w:t>Microservice business logic</w:t>
            </w:r>
          </w:p>
        </w:tc>
        <w:tc>
          <w:tcPr>
            <w:tcW w:w="1440" w:type="dxa"/>
            <w:shd w:val="clear" w:color="auto" w:fill="FFFFFF"/>
          </w:tcPr>
          <w:p w14:paraId="27871D97">
            <w:r>
              <w:rPr>
                <w:rFonts w:ascii="Calibri" w:hAnsi="Calibri"/>
                <w:color w:val="2D3748"/>
                <w:sz w:val="18"/>
              </w:rPr>
              <w:t>3.x</w:t>
            </w:r>
          </w:p>
        </w:tc>
      </w:tr>
      <w:tr w14:paraId="5EF69911">
        <w:trPr>
          <w:jc w:val="center"/>
        </w:trPr>
        <w:tc>
          <w:tcPr>
            <w:tcW w:w="1728" w:type="dxa"/>
            <w:shd w:val="clear" w:color="auto" w:fill="F7F9FC"/>
          </w:tcPr>
          <w:p w14:paraId="57F1F91D">
            <w:r>
              <w:rPr>
                <w:rFonts w:ascii="Calibri" w:hAnsi="Calibri"/>
                <w:color w:val="2D3748"/>
                <w:sz w:val="18"/>
              </w:rPr>
              <w:t>Database</w:t>
            </w:r>
          </w:p>
        </w:tc>
        <w:tc>
          <w:tcPr>
            <w:tcW w:w="2880" w:type="dxa"/>
            <w:shd w:val="clear" w:color="auto" w:fill="F7F9FC"/>
          </w:tcPr>
          <w:p w14:paraId="75005D07">
            <w:r>
              <w:rPr>
                <w:rFonts w:ascii="Calibri" w:hAnsi="Calibri"/>
                <w:color w:val="2D3748"/>
                <w:sz w:val="18"/>
              </w:rPr>
              <w:t>PostgreSQL 15+</w:t>
            </w:r>
          </w:p>
        </w:tc>
        <w:tc>
          <w:tcPr>
            <w:tcW w:w="3600" w:type="dxa"/>
            <w:shd w:val="clear" w:color="auto" w:fill="F7F9FC"/>
          </w:tcPr>
          <w:p w14:paraId="62D4B878">
            <w:r>
              <w:rPr>
                <w:rFonts w:ascii="Calibri" w:hAnsi="Calibri"/>
                <w:color w:val="2D3748"/>
                <w:sz w:val="18"/>
              </w:rPr>
              <w:t>Primary data store with schema-per-tenant</w:t>
            </w:r>
          </w:p>
        </w:tc>
        <w:tc>
          <w:tcPr>
            <w:tcW w:w="1440" w:type="dxa"/>
            <w:shd w:val="clear" w:color="auto" w:fill="F7F9FC"/>
          </w:tcPr>
          <w:p w14:paraId="0DC5F426">
            <w:r>
              <w:rPr>
                <w:rFonts w:ascii="Calibri" w:hAnsi="Calibri"/>
                <w:color w:val="2D3748"/>
                <w:sz w:val="18"/>
              </w:rPr>
              <w:t>15.x</w:t>
            </w:r>
          </w:p>
        </w:tc>
      </w:tr>
      <w:tr w14:paraId="3E362E40">
        <w:trPr>
          <w:jc w:val="center"/>
        </w:trPr>
        <w:tc>
          <w:tcPr>
            <w:tcW w:w="1728" w:type="dxa"/>
            <w:shd w:val="clear" w:color="auto" w:fill="FFFFFF"/>
          </w:tcPr>
          <w:p w14:paraId="4BBA6731">
            <w:r>
              <w:rPr>
                <w:rFonts w:ascii="Calibri" w:hAnsi="Calibri"/>
                <w:color w:val="2D3748"/>
                <w:sz w:val="18"/>
              </w:rPr>
              <w:t>Cache</w:t>
            </w:r>
          </w:p>
        </w:tc>
        <w:tc>
          <w:tcPr>
            <w:tcW w:w="2880" w:type="dxa"/>
            <w:shd w:val="clear" w:color="auto" w:fill="FFFFFF"/>
          </w:tcPr>
          <w:p w14:paraId="6696682A">
            <w:r>
              <w:rPr>
                <w:rFonts w:ascii="Calibri" w:hAnsi="Calibri"/>
                <w:color w:val="2D3748"/>
                <w:sz w:val="18"/>
              </w:rPr>
              <w:t>Redis 7+</w:t>
            </w:r>
          </w:p>
        </w:tc>
        <w:tc>
          <w:tcPr>
            <w:tcW w:w="3600" w:type="dxa"/>
            <w:shd w:val="clear" w:color="auto" w:fill="FFFFFF"/>
          </w:tcPr>
          <w:p w14:paraId="05E6C29C">
            <w:r>
              <w:rPr>
                <w:rFonts w:ascii="Calibri" w:hAnsi="Calibri"/>
                <w:color w:val="2D3748"/>
                <w:sz w:val="18"/>
              </w:rPr>
              <w:t>Session management, API caching, rate limiting</w:t>
            </w:r>
          </w:p>
        </w:tc>
        <w:tc>
          <w:tcPr>
            <w:tcW w:w="1440" w:type="dxa"/>
            <w:shd w:val="clear" w:color="auto" w:fill="FFFFFF"/>
          </w:tcPr>
          <w:p w14:paraId="0F5D8224">
            <w:r>
              <w:rPr>
                <w:rFonts w:ascii="Calibri" w:hAnsi="Calibri"/>
                <w:color w:val="2D3748"/>
                <w:sz w:val="18"/>
              </w:rPr>
              <w:t>7.x</w:t>
            </w:r>
          </w:p>
        </w:tc>
      </w:tr>
      <w:tr w14:paraId="0ED79244">
        <w:trPr>
          <w:jc w:val="center"/>
        </w:trPr>
        <w:tc>
          <w:tcPr>
            <w:tcW w:w="1728" w:type="dxa"/>
            <w:shd w:val="clear" w:color="auto" w:fill="F7F9FC"/>
          </w:tcPr>
          <w:p w14:paraId="0FA23E44">
            <w:r>
              <w:rPr>
                <w:rFonts w:ascii="Calibri" w:hAnsi="Calibri"/>
                <w:color w:val="2D3748"/>
                <w:sz w:val="18"/>
              </w:rPr>
              <w:t>Message Broker</w:t>
            </w:r>
          </w:p>
        </w:tc>
        <w:tc>
          <w:tcPr>
            <w:tcW w:w="2880" w:type="dxa"/>
            <w:shd w:val="clear" w:color="auto" w:fill="F7F9FC"/>
          </w:tcPr>
          <w:p w14:paraId="7D741FAE">
            <w:r>
              <w:rPr>
                <w:rFonts w:ascii="Calibri" w:hAnsi="Calibri"/>
                <w:color w:val="2D3748"/>
                <w:sz w:val="18"/>
              </w:rPr>
              <w:t>Apache Kafka</w:t>
            </w:r>
          </w:p>
        </w:tc>
        <w:tc>
          <w:tcPr>
            <w:tcW w:w="3600" w:type="dxa"/>
            <w:shd w:val="clear" w:color="auto" w:fill="F7F9FC"/>
          </w:tcPr>
          <w:p w14:paraId="33B7B298">
            <w:r>
              <w:rPr>
                <w:rFonts w:ascii="Calibri" w:hAnsi="Calibri"/>
                <w:color w:val="2D3748"/>
                <w:sz w:val="18"/>
              </w:rPr>
              <w:t>Event streaming, async communication</w:t>
            </w:r>
          </w:p>
        </w:tc>
        <w:tc>
          <w:tcPr>
            <w:tcW w:w="1440" w:type="dxa"/>
            <w:shd w:val="clear" w:color="auto" w:fill="F7F9FC"/>
          </w:tcPr>
          <w:p w14:paraId="5B0F7001">
            <w:r>
              <w:rPr>
                <w:rFonts w:ascii="Calibri" w:hAnsi="Calibri"/>
                <w:color w:val="2D3748"/>
                <w:sz w:val="18"/>
              </w:rPr>
              <w:t>3.x</w:t>
            </w:r>
          </w:p>
        </w:tc>
      </w:tr>
      <w:tr w14:paraId="4BAE6BDA">
        <w:trPr>
          <w:jc w:val="center"/>
        </w:trPr>
        <w:tc>
          <w:tcPr>
            <w:tcW w:w="1728" w:type="dxa"/>
            <w:shd w:val="clear" w:color="auto" w:fill="FFFFFF"/>
          </w:tcPr>
          <w:p w14:paraId="7F23E4D0">
            <w:r>
              <w:rPr>
                <w:rFonts w:ascii="Calibri" w:hAnsi="Calibri"/>
                <w:color w:val="2D3748"/>
                <w:sz w:val="18"/>
              </w:rPr>
              <w:t>Search/Analytics</w:t>
            </w:r>
          </w:p>
        </w:tc>
        <w:tc>
          <w:tcPr>
            <w:tcW w:w="2880" w:type="dxa"/>
            <w:shd w:val="clear" w:color="auto" w:fill="FFFFFF"/>
          </w:tcPr>
          <w:p w14:paraId="5F3500B7">
            <w:r>
              <w:rPr>
                <w:rFonts w:ascii="Calibri" w:hAnsi="Calibri"/>
                <w:color w:val="2D3748"/>
                <w:sz w:val="18"/>
              </w:rPr>
              <w:t>Elasticsearch</w:t>
            </w:r>
          </w:p>
        </w:tc>
        <w:tc>
          <w:tcPr>
            <w:tcW w:w="3600" w:type="dxa"/>
            <w:shd w:val="clear" w:color="auto" w:fill="FFFFFF"/>
          </w:tcPr>
          <w:p w14:paraId="49A722AC">
            <w:r>
              <w:rPr>
                <w:rFonts w:ascii="Calibri" w:hAnsi="Calibri"/>
                <w:color w:val="2D3748"/>
                <w:sz w:val="18"/>
              </w:rPr>
              <w:t>BI aggregation, full-text search, KPI indexing</w:t>
            </w:r>
          </w:p>
        </w:tc>
        <w:tc>
          <w:tcPr>
            <w:tcW w:w="1440" w:type="dxa"/>
            <w:shd w:val="clear" w:color="auto" w:fill="FFFFFF"/>
          </w:tcPr>
          <w:p w14:paraId="7DE9753C">
            <w:r>
              <w:rPr>
                <w:rFonts w:ascii="Calibri" w:hAnsi="Calibri"/>
                <w:color w:val="2D3748"/>
                <w:sz w:val="18"/>
              </w:rPr>
              <w:t>8.x</w:t>
            </w:r>
          </w:p>
        </w:tc>
      </w:tr>
      <w:tr w14:paraId="17C2350B">
        <w:trPr>
          <w:jc w:val="center"/>
        </w:trPr>
        <w:tc>
          <w:tcPr>
            <w:tcW w:w="1728" w:type="dxa"/>
            <w:shd w:val="clear" w:color="auto" w:fill="F7F9FC"/>
          </w:tcPr>
          <w:p w14:paraId="311AC37E">
            <w:r>
              <w:rPr>
                <w:rFonts w:ascii="Calibri" w:hAnsi="Calibri"/>
                <w:color w:val="2D3748"/>
                <w:sz w:val="18"/>
              </w:rPr>
              <w:t>Object Storage</w:t>
            </w:r>
          </w:p>
        </w:tc>
        <w:tc>
          <w:tcPr>
            <w:tcW w:w="2880" w:type="dxa"/>
            <w:shd w:val="clear" w:color="auto" w:fill="F7F9FC"/>
          </w:tcPr>
          <w:p w14:paraId="2324ED07">
            <w:r>
              <w:rPr>
                <w:rFonts w:ascii="Calibri" w:hAnsi="Calibri"/>
                <w:color w:val="2D3748"/>
                <w:sz w:val="18"/>
              </w:rPr>
              <w:t>AWS S3</w:t>
            </w:r>
          </w:p>
        </w:tc>
        <w:tc>
          <w:tcPr>
            <w:tcW w:w="3600" w:type="dxa"/>
            <w:shd w:val="clear" w:color="auto" w:fill="F7F9FC"/>
          </w:tcPr>
          <w:p w14:paraId="45736BA5">
            <w:r>
              <w:rPr>
                <w:rFonts w:ascii="Calibri" w:hAnsi="Calibri"/>
                <w:color w:val="2D3748"/>
                <w:sz w:val="18"/>
              </w:rPr>
              <w:t>Documents, reports, images, backups</w:t>
            </w:r>
          </w:p>
        </w:tc>
        <w:tc>
          <w:tcPr>
            <w:tcW w:w="1440" w:type="dxa"/>
            <w:shd w:val="clear" w:color="auto" w:fill="F7F9FC"/>
          </w:tcPr>
          <w:p w14:paraId="1B262D1A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13533313">
        <w:trPr>
          <w:jc w:val="center"/>
        </w:trPr>
        <w:tc>
          <w:tcPr>
            <w:tcW w:w="1728" w:type="dxa"/>
            <w:shd w:val="clear" w:color="auto" w:fill="FFFFFF"/>
          </w:tcPr>
          <w:p w14:paraId="4CC4595A">
            <w:r>
              <w:rPr>
                <w:rFonts w:ascii="Calibri" w:hAnsi="Calibri"/>
                <w:color w:val="2D3748"/>
                <w:sz w:val="18"/>
              </w:rPr>
              <w:t>Container Orchestration</w:t>
            </w:r>
          </w:p>
        </w:tc>
        <w:tc>
          <w:tcPr>
            <w:tcW w:w="2880" w:type="dxa"/>
            <w:shd w:val="clear" w:color="auto" w:fill="FFFFFF"/>
          </w:tcPr>
          <w:p w14:paraId="0C0F068C">
            <w:r>
              <w:rPr>
                <w:rFonts w:ascii="Calibri" w:hAnsi="Calibri"/>
                <w:color w:val="2D3748"/>
                <w:sz w:val="18"/>
              </w:rPr>
              <w:t>Kubernetes (EKS/AKS)</w:t>
            </w:r>
          </w:p>
        </w:tc>
        <w:tc>
          <w:tcPr>
            <w:tcW w:w="3600" w:type="dxa"/>
            <w:shd w:val="clear" w:color="auto" w:fill="FFFFFF"/>
          </w:tcPr>
          <w:p w14:paraId="6E575F0E">
            <w:r>
              <w:rPr>
                <w:rFonts w:ascii="Calibri" w:hAnsi="Calibri"/>
                <w:color w:val="2D3748"/>
                <w:sz w:val="18"/>
              </w:rPr>
              <w:t>Service deployment, scaling, health management</w:t>
            </w:r>
          </w:p>
        </w:tc>
        <w:tc>
          <w:tcPr>
            <w:tcW w:w="1440" w:type="dxa"/>
            <w:shd w:val="clear" w:color="auto" w:fill="FFFFFF"/>
          </w:tcPr>
          <w:p w14:paraId="15D962A7">
            <w:r>
              <w:rPr>
                <w:rFonts w:ascii="Calibri" w:hAnsi="Calibri"/>
                <w:color w:val="2D3748"/>
                <w:sz w:val="18"/>
              </w:rPr>
              <w:t>1.28+</w:t>
            </w:r>
          </w:p>
        </w:tc>
      </w:tr>
      <w:tr w14:paraId="4C2C3850">
        <w:trPr>
          <w:jc w:val="center"/>
        </w:trPr>
        <w:tc>
          <w:tcPr>
            <w:tcW w:w="1728" w:type="dxa"/>
            <w:shd w:val="clear" w:color="auto" w:fill="F7F9FC"/>
          </w:tcPr>
          <w:p w14:paraId="3B3483DF">
            <w:r>
              <w:rPr>
                <w:rFonts w:ascii="Calibri" w:hAnsi="Calibri"/>
                <w:color w:val="2D3748"/>
                <w:sz w:val="18"/>
              </w:rPr>
              <w:t>CI/CD</w:t>
            </w:r>
          </w:p>
        </w:tc>
        <w:tc>
          <w:tcPr>
            <w:tcW w:w="2880" w:type="dxa"/>
            <w:shd w:val="clear" w:color="auto" w:fill="F7F9FC"/>
          </w:tcPr>
          <w:p w14:paraId="3602310B">
            <w:r>
              <w:rPr>
                <w:rFonts w:ascii="Calibri" w:hAnsi="Calibri"/>
                <w:color w:val="2D3748"/>
                <w:sz w:val="18"/>
              </w:rPr>
              <w:t>GitHub Actions / Jenkins</w:t>
            </w:r>
          </w:p>
        </w:tc>
        <w:tc>
          <w:tcPr>
            <w:tcW w:w="3600" w:type="dxa"/>
            <w:shd w:val="clear" w:color="auto" w:fill="F7F9FC"/>
          </w:tcPr>
          <w:p w14:paraId="56E8D5C5">
            <w:r>
              <w:rPr>
                <w:rFonts w:ascii="Calibri" w:hAnsi="Calibri"/>
                <w:color w:val="2D3748"/>
                <w:sz w:val="18"/>
              </w:rPr>
              <w:t>Automated build, test, deploy pipeline</w:t>
            </w:r>
          </w:p>
        </w:tc>
        <w:tc>
          <w:tcPr>
            <w:tcW w:w="1440" w:type="dxa"/>
            <w:shd w:val="clear" w:color="auto" w:fill="F7F9FC"/>
          </w:tcPr>
          <w:p w14:paraId="362A0A64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4EFB85F9">
        <w:trPr>
          <w:jc w:val="center"/>
        </w:trPr>
        <w:tc>
          <w:tcPr>
            <w:tcW w:w="1728" w:type="dxa"/>
            <w:shd w:val="clear" w:color="auto" w:fill="FFFFFF"/>
          </w:tcPr>
          <w:p w14:paraId="00BCFE80">
            <w:r>
              <w:rPr>
                <w:rFonts w:ascii="Calibri" w:hAnsi="Calibri"/>
                <w:color w:val="2D3748"/>
                <w:sz w:val="18"/>
              </w:rPr>
              <w:t>Monitoring</w:t>
            </w:r>
          </w:p>
        </w:tc>
        <w:tc>
          <w:tcPr>
            <w:tcW w:w="2880" w:type="dxa"/>
            <w:shd w:val="clear" w:color="auto" w:fill="FFFFFF"/>
          </w:tcPr>
          <w:p w14:paraId="7FD5AD9B">
            <w:r>
              <w:rPr>
                <w:rFonts w:ascii="Calibri" w:hAnsi="Calibri"/>
                <w:color w:val="2D3748"/>
                <w:sz w:val="18"/>
              </w:rPr>
              <w:t>Prometheus + Grafana</w:t>
            </w:r>
          </w:p>
        </w:tc>
        <w:tc>
          <w:tcPr>
            <w:tcW w:w="3600" w:type="dxa"/>
            <w:shd w:val="clear" w:color="auto" w:fill="FFFFFF"/>
          </w:tcPr>
          <w:p w14:paraId="1AC74920">
            <w:r>
              <w:rPr>
                <w:rFonts w:ascii="Calibri" w:hAnsi="Calibri"/>
                <w:color w:val="2D3748"/>
                <w:sz w:val="18"/>
              </w:rPr>
              <w:t>Metrics collection, dashboarding, alerting</w:t>
            </w:r>
          </w:p>
        </w:tc>
        <w:tc>
          <w:tcPr>
            <w:tcW w:w="1440" w:type="dxa"/>
            <w:shd w:val="clear" w:color="auto" w:fill="FFFFFF"/>
          </w:tcPr>
          <w:p w14:paraId="1B686202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7CE13DD4">
        <w:trPr>
          <w:jc w:val="center"/>
        </w:trPr>
        <w:tc>
          <w:tcPr>
            <w:tcW w:w="1728" w:type="dxa"/>
            <w:shd w:val="clear" w:color="auto" w:fill="F7F9FC"/>
          </w:tcPr>
          <w:p w14:paraId="71E72610">
            <w:r>
              <w:rPr>
                <w:rFonts w:ascii="Calibri" w:hAnsi="Calibri"/>
                <w:color w:val="2D3748"/>
                <w:sz w:val="18"/>
              </w:rPr>
              <w:t>APM</w:t>
            </w:r>
          </w:p>
        </w:tc>
        <w:tc>
          <w:tcPr>
            <w:tcW w:w="2880" w:type="dxa"/>
            <w:shd w:val="clear" w:color="auto" w:fill="F7F9FC"/>
          </w:tcPr>
          <w:p w14:paraId="2639F682">
            <w:r>
              <w:rPr>
                <w:rFonts w:ascii="Calibri" w:hAnsi="Calibri"/>
                <w:color w:val="2D3748"/>
                <w:sz w:val="18"/>
              </w:rPr>
              <w:t>Datadog / New Relic</w:t>
            </w:r>
          </w:p>
        </w:tc>
        <w:tc>
          <w:tcPr>
            <w:tcW w:w="3600" w:type="dxa"/>
            <w:shd w:val="clear" w:color="auto" w:fill="F7F9FC"/>
          </w:tcPr>
          <w:p w14:paraId="351EA137">
            <w:r>
              <w:rPr>
                <w:rFonts w:ascii="Calibri" w:hAnsi="Calibri"/>
                <w:color w:val="2D3748"/>
                <w:sz w:val="18"/>
              </w:rPr>
              <w:t>Application performance monitoring</w:t>
            </w:r>
          </w:p>
        </w:tc>
        <w:tc>
          <w:tcPr>
            <w:tcW w:w="1440" w:type="dxa"/>
            <w:shd w:val="clear" w:color="auto" w:fill="F7F9FC"/>
          </w:tcPr>
          <w:p w14:paraId="6652269D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69F9D919">
        <w:trPr>
          <w:jc w:val="center"/>
        </w:trPr>
        <w:tc>
          <w:tcPr>
            <w:tcW w:w="1728" w:type="dxa"/>
            <w:shd w:val="clear" w:color="auto" w:fill="FFFFFF"/>
          </w:tcPr>
          <w:p w14:paraId="655037DB">
            <w:r>
              <w:rPr>
                <w:rFonts w:ascii="Calibri" w:hAnsi="Calibri"/>
                <w:color w:val="2D3748"/>
                <w:sz w:val="18"/>
              </w:rPr>
              <w:t>Notifications</w:t>
            </w:r>
          </w:p>
        </w:tc>
        <w:tc>
          <w:tcPr>
            <w:tcW w:w="2880" w:type="dxa"/>
            <w:shd w:val="clear" w:color="auto" w:fill="FFFFFF"/>
          </w:tcPr>
          <w:p w14:paraId="3E45F10D">
            <w:r>
              <w:rPr>
                <w:rFonts w:ascii="Calibri" w:hAnsi="Calibri"/>
                <w:color w:val="2D3748"/>
                <w:sz w:val="18"/>
              </w:rPr>
              <w:t>Twilio/MSG91 + WABA + FCM</w:t>
            </w:r>
          </w:p>
        </w:tc>
        <w:tc>
          <w:tcPr>
            <w:tcW w:w="3600" w:type="dxa"/>
            <w:shd w:val="clear" w:color="auto" w:fill="FFFFFF"/>
          </w:tcPr>
          <w:p w14:paraId="31B68C5A">
            <w:r>
              <w:rPr>
                <w:rFonts w:ascii="Calibri" w:hAnsi="Calibri"/>
                <w:color w:val="2D3748"/>
                <w:sz w:val="18"/>
              </w:rPr>
              <w:t>SMS, WhatsApp, Push notifications</w:t>
            </w:r>
          </w:p>
        </w:tc>
        <w:tc>
          <w:tcPr>
            <w:tcW w:w="1440" w:type="dxa"/>
            <w:shd w:val="clear" w:color="auto" w:fill="FFFFFF"/>
          </w:tcPr>
          <w:p w14:paraId="23453E74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3ED5DC44">
        <w:trPr>
          <w:jc w:val="center"/>
        </w:trPr>
        <w:tc>
          <w:tcPr>
            <w:tcW w:w="1728" w:type="dxa"/>
            <w:shd w:val="clear" w:color="auto" w:fill="F7F9FC"/>
          </w:tcPr>
          <w:p w14:paraId="0D8DE458">
            <w:r>
              <w:rPr>
                <w:rFonts w:ascii="Calibri" w:hAnsi="Calibri"/>
                <w:color w:val="2D3748"/>
                <w:sz w:val="18"/>
              </w:rPr>
              <w:t>Payment</w:t>
            </w:r>
          </w:p>
        </w:tc>
        <w:tc>
          <w:tcPr>
            <w:tcW w:w="2880" w:type="dxa"/>
            <w:shd w:val="clear" w:color="auto" w:fill="F7F9FC"/>
          </w:tcPr>
          <w:p w14:paraId="483F8D94">
            <w:r>
              <w:rPr>
                <w:rFonts w:ascii="Calibri" w:hAnsi="Calibri"/>
                <w:color w:val="2D3748"/>
                <w:sz w:val="18"/>
              </w:rPr>
              <w:t>Razorpay / Paytm</w:t>
            </w:r>
          </w:p>
        </w:tc>
        <w:tc>
          <w:tcPr>
            <w:tcW w:w="3600" w:type="dxa"/>
            <w:shd w:val="clear" w:color="auto" w:fill="F7F9FC"/>
          </w:tcPr>
          <w:p w14:paraId="30650242">
            <w:r>
              <w:rPr>
                <w:rFonts w:ascii="Calibri" w:hAnsi="Calibri"/>
                <w:color w:val="2D3748"/>
                <w:sz w:val="18"/>
              </w:rPr>
              <w:t>Payment gateway integration</w:t>
            </w:r>
          </w:p>
        </w:tc>
        <w:tc>
          <w:tcPr>
            <w:tcW w:w="1440" w:type="dxa"/>
            <w:shd w:val="clear" w:color="auto" w:fill="F7F9FC"/>
          </w:tcPr>
          <w:p w14:paraId="152B543D">
            <w:r>
              <w:rPr>
                <w:rFonts w:ascii="Calibri" w:hAnsi="Calibri"/>
                <w:color w:val="2D3748"/>
                <w:sz w:val="18"/>
              </w:rPr>
              <w:t>Latest</w:t>
            </w:r>
          </w:p>
        </w:tc>
      </w:tr>
      <w:tr w14:paraId="6AF3398B">
        <w:trPr>
          <w:jc w:val="center"/>
        </w:trPr>
        <w:tc>
          <w:tcPr>
            <w:tcW w:w="1728" w:type="dxa"/>
            <w:shd w:val="clear" w:color="auto" w:fill="FFFFFF"/>
          </w:tcPr>
          <w:p w14:paraId="3330DFDE">
            <w:r>
              <w:rPr>
                <w:rFonts w:ascii="Calibri" w:hAnsi="Calibri"/>
                <w:color w:val="2D3748"/>
                <w:sz w:val="18"/>
              </w:rPr>
              <w:t>Biometric</w:t>
            </w:r>
          </w:p>
        </w:tc>
        <w:tc>
          <w:tcPr>
            <w:tcW w:w="2880" w:type="dxa"/>
            <w:shd w:val="clear" w:color="auto" w:fill="FFFFFF"/>
          </w:tcPr>
          <w:p w14:paraId="1E316EDA">
            <w:r>
              <w:rPr>
                <w:rFonts w:ascii="Calibri" w:hAnsi="Calibri"/>
                <w:color w:val="2D3748"/>
                <w:sz w:val="18"/>
              </w:rPr>
              <w:t>ZKTeco / Suprema API</w:t>
            </w:r>
          </w:p>
        </w:tc>
        <w:tc>
          <w:tcPr>
            <w:tcW w:w="3600" w:type="dxa"/>
            <w:shd w:val="clear" w:color="auto" w:fill="FFFFFF"/>
          </w:tcPr>
          <w:p w14:paraId="2F23C7FA">
            <w:r>
              <w:rPr>
                <w:rFonts w:ascii="Calibri" w:hAnsi="Calibri"/>
                <w:color w:val="2D3748"/>
                <w:sz w:val="18"/>
              </w:rPr>
              <w:t>Attendance device integration</w:t>
            </w:r>
          </w:p>
        </w:tc>
        <w:tc>
          <w:tcPr>
            <w:tcW w:w="1440" w:type="dxa"/>
            <w:shd w:val="clear" w:color="auto" w:fill="FFFFFF"/>
          </w:tcPr>
          <w:p w14:paraId="0ACAAA0D">
            <w:r>
              <w:rPr>
                <w:rFonts w:ascii="Calibri" w:hAnsi="Calibri"/>
                <w:color w:val="2D3748"/>
                <w:sz w:val="18"/>
              </w:rPr>
              <w:t>REST API</w:t>
            </w:r>
          </w:p>
        </w:tc>
      </w:tr>
    </w:tbl>
    <w:p w14:paraId="02047459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5.3 Multi-Tenancy Architecture</w:t>
      </w:r>
    </w:p>
    <w:p w14:paraId="74F576CC">
      <w:r>
        <w:t>Every registered organisation (tenant) receives a fully isolated PostgreSQL schema provisioned automatically during onboarding. This schema-per-tenant model ensures complete data isolation at the database level while sharing the same application infrastructure for cost efficiency.</w:t>
      </w:r>
    </w:p>
    <w:p w14:paraId="005BEB89">
      <w:pPr>
        <w:pStyle w:val="23"/>
      </w:pPr>
      <w:r>
        <w:rPr>
          <w:rFonts w:ascii="Calibri" w:hAnsi="Calibri"/>
          <w:b/>
          <w:sz w:val="20"/>
        </w:rPr>
        <w:t xml:space="preserve">Schema Provisioning: </w:t>
      </w:r>
      <w:r>
        <w:rPr>
          <w:rFonts w:ascii="Calibri" w:hAnsi="Calibri"/>
          <w:color w:val="2D3748"/>
          <w:sz w:val="20"/>
        </w:rPr>
        <w:t>Flyway-managed migrations create all 12 module tables in the tenant schema</w:t>
      </w:r>
    </w:p>
    <w:p w14:paraId="0ED6E440">
      <w:pPr>
        <w:pStyle w:val="23"/>
      </w:pPr>
      <w:r>
        <w:rPr>
          <w:rFonts w:ascii="Calibri" w:hAnsi="Calibri"/>
          <w:b/>
          <w:sz w:val="20"/>
        </w:rPr>
        <w:t xml:space="preserve">Tenant Resolution: </w:t>
      </w:r>
      <w:r>
        <w:rPr>
          <w:rFonts w:ascii="Calibri" w:hAnsi="Calibri"/>
          <w:color w:val="2D3748"/>
          <w:sz w:val="20"/>
        </w:rPr>
        <w:t>Subdomain-based routing (tenant.hmssaas.in) → Tenant ID injected into every request context</w:t>
      </w:r>
    </w:p>
    <w:p w14:paraId="47AEF207">
      <w:pPr>
        <w:pStyle w:val="23"/>
      </w:pPr>
      <w:r>
        <w:rPr>
          <w:rFonts w:ascii="Calibri" w:hAnsi="Calibri"/>
          <w:b/>
          <w:sz w:val="20"/>
        </w:rPr>
        <w:t xml:space="preserve">Data Isolation: </w:t>
      </w:r>
      <w:r>
        <w:rPr>
          <w:rFonts w:ascii="Calibri" w:hAnsi="Calibri"/>
          <w:color w:val="2D3748"/>
          <w:sz w:val="20"/>
        </w:rPr>
        <w:t>PostgreSQL Row-Level Security (RLS) as defense-in-depth; application-level tenant ID filtering</w:t>
      </w:r>
    </w:p>
    <w:p w14:paraId="3343751B">
      <w:pPr>
        <w:pStyle w:val="23"/>
      </w:pPr>
      <w:r>
        <w:rPr>
          <w:rFonts w:ascii="Calibri" w:hAnsi="Calibri"/>
          <w:b/>
          <w:sz w:val="20"/>
        </w:rPr>
        <w:t xml:space="preserve">Connection Pooling: </w:t>
      </w:r>
      <w:r>
        <w:rPr>
          <w:rFonts w:ascii="Calibri" w:hAnsi="Calibri"/>
          <w:color w:val="2D3748"/>
          <w:sz w:val="20"/>
        </w:rPr>
        <w:t>HikariCP with per-tenant connection limits; max 200 connections per database instance</w:t>
      </w:r>
    </w:p>
    <w:p w14:paraId="0930ED61">
      <w:pPr>
        <w:pStyle w:val="23"/>
      </w:pPr>
      <w:r>
        <w:rPr>
          <w:rFonts w:ascii="Calibri" w:hAnsi="Calibri"/>
          <w:b/>
          <w:sz w:val="20"/>
        </w:rPr>
        <w:t xml:space="preserve">Scaling: </w:t>
      </w:r>
      <w:r>
        <w:rPr>
          <w:rFonts w:ascii="Calibri" w:hAnsi="Calibri"/>
          <w:color w:val="2D3748"/>
          <w:sz w:val="20"/>
        </w:rPr>
        <w:t>Read replicas for reporting; tenant-specific connection pools; database sharding ready for Phase 2</w:t>
      </w:r>
    </w:p>
    <w:p w14:paraId="4AE32C0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5.4 Deployment Architecture</w:t>
      </w:r>
    </w:p>
    <w:p w14:paraId="005BC003">
      <w:pPr>
        <w:pStyle w:val="23"/>
      </w:pPr>
      <w:r>
        <w:rPr>
          <w:rFonts w:ascii="Calibri" w:hAnsi="Calibri"/>
          <w:b/>
          <w:sz w:val="20"/>
        </w:rPr>
        <w:t xml:space="preserve">Container Strategy: </w:t>
      </w:r>
      <w:r>
        <w:rPr>
          <w:rFonts w:ascii="Calibri" w:hAnsi="Calibri"/>
          <w:color w:val="2D3748"/>
          <w:sz w:val="20"/>
        </w:rPr>
        <w:t>Each microservice packaged as Docker container with multi-stage builds (build + runtime)</w:t>
      </w:r>
    </w:p>
    <w:p w14:paraId="5B79771D">
      <w:pPr>
        <w:pStyle w:val="23"/>
      </w:pPr>
      <w:r>
        <w:rPr>
          <w:rFonts w:ascii="Calibri" w:hAnsi="Calibri"/>
          <w:b/>
          <w:sz w:val="20"/>
        </w:rPr>
        <w:t xml:space="preserve">Kubernetes: </w:t>
      </w:r>
      <w:r>
        <w:rPr>
          <w:rFonts w:ascii="Calibri" w:hAnsi="Calibri"/>
          <w:color w:val="2D3748"/>
          <w:sz w:val="20"/>
        </w:rPr>
        <w:t>Namespace-per-service; HPA (Horizontal Pod Autoscaler) with CPU/memory triggers; Rolling updates with zero downtime</w:t>
      </w:r>
    </w:p>
    <w:p w14:paraId="3DFD0A15">
      <w:pPr>
        <w:pStyle w:val="23"/>
      </w:pPr>
      <w:r>
        <w:rPr>
          <w:rFonts w:ascii="Calibri" w:hAnsi="Calibri"/>
          <w:b/>
          <w:sz w:val="20"/>
        </w:rPr>
        <w:t xml:space="preserve">Service Mesh: </w:t>
      </w:r>
      <w:r>
        <w:rPr>
          <w:rFonts w:ascii="Calibri" w:hAnsi="Calibri"/>
          <w:color w:val="2D3748"/>
          <w:sz w:val="20"/>
        </w:rPr>
        <w:t>Istio/Linkerd for service-to-service mTLS, traffic management, and observability</w:t>
      </w:r>
    </w:p>
    <w:p w14:paraId="012C6166">
      <w:pPr>
        <w:pStyle w:val="23"/>
      </w:pPr>
      <w:r>
        <w:rPr>
          <w:rFonts w:ascii="Calibri" w:hAnsi="Calibri"/>
          <w:b/>
          <w:sz w:val="20"/>
        </w:rPr>
        <w:t xml:space="preserve">Regions: </w:t>
      </w:r>
      <w:r>
        <w:rPr>
          <w:rFonts w:ascii="Calibri" w:hAnsi="Calibri"/>
          <w:color w:val="2D3748"/>
          <w:sz w:val="20"/>
        </w:rPr>
        <w:t>Primary: AWS Mumbai (ap-south-1); DR: AWS Singapore (ap-southeast-1)</w:t>
      </w:r>
    </w:p>
    <w:p w14:paraId="3B66D9EC">
      <w:pPr>
        <w:pStyle w:val="23"/>
      </w:pPr>
      <w:r>
        <w:rPr>
          <w:rFonts w:ascii="Calibri" w:hAnsi="Calibri"/>
          <w:b/>
          <w:sz w:val="20"/>
        </w:rPr>
        <w:t xml:space="preserve">CDN: </w:t>
      </w:r>
      <w:r>
        <w:rPr>
          <w:rFonts w:ascii="Calibri" w:hAnsi="Calibri"/>
          <w:color w:val="2D3748"/>
          <w:sz w:val="20"/>
        </w:rPr>
        <w:t>CloudFront for static assets; presigned URLs for document access</w:t>
      </w:r>
    </w:p>
    <w:p w14:paraId="2172C85F">
      <w:pPr>
        <w:pStyle w:val="23"/>
      </w:pPr>
      <w:r>
        <w:rPr>
          <w:rFonts w:ascii="Calibri" w:hAnsi="Calibri"/>
          <w:b/>
          <w:sz w:val="20"/>
        </w:rPr>
        <w:t xml:space="preserve">DNS: </w:t>
      </w:r>
      <w:r>
        <w:rPr>
          <w:rFonts w:ascii="Calibri" w:hAnsi="Calibri"/>
          <w:color w:val="2D3748"/>
          <w:sz w:val="20"/>
        </w:rPr>
        <w:t>Route53 with wildcard SSL for *.hmssaas.in; tenant subdomain auto-provisioning</w:t>
      </w:r>
    </w:p>
    <w:p w14:paraId="2AA7DE2B"/>
    <w:p w14:paraId="38B75B5B"/>
    <w:p w14:paraId="5C515E85"/>
    <w:p w14:paraId="7A5CBF43"/>
    <w:p w14:paraId="259F8B6E"/>
    <w:p w14:paraId="5A63027F"/>
    <w:p w14:paraId="3E3746BF"/>
    <w:p w14:paraId="5B479740"/>
    <w:p w14:paraId="59653961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5.5 Security Architecture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40"/>
        <w:gridCol w:w="4950"/>
        <w:gridCol w:w="2556"/>
      </w:tblGrid>
      <w:tr w14:paraId="441563E9">
        <w:trPr>
          <w:jc w:val="center"/>
        </w:trPr>
        <w:tc>
          <w:tcPr>
            <w:tcW w:w="2160" w:type="dxa"/>
            <w:shd w:val="clear" w:color="auto" w:fill="1B3A5C"/>
          </w:tcPr>
          <w:p w14:paraId="0A5BE59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Security Layer</w:t>
            </w:r>
          </w:p>
        </w:tc>
        <w:tc>
          <w:tcPr>
            <w:tcW w:w="5040" w:type="dxa"/>
            <w:shd w:val="clear" w:color="auto" w:fill="1B3A5C"/>
          </w:tcPr>
          <w:p w14:paraId="6E90D6A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  <w:tc>
          <w:tcPr>
            <w:tcW w:w="2592" w:type="dxa"/>
            <w:shd w:val="clear" w:color="auto" w:fill="1B3A5C"/>
          </w:tcPr>
          <w:p w14:paraId="6FB8521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</w:tr>
      <w:tr w14:paraId="09DC4797">
        <w:trPr>
          <w:jc w:val="center"/>
        </w:trPr>
        <w:tc>
          <w:tcPr>
            <w:tcW w:w="2160" w:type="dxa"/>
            <w:shd w:val="clear" w:color="auto" w:fill="F7F9FC"/>
          </w:tcPr>
          <w:p w14:paraId="16813273">
            <w:r>
              <w:rPr>
                <w:rFonts w:ascii="Calibri" w:hAnsi="Calibri"/>
                <w:color w:val="2D3748"/>
                <w:sz w:val="18"/>
              </w:rPr>
              <w:t>Authentication</w:t>
            </w:r>
          </w:p>
        </w:tc>
        <w:tc>
          <w:tcPr>
            <w:tcW w:w="5040" w:type="dxa"/>
            <w:shd w:val="clear" w:color="auto" w:fill="F7F9FC"/>
          </w:tcPr>
          <w:p w14:paraId="6F4166A5">
            <w:r>
              <w:rPr>
                <w:rFonts w:ascii="Calibri" w:hAnsi="Calibri"/>
                <w:color w:val="2D3748"/>
                <w:sz w:val="18"/>
              </w:rPr>
              <w:t>JWT (15-min expiry) + Refresh Token + MFA (L1-L3 roles)</w:t>
            </w:r>
          </w:p>
        </w:tc>
        <w:tc>
          <w:tcPr>
            <w:tcW w:w="2592" w:type="dxa"/>
            <w:shd w:val="clear" w:color="auto" w:fill="F7F9FC"/>
          </w:tcPr>
          <w:p w14:paraId="3FBFD114">
            <w:r>
              <w:rPr>
                <w:rFonts w:ascii="Calibri" w:hAnsi="Calibri"/>
                <w:color w:val="2D3748"/>
                <w:sz w:val="18"/>
              </w:rPr>
              <w:t>OAuth 2.0 / OIDC</w:t>
            </w:r>
          </w:p>
        </w:tc>
      </w:tr>
      <w:tr w14:paraId="513BA4A6">
        <w:trPr>
          <w:jc w:val="center"/>
        </w:trPr>
        <w:tc>
          <w:tcPr>
            <w:tcW w:w="2160" w:type="dxa"/>
            <w:shd w:val="clear" w:color="auto" w:fill="FFFFFF"/>
          </w:tcPr>
          <w:p w14:paraId="7A0ED1E0">
            <w:r>
              <w:rPr>
                <w:rFonts w:ascii="Calibri" w:hAnsi="Calibri"/>
                <w:color w:val="2D3748"/>
                <w:sz w:val="18"/>
              </w:rPr>
              <w:t>Authorization</w:t>
            </w:r>
          </w:p>
        </w:tc>
        <w:tc>
          <w:tcPr>
            <w:tcW w:w="5040" w:type="dxa"/>
            <w:shd w:val="clear" w:color="auto" w:fill="FFFFFF"/>
          </w:tcPr>
          <w:p w14:paraId="01228149">
            <w:r>
              <w:rPr>
                <w:rFonts w:ascii="Calibri" w:hAnsi="Calibri"/>
                <w:color w:val="2D3748"/>
                <w:sz w:val="18"/>
              </w:rPr>
              <w:t>6-tier RBAC with @PreAuthorize on every service method</w:t>
            </w:r>
          </w:p>
        </w:tc>
        <w:tc>
          <w:tcPr>
            <w:tcW w:w="2592" w:type="dxa"/>
            <w:shd w:val="clear" w:color="auto" w:fill="FFFFFF"/>
          </w:tcPr>
          <w:p w14:paraId="2F8335D7">
            <w:r>
              <w:rPr>
                <w:rFonts w:ascii="Calibri" w:hAnsi="Calibri"/>
                <w:color w:val="2D3748"/>
                <w:sz w:val="18"/>
              </w:rPr>
              <w:t>Custom RBAC engine</w:t>
            </w:r>
          </w:p>
        </w:tc>
      </w:tr>
      <w:tr w14:paraId="521AD76A">
        <w:trPr>
          <w:jc w:val="center"/>
        </w:trPr>
        <w:tc>
          <w:tcPr>
            <w:tcW w:w="2160" w:type="dxa"/>
            <w:shd w:val="clear" w:color="auto" w:fill="F7F9FC"/>
          </w:tcPr>
          <w:p w14:paraId="7C72CEDA">
            <w:r>
              <w:rPr>
                <w:rFonts w:ascii="Calibri" w:hAnsi="Calibri"/>
                <w:color w:val="2D3748"/>
                <w:sz w:val="18"/>
              </w:rPr>
              <w:t>Encryption at Rest</w:t>
            </w:r>
          </w:p>
        </w:tc>
        <w:tc>
          <w:tcPr>
            <w:tcW w:w="5040" w:type="dxa"/>
            <w:shd w:val="clear" w:color="auto" w:fill="F7F9FC"/>
          </w:tcPr>
          <w:p w14:paraId="2C6AB825">
            <w:r>
              <w:rPr>
                <w:rFonts w:ascii="Calibri" w:hAnsi="Calibri"/>
                <w:color w:val="2D3748"/>
                <w:sz w:val="18"/>
              </w:rPr>
              <w:t>AES-256 for all data; S3 SSE-KMS for documents</w:t>
            </w:r>
          </w:p>
        </w:tc>
        <w:tc>
          <w:tcPr>
            <w:tcW w:w="2592" w:type="dxa"/>
            <w:shd w:val="clear" w:color="auto" w:fill="F7F9FC"/>
          </w:tcPr>
          <w:p w14:paraId="650FC625">
            <w:r>
              <w:rPr>
                <w:rFonts w:ascii="Calibri" w:hAnsi="Calibri"/>
                <w:color w:val="2D3748"/>
                <w:sz w:val="18"/>
              </w:rPr>
              <w:t>NIST SP 800-111</w:t>
            </w:r>
          </w:p>
        </w:tc>
      </w:tr>
      <w:tr w14:paraId="72F706DC">
        <w:trPr>
          <w:jc w:val="center"/>
        </w:trPr>
        <w:tc>
          <w:tcPr>
            <w:tcW w:w="2160" w:type="dxa"/>
            <w:shd w:val="clear" w:color="auto" w:fill="FFFFFF"/>
          </w:tcPr>
          <w:p w14:paraId="63A5813D">
            <w:r>
              <w:rPr>
                <w:rFonts w:ascii="Calibri" w:hAnsi="Calibri"/>
                <w:color w:val="2D3748"/>
                <w:sz w:val="18"/>
              </w:rPr>
              <w:t>Encryption in Transit</w:t>
            </w:r>
          </w:p>
        </w:tc>
        <w:tc>
          <w:tcPr>
            <w:tcW w:w="5040" w:type="dxa"/>
            <w:shd w:val="clear" w:color="auto" w:fill="FFFFFF"/>
          </w:tcPr>
          <w:p w14:paraId="1DB7074C">
            <w:r>
              <w:rPr>
                <w:rFonts w:ascii="Calibri" w:hAnsi="Calibri"/>
                <w:color w:val="2D3748"/>
                <w:sz w:val="18"/>
              </w:rPr>
              <w:t>TLS 1.3 for all API calls; mTLS for service-to-service</w:t>
            </w:r>
          </w:p>
        </w:tc>
        <w:tc>
          <w:tcPr>
            <w:tcW w:w="2592" w:type="dxa"/>
            <w:shd w:val="clear" w:color="auto" w:fill="FFFFFF"/>
          </w:tcPr>
          <w:p w14:paraId="3A96ABC9">
            <w:r>
              <w:rPr>
                <w:rFonts w:ascii="Calibri" w:hAnsi="Calibri"/>
                <w:color w:val="2D3748"/>
                <w:sz w:val="18"/>
              </w:rPr>
              <w:t>NIST SP 800-52r2</w:t>
            </w:r>
          </w:p>
        </w:tc>
      </w:tr>
      <w:tr w14:paraId="08AB1E43">
        <w:trPr>
          <w:jc w:val="center"/>
        </w:trPr>
        <w:tc>
          <w:tcPr>
            <w:tcW w:w="2160" w:type="dxa"/>
            <w:shd w:val="clear" w:color="auto" w:fill="F7F9FC"/>
          </w:tcPr>
          <w:p w14:paraId="5EB0228F">
            <w:r>
              <w:rPr>
                <w:rFonts w:ascii="Calibri" w:hAnsi="Calibri"/>
                <w:color w:val="2D3748"/>
                <w:sz w:val="18"/>
              </w:rPr>
              <w:t>API Security</w:t>
            </w:r>
          </w:p>
        </w:tc>
        <w:tc>
          <w:tcPr>
            <w:tcW w:w="5040" w:type="dxa"/>
            <w:shd w:val="clear" w:color="auto" w:fill="F7F9FC"/>
          </w:tcPr>
          <w:p w14:paraId="4FFC2F28">
            <w:r>
              <w:rPr>
                <w:rFonts w:ascii="Calibri" w:hAnsi="Calibri"/>
                <w:color w:val="2D3748"/>
                <w:sz w:val="18"/>
              </w:rPr>
              <w:t>Rate limiting, input validation, CORS, CSRF protection</w:t>
            </w:r>
          </w:p>
        </w:tc>
        <w:tc>
          <w:tcPr>
            <w:tcW w:w="2592" w:type="dxa"/>
            <w:shd w:val="clear" w:color="auto" w:fill="F7F9FC"/>
          </w:tcPr>
          <w:p w14:paraId="4540B4A1">
            <w:r>
              <w:rPr>
                <w:rFonts w:ascii="Calibri" w:hAnsi="Calibri"/>
                <w:color w:val="2D3748"/>
                <w:sz w:val="18"/>
              </w:rPr>
              <w:t>OWASP Top 10</w:t>
            </w:r>
          </w:p>
        </w:tc>
      </w:tr>
      <w:tr w14:paraId="7D5D61F8">
        <w:trPr>
          <w:jc w:val="center"/>
        </w:trPr>
        <w:tc>
          <w:tcPr>
            <w:tcW w:w="2160" w:type="dxa"/>
            <w:shd w:val="clear" w:color="auto" w:fill="FFFFFF"/>
          </w:tcPr>
          <w:p w14:paraId="0B6AAE02">
            <w:r>
              <w:rPr>
                <w:rFonts w:ascii="Calibri" w:hAnsi="Calibri"/>
                <w:color w:val="2D3748"/>
                <w:sz w:val="18"/>
              </w:rPr>
              <w:t>Database Security</w:t>
            </w:r>
          </w:p>
        </w:tc>
        <w:tc>
          <w:tcPr>
            <w:tcW w:w="5040" w:type="dxa"/>
            <w:shd w:val="clear" w:color="auto" w:fill="FFFFFF"/>
          </w:tcPr>
          <w:p w14:paraId="4609B00E">
            <w:r>
              <w:rPr>
                <w:rFonts w:ascii="Calibri" w:hAnsi="Calibri"/>
                <w:color w:val="2D3748"/>
                <w:sz w:val="18"/>
              </w:rPr>
              <w:t>Schema isolation + RLS; encrypted backups; no direct DB access</w:t>
            </w:r>
          </w:p>
        </w:tc>
        <w:tc>
          <w:tcPr>
            <w:tcW w:w="2592" w:type="dxa"/>
            <w:shd w:val="clear" w:color="auto" w:fill="FFFFFF"/>
          </w:tcPr>
          <w:p w14:paraId="7CFB6FD4">
            <w:r>
              <w:rPr>
                <w:rFonts w:ascii="Calibri" w:hAnsi="Calibri"/>
                <w:color w:val="2D3748"/>
                <w:sz w:val="18"/>
              </w:rPr>
              <w:t>CIS PostgreSQL Benchmark</w:t>
            </w:r>
          </w:p>
        </w:tc>
      </w:tr>
      <w:tr w14:paraId="778357E4">
        <w:trPr>
          <w:jc w:val="center"/>
        </w:trPr>
        <w:tc>
          <w:tcPr>
            <w:tcW w:w="2160" w:type="dxa"/>
            <w:shd w:val="clear" w:color="auto" w:fill="F7F9FC"/>
          </w:tcPr>
          <w:p w14:paraId="2ECF5CF9">
            <w:r>
              <w:rPr>
                <w:rFonts w:ascii="Calibri" w:hAnsi="Calibri"/>
                <w:color w:val="2D3748"/>
                <w:sz w:val="18"/>
              </w:rPr>
              <w:t>Audit Trail</w:t>
            </w:r>
          </w:p>
        </w:tc>
        <w:tc>
          <w:tcPr>
            <w:tcW w:w="5040" w:type="dxa"/>
            <w:shd w:val="clear" w:color="auto" w:fill="F7F9FC"/>
          </w:tcPr>
          <w:p w14:paraId="5D624192">
            <w:r>
              <w:rPr>
                <w:rFonts w:ascii="Calibri" w:hAnsi="Calibri"/>
                <w:color w:val="2D3748"/>
                <w:sz w:val="18"/>
              </w:rPr>
              <w:t>Immutable event log; 7-year retention; tamper-proof (append-only)</w:t>
            </w:r>
          </w:p>
        </w:tc>
        <w:tc>
          <w:tcPr>
            <w:tcW w:w="2592" w:type="dxa"/>
            <w:shd w:val="clear" w:color="auto" w:fill="F7F9FC"/>
          </w:tcPr>
          <w:p w14:paraId="6F4060C5">
            <w:r>
              <w:rPr>
                <w:rFonts w:ascii="Calibri" w:hAnsi="Calibri"/>
                <w:color w:val="2D3748"/>
                <w:sz w:val="18"/>
              </w:rPr>
              <w:t>DISHA Act</w:t>
            </w:r>
          </w:p>
        </w:tc>
      </w:tr>
      <w:tr w14:paraId="7D2AF9EF">
        <w:trPr>
          <w:jc w:val="center"/>
        </w:trPr>
        <w:tc>
          <w:tcPr>
            <w:tcW w:w="2160" w:type="dxa"/>
            <w:shd w:val="clear" w:color="auto" w:fill="FFFFFF"/>
          </w:tcPr>
          <w:p w14:paraId="2CA322E1">
            <w:r>
              <w:rPr>
                <w:rFonts w:ascii="Calibri" w:hAnsi="Calibri"/>
                <w:color w:val="2D3748"/>
                <w:sz w:val="18"/>
              </w:rPr>
              <w:t>Vulnerability Management</w:t>
            </w:r>
          </w:p>
        </w:tc>
        <w:tc>
          <w:tcPr>
            <w:tcW w:w="5040" w:type="dxa"/>
            <w:shd w:val="clear" w:color="auto" w:fill="FFFFFF"/>
          </w:tcPr>
          <w:p w14:paraId="39937473">
            <w:r>
              <w:rPr>
                <w:rFonts w:ascii="Calibri" w:hAnsi="Calibri"/>
                <w:color w:val="2D3748"/>
                <w:sz w:val="18"/>
              </w:rPr>
              <w:t>SAST/DAST in CI/CD; dependency scanning; penetration testing</w:t>
            </w:r>
          </w:p>
        </w:tc>
        <w:tc>
          <w:tcPr>
            <w:tcW w:w="2592" w:type="dxa"/>
            <w:shd w:val="clear" w:color="auto" w:fill="FFFFFF"/>
          </w:tcPr>
          <w:p w14:paraId="418CADD1">
            <w:r>
              <w:rPr>
                <w:rFonts w:ascii="Calibri" w:hAnsi="Calibri"/>
                <w:color w:val="2D3748"/>
                <w:sz w:val="18"/>
              </w:rPr>
              <w:t>OWASP ASVS Level 2</w:t>
            </w:r>
          </w:p>
        </w:tc>
      </w:tr>
      <w:tr w14:paraId="29A98E0D">
        <w:trPr>
          <w:jc w:val="center"/>
        </w:trPr>
        <w:tc>
          <w:tcPr>
            <w:tcW w:w="2160" w:type="dxa"/>
            <w:shd w:val="clear" w:color="auto" w:fill="F7F9FC"/>
          </w:tcPr>
          <w:p w14:paraId="79B67F49">
            <w:r>
              <w:rPr>
                <w:rFonts w:ascii="Calibri" w:hAnsi="Calibri"/>
                <w:color w:val="2D3748"/>
                <w:sz w:val="18"/>
              </w:rPr>
              <w:t>Incident Response</w:t>
            </w:r>
          </w:p>
        </w:tc>
        <w:tc>
          <w:tcPr>
            <w:tcW w:w="5040" w:type="dxa"/>
            <w:shd w:val="clear" w:color="auto" w:fill="F7F9FC"/>
          </w:tcPr>
          <w:p w14:paraId="7B4F1DA3">
            <w:r>
              <w:rPr>
                <w:rFonts w:ascii="Calibri" w:hAnsi="Calibri"/>
                <w:color w:val="2D3748"/>
                <w:sz w:val="18"/>
              </w:rPr>
              <w:t>Automated alerting; incident playbooks; CERT-In notification compliance</w:t>
            </w:r>
          </w:p>
        </w:tc>
        <w:tc>
          <w:tcPr>
            <w:tcW w:w="2592" w:type="dxa"/>
            <w:shd w:val="clear" w:color="auto" w:fill="F7F9FC"/>
          </w:tcPr>
          <w:p w14:paraId="4292D1B9">
            <w:r>
              <w:rPr>
                <w:rFonts w:ascii="Calibri" w:hAnsi="Calibri"/>
                <w:color w:val="2D3748"/>
                <w:sz w:val="18"/>
              </w:rPr>
              <w:t>CERT-In Guidelines</w:t>
            </w:r>
          </w:p>
        </w:tc>
      </w:tr>
      <w:tr w14:paraId="30676867">
        <w:trPr>
          <w:jc w:val="center"/>
        </w:trPr>
        <w:tc>
          <w:tcPr>
            <w:tcW w:w="2160" w:type="dxa"/>
            <w:shd w:val="clear" w:color="auto" w:fill="FFFFFF"/>
          </w:tcPr>
          <w:p w14:paraId="7958E080">
            <w:r>
              <w:rPr>
                <w:rFonts w:ascii="Calibri" w:hAnsi="Calibri"/>
                <w:color w:val="2D3748"/>
                <w:sz w:val="18"/>
              </w:rPr>
              <w:t>Data Masking</w:t>
            </w:r>
          </w:p>
        </w:tc>
        <w:tc>
          <w:tcPr>
            <w:tcW w:w="5040" w:type="dxa"/>
            <w:shd w:val="clear" w:color="auto" w:fill="FFFFFF"/>
          </w:tcPr>
          <w:p w14:paraId="3ADCFDA3">
            <w:r>
              <w:rPr>
                <w:rFonts w:ascii="Calibri" w:hAnsi="Calibri"/>
                <w:color w:val="2D3748"/>
                <w:sz w:val="18"/>
              </w:rPr>
              <w:t>PII masking in logs; Aadhaar partial display; test data anonymization</w:t>
            </w:r>
          </w:p>
        </w:tc>
        <w:tc>
          <w:tcPr>
            <w:tcW w:w="2592" w:type="dxa"/>
            <w:shd w:val="clear" w:color="auto" w:fill="FFFFFF"/>
          </w:tcPr>
          <w:p w14:paraId="6BEB2D61">
            <w:r>
              <w:rPr>
                <w:rFonts w:ascii="Calibri" w:hAnsi="Calibri"/>
                <w:color w:val="2D3748"/>
                <w:sz w:val="18"/>
              </w:rPr>
              <w:t>DISHA Act / IT Act</w:t>
            </w:r>
          </w:p>
        </w:tc>
      </w:tr>
    </w:tbl>
    <w:p w14:paraId="06261D57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5.6 Backup &amp; Disaster Recovery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58"/>
        <w:gridCol w:w="6388"/>
      </w:tblGrid>
      <w:tr w14:paraId="62A90885">
        <w:trPr>
          <w:jc w:val="center"/>
        </w:trPr>
        <w:tc>
          <w:tcPr>
            <w:tcW w:w="3600" w:type="dxa"/>
            <w:shd w:val="clear" w:color="auto" w:fill="1B3A5C"/>
          </w:tcPr>
          <w:p w14:paraId="631997E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w="7200" w:type="dxa"/>
            <w:shd w:val="clear" w:color="auto" w:fill="1B3A5C"/>
          </w:tcPr>
          <w:p w14:paraId="67082D4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Specification</w:t>
            </w:r>
          </w:p>
        </w:tc>
      </w:tr>
      <w:tr w14:paraId="30EE20AC">
        <w:trPr>
          <w:jc w:val="center"/>
        </w:trPr>
        <w:tc>
          <w:tcPr>
            <w:tcW w:w="3600" w:type="dxa"/>
            <w:shd w:val="clear" w:color="auto" w:fill="F7F9FC"/>
          </w:tcPr>
          <w:p w14:paraId="652D0663">
            <w:r>
              <w:rPr>
                <w:rFonts w:ascii="Calibri" w:hAnsi="Calibri"/>
                <w:color w:val="2D3748"/>
                <w:sz w:val="18"/>
              </w:rPr>
              <w:t>RTO (Recovery Time Objective)</w:t>
            </w:r>
          </w:p>
        </w:tc>
        <w:tc>
          <w:tcPr>
            <w:tcW w:w="7200" w:type="dxa"/>
            <w:shd w:val="clear" w:color="auto" w:fill="F7F9FC"/>
          </w:tcPr>
          <w:p w14:paraId="28FAEFA7">
            <w:r>
              <w:rPr>
                <w:rFonts w:ascii="Calibri" w:hAnsi="Calibri"/>
                <w:color w:val="2D3748"/>
                <w:sz w:val="18"/>
              </w:rPr>
              <w:t>4 hours</w:t>
            </w:r>
          </w:p>
        </w:tc>
      </w:tr>
      <w:tr w14:paraId="2F1E5073">
        <w:trPr>
          <w:jc w:val="center"/>
        </w:trPr>
        <w:tc>
          <w:tcPr>
            <w:tcW w:w="3600" w:type="dxa"/>
            <w:shd w:val="clear" w:color="auto" w:fill="FFFFFF"/>
          </w:tcPr>
          <w:p w14:paraId="22157572">
            <w:r>
              <w:rPr>
                <w:rFonts w:ascii="Calibri" w:hAnsi="Calibri"/>
                <w:color w:val="2D3748"/>
                <w:sz w:val="18"/>
              </w:rPr>
              <w:t>RPO (Recovery Point Objective)</w:t>
            </w:r>
          </w:p>
        </w:tc>
        <w:tc>
          <w:tcPr>
            <w:tcW w:w="7200" w:type="dxa"/>
            <w:shd w:val="clear" w:color="auto" w:fill="FFFFFF"/>
          </w:tcPr>
          <w:p w14:paraId="37E78A85">
            <w:r>
              <w:rPr>
                <w:rFonts w:ascii="Calibri" w:hAnsi="Calibri"/>
                <w:color w:val="2D3748"/>
                <w:sz w:val="18"/>
              </w:rPr>
              <w:t>15 minutes</w:t>
            </w:r>
          </w:p>
        </w:tc>
      </w:tr>
      <w:tr w14:paraId="34F6ACE6">
        <w:trPr>
          <w:jc w:val="center"/>
        </w:trPr>
        <w:tc>
          <w:tcPr>
            <w:tcW w:w="3600" w:type="dxa"/>
            <w:shd w:val="clear" w:color="auto" w:fill="F7F9FC"/>
          </w:tcPr>
          <w:p w14:paraId="7C370C72">
            <w:r>
              <w:rPr>
                <w:rFonts w:ascii="Calibri" w:hAnsi="Calibri"/>
                <w:color w:val="2D3748"/>
                <w:sz w:val="18"/>
              </w:rPr>
              <w:t>Backup Frequency</w:t>
            </w:r>
          </w:p>
        </w:tc>
        <w:tc>
          <w:tcPr>
            <w:tcW w:w="7200" w:type="dxa"/>
            <w:shd w:val="clear" w:color="auto" w:fill="F7F9FC"/>
          </w:tcPr>
          <w:p w14:paraId="322EA123">
            <w:r>
              <w:rPr>
                <w:rFonts w:ascii="Calibri" w:hAnsi="Calibri"/>
                <w:color w:val="2D3748"/>
                <w:sz w:val="18"/>
              </w:rPr>
              <w:t>Continuous WAL archiving + Daily full backup at 02:00 IST</w:t>
            </w:r>
          </w:p>
        </w:tc>
      </w:tr>
      <w:tr w14:paraId="2578D974">
        <w:trPr>
          <w:jc w:val="center"/>
        </w:trPr>
        <w:tc>
          <w:tcPr>
            <w:tcW w:w="3600" w:type="dxa"/>
            <w:shd w:val="clear" w:color="auto" w:fill="FFFFFF"/>
          </w:tcPr>
          <w:p w14:paraId="75A7F521">
            <w:r>
              <w:rPr>
                <w:rFonts w:ascii="Calibri" w:hAnsi="Calibri"/>
                <w:color w:val="2D3748"/>
                <w:sz w:val="18"/>
              </w:rPr>
              <w:t>Backup Storage</w:t>
            </w:r>
          </w:p>
        </w:tc>
        <w:tc>
          <w:tcPr>
            <w:tcW w:w="7200" w:type="dxa"/>
            <w:shd w:val="clear" w:color="auto" w:fill="FFFFFF"/>
          </w:tcPr>
          <w:p w14:paraId="3B300BF8">
            <w:r>
              <w:rPr>
                <w:rFonts w:ascii="Calibri" w:hAnsi="Calibri"/>
                <w:color w:val="2D3748"/>
                <w:sz w:val="18"/>
              </w:rPr>
              <w:t>AWS S3 Mumbai (primary) + AWS S3 Singapore (DR replica)</w:t>
            </w:r>
          </w:p>
        </w:tc>
      </w:tr>
      <w:tr w14:paraId="542D83DC">
        <w:trPr>
          <w:jc w:val="center"/>
        </w:trPr>
        <w:tc>
          <w:tcPr>
            <w:tcW w:w="3600" w:type="dxa"/>
            <w:shd w:val="clear" w:color="auto" w:fill="F7F9FC"/>
          </w:tcPr>
          <w:p w14:paraId="3EA9DDF4">
            <w:r>
              <w:rPr>
                <w:rFonts w:ascii="Calibri" w:hAnsi="Calibri"/>
                <w:color w:val="2D3748"/>
                <w:sz w:val="18"/>
              </w:rPr>
              <w:t>Backup Encryption</w:t>
            </w:r>
          </w:p>
        </w:tc>
        <w:tc>
          <w:tcPr>
            <w:tcW w:w="7200" w:type="dxa"/>
            <w:shd w:val="clear" w:color="auto" w:fill="F7F9FC"/>
          </w:tcPr>
          <w:p w14:paraId="143A5332">
            <w:r>
              <w:rPr>
                <w:rFonts w:ascii="Calibri" w:hAnsi="Calibri"/>
                <w:color w:val="2D3748"/>
                <w:sz w:val="18"/>
              </w:rPr>
              <w:t>AES-256 encryption at rest</w:t>
            </w:r>
          </w:p>
        </w:tc>
      </w:tr>
      <w:tr w14:paraId="4CB010F7">
        <w:trPr>
          <w:jc w:val="center"/>
        </w:trPr>
        <w:tc>
          <w:tcPr>
            <w:tcW w:w="3600" w:type="dxa"/>
            <w:shd w:val="clear" w:color="auto" w:fill="FFFFFF"/>
          </w:tcPr>
          <w:p w14:paraId="307DB3A4">
            <w:r>
              <w:rPr>
                <w:rFonts w:ascii="Calibri" w:hAnsi="Calibri"/>
                <w:color w:val="2D3748"/>
                <w:sz w:val="18"/>
              </w:rPr>
              <w:t>Point-in-Time Recovery</w:t>
            </w:r>
          </w:p>
        </w:tc>
        <w:tc>
          <w:tcPr>
            <w:tcW w:w="7200" w:type="dxa"/>
            <w:shd w:val="clear" w:color="auto" w:fill="FFFFFF"/>
          </w:tcPr>
          <w:p w14:paraId="45E3B736">
            <w:r>
              <w:rPr>
                <w:rFonts w:ascii="Calibri" w:hAnsi="Calibri"/>
                <w:color w:val="2D3748"/>
                <w:sz w:val="18"/>
              </w:rPr>
              <w:t>7-day PITR window via PostgreSQL WAL</w:t>
            </w:r>
          </w:p>
        </w:tc>
      </w:tr>
      <w:tr w14:paraId="01A7BE15">
        <w:trPr>
          <w:jc w:val="center"/>
        </w:trPr>
        <w:tc>
          <w:tcPr>
            <w:tcW w:w="3600" w:type="dxa"/>
            <w:shd w:val="clear" w:color="auto" w:fill="F7F9FC"/>
          </w:tcPr>
          <w:p w14:paraId="18632A9E">
            <w:r>
              <w:rPr>
                <w:rFonts w:ascii="Calibri" w:hAnsi="Calibri"/>
                <w:color w:val="2D3748"/>
                <w:sz w:val="18"/>
              </w:rPr>
              <w:t>Backup Retention</w:t>
            </w:r>
          </w:p>
        </w:tc>
        <w:tc>
          <w:tcPr>
            <w:tcW w:w="7200" w:type="dxa"/>
            <w:shd w:val="clear" w:color="auto" w:fill="F7F9FC"/>
          </w:tcPr>
          <w:p w14:paraId="20A2EC37">
            <w:r>
              <w:rPr>
                <w:rFonts w:ascii="Calibri" w:hAnsi="Calibri"/>
                <w:color w:val="2D3748"/>
                <w:sz w:val="18"/>
              </w:rPr>
              <w:t>30 days (hot) + 1 year (cold/Glacier)</w:t>
            </w:r>
          </w:p>
        </w:tc>
      </w:tr>
      <w:tr w14:paraId="5A99CEE8">
        <w:trPr>
          <w:jc w:val="center"/>
        </w:trPr>
        <w:tc>
          <w:tcPr>
            <w:tcW w:w="3600" w:type="dxa"/>
            <w:shd w:val="clear" w:color="auto" w:fill="FFFFFF"/>
          </w:tcPr>
          <w:p w14:paraId="7D31B739">
            <w:r>
              <w:rPr>
                <w:rFonts w:ascii="Calibri" w:hAnsi="Calibri"/>
                <w:color w:val="2D3748"/>
                <w:sz w:val="18"/>
              </w:rPr>
              <w:t>DR Testing</w:t>
            </w:r>
          </w:p>
        </w:tc>
        <w:tc>
          <w:tcPr>
            <w:tcW w:w="7200" w:type="dxa"/>
            <w:shd w:val="clear" w:color="auto" w:fill="FFFFFF"/>
          </w:tcPr>
          <w:p w14:paraId="7C453E64">
            <w:r>
              <w:rPr>
                <w:rFonts w:ascii="Calibri" w:hAnsi="Calibri"/>
                <w:color w:val="2D3748"/>
                <w:sz w:val="18"/>
              </w:rPr>
              <w:t>Quarterly DR drill; documented recovery runbook</w:t>
            </w:r>
          </w:p>
        </w:tc>
      </w:tr>
      <w:tr w14:paraId="5DD4E6F6">
        <w:trPr>
          <w:jc w:val="center"/>
        </w:trPr>
        <w:tc>
          <w:tcPr>
            <w:tcW w:w="3600" w:type="dxa"/>
            <w:shd w:val="clear" w:color="auto" w:fill="F7F9FC"/>
          </w:tcPr>
          <w:p w14:paraId="63971CAB">
            <w:r>
              <w:rPr>
                <w:rFonts w:ascii="Calibri" w:hAnsi="Calibri"/>
                <w:color w:val="2D3748"/>
                <w:sz w:val="18"/>
              </w:rPr>
              <w:t>Failover Strategy</w:t>
            </w:r>
          </w:p>
        </w:tc>
        <w:tc>
          <w:tcPr>
            <w:tcW w:w="7200" w:type="dxa"/>
            <w:shd w:val="clear" w:color="auto" w:fill="F7F9FC"/>
          </w:tcPr>
          <w:p w14:paraId="025DF74F">
            <w:r>
              <w:rPr>
                <w:rFonts w:ascii="Calibri" w:hAnsi="Calibri"/>
                <w:color w:val="2D3748"/>
                <w:sz w:val="18"/>
              </w:rPr>
              <w:t>Active-Passive with automated failover via Route53 health checks</w:t>
            </w:r>
          </w:p>
        </w:tc>
      </w:tr>
    </w:tbl>
    <w:p w14:paraId="18EA0571">
      <w:pPr>
        <w:rPr>
          <w:rFonts w:ascii="Calibri" w:hAnsi="Calibri"/>
          <w:b/>
          <w:color w:val="1B3A5C"/>
          <w:sz w:val="44"/>
        </w:rPr>
      </w:pPr>
    </w:p>
    <w:p w14:paraId="7A376FF4">
      <w:r>
        <w:rPr>
          <w:rFonts w:ascii="Calibri" w:hAnsi="Calibri"/>
          <w:b/>
          <w:color w:val="1B3A5C"/>
          <w:sz w:val="44"/>
        </w:rPr>
        <w:t>6. Role-Based Access Control (RBAC) Model</w:t>
      </w:r>
    </w:p>
    <w:p w14:paraId="50DE8CD3">
      <w:r>
        <w:t>The HMS platform implements a 6-tier role hierarchy with 200+ granular permissions. Each permission follows the pattern resource:action and is enforced at the API layer via @PreAuthorize(tenantId + branchId + roleId + resource:action) guards.</w:t>
      </w:r>
    </w:p>
    <w:p w14:paraId="15D31DB5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6.1 Role Hierarchy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4"/>
        <w:gridCol w:w="1629"/>
        <w:gridCol w:w="1655"/>
        <w:gridCol w:w="4520"/>
        <w:gridCol w:w="1128"/>
      </w:tblGrid>
      <w:tr w14:paraId="29046DCF">
        <w:trPr>
          <w:jc w:val="center"/>
        </w:trPr>
        <w:tc>
          <w:tcPr>
            <w:tcW w:w="720" w:type="dxa"/>
            <w:shd w:val="clear" w:color="auto" w:fill="1B3A5C"/>
          </w:tcPr>
          <w:p w14:paraId="3947474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w="1728" w:type="dxa"/>
            <w:shd w:val="clear" w:color="auto" w:fill="1B3A5C"/>
          </w:tcPr>
          <w:p w14:paraId="4E763E0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1728" w:type="dxa"/>
            <w:shd w:val="clear" w:color="auto" w:fill="1B3A5C"/>
          </w:tcPr>
          <w:p w14:paraId="13B3A69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w="5040" w:type="dxa"/>
            <w:shd w:val="clear" w:color="auto" w:fill="1B3A5C"/>
          </w:tcPr>
          <w:p w14:paraId="7307586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1152" w:type="dxa"/>
            <w:shd w:val="clear" w:color="auto" w:fill="1B3A5C"/>
          </w:tcPr>
          <w:p w14:paraId="07749C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MFA Required</w:t>
            </w:r>
          </w:p>
        </w:tc>
      </w:tr>
      <w:tr w14:paraId="4AA31184">
        <w:trPr>
          <w:jc w:val="center"/>
        </w:trPr>
        <w:tc>
          <w:tcPr>
            <w:tcW w:w="720" w:type="dxa"/>
            <w:shd w:val="clear" w:color="auto" w:fill="F7F9FC"/>
          </w:tcPr>
          <w:p w14:paraId="64EC7B38">
            <w:r>
              <w:rPr>
                <w:rFonts w:ascii="Calibri" w:hAnsi="Calibri"/>
                <w:color w:val="2D3748"/>
                <w:sz w:val="18"/>
              </w:rPr>
              <w:t>L1</w:t>
            </w:r>
          </w:p>
        </w:tc>
        <w:tc>
          <w:tcPr>
            <w:tcW w:w="1728" w:type="dxa"/>
            <w:shd w:val="clear" w:color="auto" w:fill="F7F9FC"/>
          </w:tcPr>
          <w:p w14:paraId="3FCF9998">
            <w:r>
              <w:rPr>
                <w:rFonts w:ascii="Calibri" w:hAnsi="Calibri"/>
                <w:color w:val="2D3748"/>
                <w:sz w:val="18"/>
              </w:rPr>
              <w:t>Super Admin</w:t>
            </w:r>
          </w:p>
        </w:tc>
        <w:tc>
          <w:tcPr>
            <w:tcW w:w="1728" w:type="dxa"/>
            <w:shd w:val="clear" w:color="auto" w:fill="F7F9FC"/>
          </w:tcPr>
          <w:p w14:paraId="18DAFCC2">
            <w:r>
              <w:rPr>
                <w:rFonts w:ascii="Calibri" w:hAnsi="Calibri"/>
                <w:color w:val="2D3748"/>
                <w:sz w:val="18"/>
              </w:rPr>
              <w:t>Platform-wide</w:t>
            </w:r>
          </w:p>
        </w:tc>
        <w:tc>
          <w:tcPr>
            <w:tcW w:w="5040" w:type="dxa"/>
            <w:shd w:val="clear" w:color="auto" w:fill="F7F9FC"/>
          </w:tcPr>
          <w:p w14:paraId="7247758B">
            <w:r>
              <w:rPr>
                <w:rFonts w:ascii="Calibri" w:hAnsi="Calibri"/>
                <w:color w:val="2D3748"/>
                <w:sz w:val="18"/>
              </w:rPr>
              <w:t>SaaS platform operator; manages all tenants, global config, health monitoring</w:t>
            </w:r>
          </w:p>
        </w:tc>
        <w:tc>
          <w:tcPr>
            <w:tcW w:w="1152" w:type="dxa"/>
            <w:shd w:val="clear" w:color="auto" w:fill="F7F9FC"/>
          </w:tcPr>
          <w:p w14:paraId="378A22BD"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</w:tr>
      <w:tr w14:paraId="57CFCE57">
        <w:trPr>
          <w:jc w:val="center"/>
        </w:trPr>
        <w:tc>
          <w:tcPr>
            <w:tcW w:w="720" w:type="dxa"/>
            <w:shd w:val="clear" w:color="auto" w:fill="FFFFFF"/>
          </w:tcPr>
          <w:p w14:paraId="34DD3E2D">
            <w:r>
              <w:rPr>
                <w:rFonts w:ascii="Calibri" w:hAnsi="Calibri"/>
                <w:color w:val="2D3748"/>
                <w:sz w:val="18"/>
              </w:rPr>
              <w:t>L2</w:t>
            </w:r>
          </w:p>
        </w:tc>
        <w:tc>
          <w:tcPr>
            <w:tcW w:w="1728" w:type="dxa"/>
            <w:shd w:val="clear" w:color="auto" w:fill="FFFFFF"/>
          </w:tcPr>
          <w:p w14:paraId="155CECAA">
            <w:r>
              <w:rPr>
                <w:rFonts w:ascii="Calibri" w:hAnsi="Calibri"/>
                <w:color w:val="2D3748"/>
                <w:sz w:val="18"/>
              </w:rPr>
              <w:t>Tenant Admin</w:t>
            </w:r>
          </w:p>
        </w:tc>
        <w:tc>
          <w:tcPr>
            <w:tcW w:w="1728" w:type="dxa"/>
            <w:shd w:val="clear" w:color="auto" w:fill="FFFFFF"/>
          </w:tcPr>
          <w:p w14:paraId="01D07078">
            <w:r>
              <w:rPr>
                <w:rFonts w:ascii="Calibri" w:hAnsi="Calibri"/>
                <w:color w:val="2D3748"/>
                <w:sz w:val="18"/>
              </w:rPr>
              <w:t>Organization-wide</w:t>
            </w:r>
          </w:p>
        </w:tc>
        <w:tc>
          <w:tcPr>
            <w:tcW w:w="5040" w:type="dxa"/>
            <w:shd w:val="clear" w:color="auto" w:fill="FFFFFF"/>
          </w:tcPr>
          <w:p w14:paraId="3DC2742D">
            <w:r>
              <w:rPr>
                <w:rFonts w:ascii="Calibri" w:hAnsi="Calibri"/>
                <w:color w:val="2D3748"/>
                <w:sz w:val="18"/>
              </w:rPr>
              <w:t>Hospital chain administrator; manages branches, salary grades, BI cross-branch</w:t>
            </w:r>
          </w:p>
        </w:tc>
        <w:tc>
          <w:tcPr>
            <w:tcW w:w="1152" w:type="dxa"/>
            <w:shd w:val="clear" w:color="auto" w:fill="FFFFFF"/>
          </w:tcPr>
          <w:p w14:paraId="5B6B7DF5"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</w:tr>
      <w:tr w14:paraId="2BE210F7">
        <w:trPr>
          <w:jc w:val="center"/>
        </w:trPr>
        <w:tc>
          <w:tcPr>
            <w:tcW w:w="720" w:type="dxa"/>
            <w:shd w:val="clear" w:color="auto" w:fill="F7F9FC"/>
          </w:tcPr>
          <w:p w14:paraId="43CB47F0">
            <w:r>
              <w:rPr>
                <w:rFonts w:ascii="Calibri" w:hAnsi="Calibri"/>
                <w:color w:val="2D3748"/>
                <w:sz w:val="18"/>
              </w:rPr>
              <w:t>L3</w:t>
            </w:r>
          </w:p>
        </w:tc>
        <w:tc>
          <w:tcPr>
            <w:tcW w:w="1728" w:type="dxa"/>
            <w:shd w:val="clear" w:color="auto" w:fill="F7F9FC"/>
          </w:tcPr>
          <w:p w14:paraId="43ABC6AA">
            <w:r>
              <w:rPr>
                <w:rFonts w:ascii="Calibri" w:hAnsi="Calibri"/>
                <w:color w:val="2D3748"/>
                <w:sz w:val="18"/>
              </w:rPr>
              <w:t>Branch Admin</w:t>
            </w:r>
          </w:p>
        </w:tc>
        <w:tc>
          <w:tcPr>
            <w:tcW w:w="1728" w:type="dxa"/>
            <w:shd w:val="clear" w:color="auto" w:fill="F7F9FC"/>
          </w:tcPr>
          <w:p w14:paraId="605C35C8">
            <w:r>
              <w:rPr>
                <w:rFonts w:ascii="Calibri" w:hAnsi="Calibri"/>
                <w:color w:val="2D3748"/>
                <w:sz w:val="18"/>
              </w:rPr>
              <w:t>Single branch</w:t>
            </w:r>
          </w:p>
        </w:tc>
        <w:tc>
          <w:tcPr>
            <w:tcW w:w="5040" w:type="dxa"/>
            <w:shd w:val="clear" w:color="auto" w:fill="F7F9FC"/>
          </w:tcPr>
          <w:p w14:paraId="1642995A">
            <w:r>
              <w:rPr>
                <w:rFonts w:ascii="Calibri" w:hAnsi="Calibri"/>
                <w:color w:val="2D3748"/>
                <w:sz w:val="18"/>
              </w:rPr>
              <w:t>Hospital branch manager; PO approvals, day-close, attendance override, shift config</w:t>
            </w:r>
          </w:p>
        </w:tc>
        <w:tc>
          <w:tcPr>
            <w:tcW w:w="1152" w:type="dxa"/>
            <w:shd w:val="clear" w:color="auto" w:fill="F7F9FC"/>
          </w:tcPr>
          <w:p w14:paraId="61E63F77"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</w:tr>
      <w:tr w14:paraId="337D6316">
        <w:trPr>
          <w:jc w:val="center"/>
        </w:trPr>
        <w:tc>
          <w:tcPr>
            <w:tcW w:w="720" w:type="dxa"/>
            <w:shd w:val="clear" w:color="auto" w:fill="FFFFFF"/>
          </w:tcPr>
          <w:p w14:paraId="5E60D851">
            <w:r>
              <w:rPr>
                <w:rFonts w:ascii="Calibri" w:hAnsi="Calibri"/>
                <w:color w:val="2D3748"/>
                <w:sz w:val="18"/>
              </w:rPr>
              <w:t>L4</w:t>
            </w:r>
          </w:p>
        </w:tc>
        <w:tc>
          <w:tcPr>
            <w:tcW w:w="1728" w:type="dxa"/>
            <w:shd w:val="clear" w:color="auto" w:fill="FFFFFF"/>
          </w:tcPr>
          <w:p w14:paraId="7A288E3E">
            <w:r>
              <w:rPr>
                <w:rFonts w:ascii="Calibri" w:hAnsi="Calibri"/>
                <w:color w:val="2D3748"/>
                <w:sz w:val="18"/>
              </w:rPr>
              <w:t>Department Head</w:t>
            </w:r>
          </w:p>
        </w:tc>
        <w:tc>
          <w:tcPr>
            <w:tcW w:w="1728" w:type="dxa"/>
            <w:shd w:val="clear" w:color="auto" w:fill="FFFFFF"/>
          </w:tcPr>
          <w:p w14:paraId="56AE5AE0">
            <w:r>
              <w:rPr>
                <w:rFonts w:ascii="Calibri" w:hAnsi="Calibri"/>
                <w:color w:val="2D3748"/>
                <w:sz w:val="18"/>
              </w:rPr>
              <w:t>Single department</w:t>
            </w:r>
          </w:p>
        </w:tc>
        <w:tc>
          <w:tcPr>
            <w:tcW w:w="5040" w:type="dxa"/>
            <w:shd w:val="clear" w:color="auto" w:fill="FFFFFF"/>
          </w:tcPr>
          <w:p w14:paraId="3C07ED44">
            <w:r>
              <w:rPr>
                <w:rFonts w:ascii="Calibri" w:hAnsi="Calibri"/>
                <w:color w:val="2D3748"/>
                <w:sz w:val="18"/>
              </w:rPr>
              <w:t>HOD for OPD/Pharmacy/Lab/HR; drug master config, payroll run, lab validation</w:t>
            </w:r>
          </w:p>
        </w:tc>
        <w:tc>
          <w:tcPr>
            <w:tcW w:w="1152" w:type="dxa"/>
            <w:shd w:val="clear" w:color="auto" w:fill="FFFFFF"/>
          </w:tcPr>
          <w:p w14:paraId="2851F8F3"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</w:tr>
      <w:tr w14:paraId="0A6A0BDC">
        <w:trPr>
          <w:jc w:val="center"/>
        </w:trPr>
        <w:tc>
          <w:tcPr>
            <w:tcW w:w="720" w:type="dxa"/>
            <w:shd w:val="clear" w:color="auto" w:fill="F7F9FC"/>
          </w:tcPr>
          <w:p w14:paraId="2EDEEEB2">
            <w:r>
              <w:rPr>
                <w:rFonts w:ascii="Calibri" w:hAnsi="Calibri"/>
                <w:color w:val="2D3748"/>
                <w:sz w:val="18"/>
              </w:rPr>
              <w:t>L5</w:t>
            </w:r>
          </w:p>
        </w:tc>
        <w:tc>
          <w:tcPr>
            <w:tcW w:w="1728" w:type="dxa"/>
            <w:shd w:val="clear" w:color="auto" w:fill="F7F9FC"/>
          </w:tcPr>
          <w:p w14:paraId="003216F2">
            <w:r>
              <w:rPr>
                <w:rFonts w:ascii="Calibri" w:hAnsi="Calibri"/>
                <w:color w:val="2D3748"/>
                <w:sz w:val="18"/>
              </w:rPr>
              <w:t>Staff</w:t>
            </w:r>
          </w:p>
        </w:tc>
        <w:tc>
          <w:tcPr>
            <w:tcW w:w="1728" w:type="dxa"/>
            <w:shd w:val="clear" w:color="auto" w:fill="F7F9FC"/>
          </w:tcPr>
          <w:p w14:paraId="117E9FF4">
            <w:r>
              <w:rPr>
                <w:rFonts w:ascii="Calibri" w:hAnsi="Calibri"/>
                <w:color w:val="2D3748"/>
                <w:sz w:val="18"/>
              </w:rPr>
              <w:t>Assigned functions</w:t>
            </w:r>
          </w:p>
        </w:tc>
        <w:tc>
          <w:tcPr>
            <w:tcW w:w="5040" w:type="dxa"/>
            <w:shd w:val="clear" w:color="auto" w:fill="F7F9FC"/>
          </w:tcPr>
          <w:p w14:paraId="257FFB9D">
            <w:r>
              <w:rPr>
                <w:rFonts w:ascii="Calibri" w:hAnsi="Calibri"/>
                <w:color w:val="2D3748"/>
                <w:sz w:val="18"/>
              </w:rPr>
              <w:t>Doctors, nurses, pharmacists, technicians, receptionists, billing staff</w:t>
            </w:r>
          </w:p>
        </w:tc>
        <w:tc>
          <w:tcPr>
            <w:tcW w:w="1152" w:type="dxa"/>
            <w:shd w:val="clear" w:color="auto" w:fill="F7F9FC"/>
          </w:tcPr>
          <w:p w14:paraId="40DEAFB5"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</w:tr>
      <w:tr w14:paraId="69945881">
        <w:trPr>
          <w:jc w:val="center"/>
        </w:trPr>
        <w:tc>
          <w:tcPr>
            <w:tcW w:w="720" w:type="dxa"/>
            <w:shd w:val="clear" w:color="auto" w:fill="FFFFFF"/>
          </w:tcPr>
          <w:p w14:paraId="7FDE62CD">
            <w:r>
              <w:rPr>
                <w:rFonts w:ascii="Calibri" w:hAnsi="Calibri"/>
                <w:color w:val="2D3748"/>
                <w:sz w:val="18"/>
              </w:rPr>
              <w:t>L6</w:t>
            </w:r>
          </w:p>
        </w:tc>
        <w:tc>
          <w:tcPr>
            <w:tcW w:w="1728" w:type="dxa"/>
            <w:shd w:val="clear" w:color="auto" w:fill="FFFFFF"/>
          </w:tcPr>
          <w:p w14:paraId="112CB8ED">
            <w:r>
              <w:rPr>
                <w:rFonts w:ascii="Calibri" w:hAnsi="Calibri"/>
                <w:color w:val="2D3748"/>
                <w:sz w:val="18"/>
              </w:rPr>
              <w:t>Patient</w:t>
            </w:r>
          </w:p>
        </w:tc>
        <w:tc>
          <w:tcPr>
            <w:tcW w:w="1728" w:type="dxa"/>
            <w:shd w:val="clear" w:color="auto" w:fill="FFFFFF"/>
          </w:tcPr>
          <w:p w14:paraId="13840D51">
            <w:r>
              <w:rPr>
                <w:rFonts w:ascii="Calibri" w:hAnsi="Calibri"/>
                <w:color w:val="2D3748"/>
                <w:sz w:val="18"/>
              </w:rPr>
              <w:t>Own records only</w:t>
            </w:r>
          </w:p>
        </w:tc>
        <w:tc>
          <w:tcPr>
            <w:tcW w:w="5040" w:type="dxa"/>
            <w:shd w:val="clear" w:color="auto" w:fill="FFFFFF"/>
          </w:tcPr>
          <w:p w14:paraId="3094C311">
            <w:r>
              <w:rPr>
                <w:rFonts w:ascii="Calibri" w:hAnsi="Calibri"/>
                <w:color w:val="2D3748"/>
                <w:sz w:val="18"/>
              </w:rPr>
              <w:t>Appointment booking, health records access, online payment, notification preferences</w:t>
            </w:r>
          </w:p>
        </w:tc>
        <w:tc>
          <w:tcPr>
            <w:tcW w:w="1152" w:type="dxa"/>
            <w:shd w:val="clear" w:color="auto" w:fill="FFFFFF"/>
          </w:tcPr>
          <w:p w14:paraId="2B779B9A"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</w:tr>
    </w:tbl>
    <w:p w14:paraId="12301159">
      <w:pPr>
        <w:pStyle w:val="3"/>
        <w:pBdr>
          <w:left w:val="single" w:color="0D7377" w:sz="24" w:space="8"/>
        </w:pBdr>
        <w:ind w:left="0" w:leftChars="0" w:firstLine="0" w:firstLineChars="0"/>
        <w:rPr>
          <w:rFonts w:ascii="Calibri" w:hAnsi="Calibri"/>
          <w:b/>
          <w:color w:val="0D7377"/>
          <w:sz w:val="28"/>
        </w:rPr>
      </w:pPr>
    </w:p>
    <w:p w14:paraId="4F320810">
      <w:pPr>
        <w:rPr>
          <w:rFonts w:ascii="Calibri" w:hAnsi="Calibri"/>
          <w:b/>
          <w:color w:val="0D7377"/>
          <w:sz w:val="28"/>
        </w:rPr>
      </w:pPr>
    </w:p>
    <w:p w14:paraId="16EE5E28">
      <w:pPr>
        <w:rPr>
          <w:rFonts w:ascii="Calibri" w:hAnsi="Calibri"/>
          <w:b/>
          <w:color w:val="0D7377"/>
          <w:sz w:val="28"/>
        </w:rPr>
      </w:pPr>
    </w:p>
    <w:p w14:paraId="602D286B">
      <w:pPr>
        <w:rPr>
          <w:rFonts w:ascii="Calibri" w:hAnsi="Calibri"/>
          <w:b/>
          <w:color w:val="0D7377"/>
          <w:sz w:val="28"/>
        </w:rPr>
      </w:pPr>
    </w:p>
    <w:p w14:paraId="20E6C96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6.2 Permission Matrix (Key Permissions)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26"/>
        <w:gridCol w:w="2592"/>
        <w:gridCol w:w="720"/>
        <w:gridCol w:w="720"/>
        <w:gridCol w:w="720"/>
        <w:gridCol w:w="720"/>
        <w:gridCol w:w="720"/>
        <w:gridCol w:w="720"/>
      </w:tblGrid>
      <w:tr w14:paraId="1A1673F4">
        <w:trPr>
          <w:jc w:val="center"/>
        </w:trPr>
        <w:tc>
          <w:tcPr>
            <w:tcW w:w="2226" w:type="dxa"/>
            <w:shd w:val="clear" w:color="auto" w:fill="1B3A5C"/>
          </w:tcPr>
          <w:p w14:paraId="684FFC4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w="2592" w:type="dxa"/>
            <w:shd w:val="clear" w:color="auto" w:fill="1B3A5C"/>
          </w:tcPr>
          <w:p w14:paraId="7AA3F95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Permission</w:t>
            </w:r>
          </w:p>
        </w:tc>
        <w:tc>
          <w:tcPr>
            <w:tcW w:w="720" w:type="dxa"/>
            <w:shd w:val="clear" w:color="auto" w:fill="1B3A5C"/>
          </w:tcPr>
          <w:p w14:paraId="06C3B9C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L1</w:t>
            </w:r>
          </w:p>
        </w:tc>
        <w:tc>
          <w:tcPr>
            <w:tcW w:w="720" w:type="dxa"/>
            <w:shd w:val="clear" w:color="auto" w:fill="1B3A5C"/>
          </w:tcPr>
          <w:p w14:paraId="002E83B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L2</w:t>
            </w:r>
          </w:p>
        </w:tc>
        <w:tc>
          <w:tcPr>
            <w:tcW w:w="720" w:type="dxa"/>
            <w:shd w:val="clear" w:color="auto" w:fill="1B3A5C"/>
          </w:tcPr>
          <w:p w14:paraId="67D5B73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L3</w:t>
            </w:r>
          </w:p>
        </w:tc>
        <w:tc>
          <w:tcPr>
            <w:tcW w:w="720" w:type="dxa"/>
            <w:shd w:val="clear" w:color="auto" w:fill="1B3A5C"/>
          </w:tcPr>
          <w:p w14:paraId="1C8AA9F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L4</w:t>
            </w:r>
          </w:p>
        </w:tc>
        <w:tc>
          <w:tcPr>
            <w:tcW w:w="720" w:type="dxa"/>
            <w:shd w:val="clear" w:color="auto" w:fill="1B3A5C"/>
          </w:tcPr>
          <w:p w14:paraId="4D52B4B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L5</w:t>
            </w:r>
          </w:p>
        </w:tc>
        <w:tc>
          <w:tcPr>
            <w:tcW w:w="720" w:type="dxa"/>
            <w:shd w:val="clear" w:color="auto" w:fill="1B3A5C"/>
          </w:tcPr>
          <w:p w14:paraId="372B3C9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L6</w:t>
            </w:r>
          </w:p>
        </w:tc>
      </w:tr>
      <w:tr w14:paraId="2F9E810D">
        <w:trPr>
          <w:jc w:val="center"/>
        </w:trPr>
        <w:tc>
          <w:tcPr>
            <w:tcW w:w="2226" w:type="dxa"/>
            <w:shd w:val="clear" w:color="auto" w:fill="F7F9FC"/>
          </w:tcPr>
          <w:p w14:paraId="12EE3FF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OPD</w:t>
            </w:r>
          </w:p>
        </w:tc>
        <w:tc>
          <w:tcPr>
            <w:tcW w:w="2592" w:type="dxa"/>
            <w:shd w:val="clear" w:color="auto" w:fill="F7F9FC"/>
          </w:tcPr>
          <w:p w14:paraId="790337D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patient:register</w:t>
            </w:r>
          </w:p>
        </w:tc>
        <w:tc>
          <w:tcPr>
            <w:tcW w:w="720" w:type="dxa"/>
            <w:shd w:val="clear" w:color="auto" w:fill="F7F9FC"/>
          </w:tcPr>
          <w:p w14:paraId="434D088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59F809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6389F57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34D506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7853C91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429B51D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3298EE3E">
        <w:trPr>
          <w:jc w:val="center"/>
        </w:trPr>
        <w:tc>
          <w:tcPr>
            <w:tcW w:w="2226" w:type="dxa"/>
            <w:shd w:val="clear" w:color="auto" w:fill="FFFFFF"/>
          </w:tcPr>
          <w:p w14:paraId="0283068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OPD</w:t>
            </w:r>
          </w:p>
        </w:tc>
        <w:tc>
          <w:tcPr>
            <w:tcW w:w="2592" w:type="dxa"/>
            <w:shd w:val="clear" w:color="auto" w:fill="FFFFFF"/>
          </w:tcPr>
          <w:p w14:paraId="31FBE83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consultation:write</w:t>
            </w:r>
          </w:p>
        </w:tc>
        <w:tc>
          <w:tcPr>
            <w:tcW w:w="720" w:type="dxa"/>
            <w:shd w:val="clear" w:color="auto" w:fill="FFFFFF"/>
          </w:tcPr>
          <w:p w14:paraId="221D518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CB9E9B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DA3529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091E81F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0A98524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1F84476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34EA66C1">
        <w:trPr>
          <w:jc w:val="center"/>
        </w:trPr>
        <w:tc>
          <w:tcPr>
            <w:tcW w:w="2226" w:type="dxa"/>
            <w:shd w:val="clear" w:color="auto" w:fill="F7F9FC"/>
          </w:tcPr>
          <w:p w14:paraId="735C5B4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OPD</w:t>
            </w:r>
          </w:p>
        </w:tc>
        <w:tc>
          <w:tcPr>
            <w:tcW w:w="2592" w:type="dxa"/>
            <w:shd w:val="clear" w:color="auto" w:fill="F7F9FC"/>
          </w:tcPr>
          <w:p w14:paraId="57716F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discharge:generate</w:t>
            </w:r>
          </w:p>
        </w:tc>
        <w:tc>
          <w:tcPr>
            <w:tcW w:w="720" w:type="dxa"/>
            <w:shd w:val="clear" w:color="auto" w:fill="F7F9FC"/>
          </w:tcPr>
          <w:p w14:paraId="2CA6232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75F6DF1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767795F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667D104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207C727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39A72A0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6AF5BB36">
        <w:trPr>
          <w:jc w:val="center"/>
        </w:trPr>
        <w:tc>
          <w:tcPr>
            <w:tcW w:w="2226" w:type="dxa"/>
            <w:shd w:val="clear" w:color="auto" w:fill="FFFFFF"/>
          </w:tcPr>
          <w:p w14:paraId="3217DBA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Pharmacy</w:t>
            </w:r>
          </w:p>
        </w:tc>
        <w:tc>
          <w:tcPr>
            <w:tcW w:w="2592" w:type="dxa"/>
            <w:shd w:val="clear" w:color="auto" w:fill="FFFFFF"/>
          </w:tcPr>
          <w:p w14:paraId="2267B1F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drug:dispense</w:t>
            </w:r>
          </w:p>
        </w:tc>
        <w:tc>
          <w:tcPr>
            <w:tcW w:w="720" w:type="dxa"/>
            <w:shd w:val="clear" w:color="auto" w:fill="FFFFFF"/>
          </w:tcPr>
          <w:p w14:paraId="59555B9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B387F9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2130418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4EE5B23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0E9DF50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6229053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70B76277">
        <w:trPr>
          <w:jc w:val="center"/>
        </w:trPr>
        <w:tc>
          <w:tcPr>
            <w:tcW w:w="2226" w:type="dxa"/>
            <w:shd w:val="clear" w:color="auto" w:fill="F7F9FC"/>
          </w:tcPr>
          <w:p w14:paraId="1432C81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Pharmacy</w:t>
            </w:r>
          </w:p>
        </w:tc>
        <w:tc>
          <w:tcPr>
            <w:tcW w:w="2592" w:type="dxa"/>
            <w:shd w:val="clear" w:color="auto" w:fill="F7F9FC"/>
          </w:tcPr>
          <w:p w14:paraId="466AF60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po:approve</w:t>
            </w:r>
          </w:p>
        </w:tc>
        <w:tc>
          <w:tcPr>
            <w:tcW w:w="720" w:type="dxa"/>
            <w:shd w:val="clear" w:color="auto" w:fill="F7F9FC"/>
          </w:tcPr>
          <w:p w14:paraId="74851E5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E82A62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01BC564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7B1C16A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103676B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19FA8F2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02911EFC">
        <w:trPr>
          <w:jc w:val="center"/>
        </w:trPr>
        <w:tc>
          <w:tcPr>
            <w:tcW w:w="2226" w:type="dxa"/>
            <w:shd w:val="clear" w:color="auto" w:fill="FFFFFF"/>
          </w:tcPr>
          <w:p w14:paraId="1F0C57F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Pharmacy</w:t>
            </w:r>
          </w:p>
        </w:tc>
        <w:tc>
          <w:tcPr>
            <w:tcW w:w="2592" w:type="dxa"/>
            <w:shd w:val="clear" w:color="auto" w:fill="FFFFFF"/>
          </w:tcPr>
          <w:p w14:paraId="780B77B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drug:master:edit</w:t>
            </w:r>
          </w:p>
        </w:tc>
        <w:tc>
          <w:tcPr>
            <w:tcW w:w="720" w:type="dxa"/>
            <w:shd w:val="clear" w:color="auto" w:fill="FFFFFF"/>
          </w:tcPr>
          <w:p w14:paraId="468408A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6F71D7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921F2B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2561CD3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3BF359B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EEAA4D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7500CF3E">
        <w:trPr>
          <w:jc w:val="center"/>
        </w:trPr>
        <w:tc>
          <w:tcPr>
            <w:tcW w:w="2226" w:type="dxa"/>
            <w:shd w:val="clear" w:color="auto" w:fill="F7F9FC"/>
          </w:tcPr>
          <w:p w14:paraId="59F1C99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Lab</w:t>
            </w:r>
          </w:p>
        </w:tc>
        <w:tc>
          <w:tcPr>
            <w:tcW w:w="2592" w:type="dxa"/>
            <w:shd w:val="clear" w:color="auto" w:fill="F7F9FC"/>
          </w:tcPr>
          <w:p w14:paraId="6FC9E3F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result:validate</w:t>
            </w:r>
          </w:p>
        </w:tc>
        <w:tc>
          <w:tcPr>
            <w:tcW w:w="720" w:type="dxa"/>
            <w:shd w:val="clear" w:color="auto" w:fill="F7F9FC"/>
          </w:tcPr>
          <w:p w14:paraId="6956E66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7918A90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15BAA9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A5D37E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3153314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58B7B82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21D967AF">
        <w:trPr>
          <w:jc w:val="center"/>
        </w:trPr>
        <w:tc>
          <w:tcPr>
            <w:tcW w:w="2226" w:type="dxa"/>
            <w:shd w:val="clear" w:color="auto" w:fill="FFFFFF"/>
          </w:tcPr>
          <w:p w14:paraId="07FF7B9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Lab</w:t>
            </w:r>
          </w:p>
        </w:tc>
        <w:tc>
          <w:tcPr>
            <w:tcW w:w="2592" w:type="dxa"/>
            <w:shd w:val="clear" w:color="auto" w:fill="FFFFFF"/>
          </w:tcPr>
          <w:p w14:paraId="1FECA97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report:generate</w:t>
            </w:r>
          </w:p>
        </w:tc>
        <w:tc>
          <w:tcPr>
            <w:tcW w:w="720" w:type="dxa"/>
            <w:shd w:val="clear" w:color="auto" w:fill="FFFFFF"/>
          </w:tcPr>
          <w:p w14:paraId="74F65DD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D07ED3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621AB2C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43BCA28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4058A98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7641C5C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1A7F638A">
        <w:trPr>
          <w:jc w:val="center"/>
        </w:trPr>
        <w:tc>
          <w:tcPr>
            <w:tcW w:w="2226" w:type="dxa"/>
            <w:shd w:val="clear" w:color="auto" w:fill="F7F9FC"/>
          </w:tcPr>
          <w:p w14:paraId="33191A7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Finance</w:t>
            </w:r>
          </w:p>
        </w:tc>
        <w:tc>
          <w:tcPr>
            <w:tcW w:w="2592" w:type="dxa"/>
            <w:shd w:val="clear" w:color="auto" w:fill="F7F9FC"/>
          </w:tcPr>
          <w:p w14:paraId="2DA7324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payment:collect</w:t>
            </w:r>
          </w:p>
        </w:tc>
        <w:tc>
          <w:tcPr>
            <w:tcW w:w="720" w:type="dxa"/>
            <w:shd w:val="clear" w:color="auto" w:fill="F7F9FC"/>
          </w:tcPr>
          <w:p w14:paraId="41F048D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680C61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7EA9A4F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4DDEA91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8B04EF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6B7FAE1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2DF2A87B">
        <w:trPr>
          <w:jc w:val="center"/>
        </w:trPr>
        <w:tc>
          <w:tcPr>
            <w:tcW w:w="2226" w:type="dxa"/>
            <w:shd w:val="clear" w:color="auto" w:fill="FFFFFF"/>
          </w:tcPr>
          <w:p w14:paraId="6777864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Finance</w:t>
            </w:r>
          </w:p>
        </w:tc>
        <w:tc>
          <w:tcPr>
            <w:tcW w:w="2592" w:type="dxa"/>
            <w:shd w:val="clear" w:color="auto" w:fill="FFFFFF"/>
          </w:tcPr>
          <w:p w14:paraId="6CBE3A6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day-close:run</w:t>
            </w:r>
          </w:p>
        </w:tc>
        <w:tc>
          <w:tcPr>
            <w:tcW w:w="720" w:type="dxa"/>
            <w:shd w:val="clear" w:color="auto" w:fill="FFFFFF"/>
          </w:tcPr>
          <w:p w14:paraId="27BCD18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41B0AFE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3D4473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5CBB594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422CE03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6E53C71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45E39CB8">
        <w:trPr>
          <w:jc w:val="center"/>
        </w:trPr>
        <w:tc>
          <w:tcPr>
            <w:tcW w:w="2226" w:type="dxa"/>
            <w:shd w:val="clear" w:color="auto" w:fill="F7F9FC"/>
          </w:tcPr>
          <w:p w14:paraId="7B65CAE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Finance</w:t>
            </w:r>
          </w:p>
        </w:tc>
        <w:tc>
          <w:tcPr>
            <w:tcW w:w="2592" w:type="dxa"/>
            <w:shd w:val="clear" w:color="auto" w:fill="F7F9FC"/>
          </w:tcPr>
          <w:p w14:paraId="7C38738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refund:approve</w:t>
            </w:r>
          </w:p>
        </w:tc>
        <w:tc>
          <w:tcPr>
            <w:tcW w:w="720" w:type="dxa"/>
            <w:shd w:val="clear" w:color="auto" w:fill="F7F9FC"/>
          </w:tcPr>
          <w:p w14:paraId="74DC211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2617E8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2B9BED0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2323FB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431E70A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F2FCDA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575C28B9">
        <w:trPr>
          <w:jc w:val="center"/>
        </w:trPr>
        <w:tc>
          <w:tcPr>
            <w:tcW w:w="2226" w:type="dxa"/>
            <w:shd w:val="clear" w:color="auto" w:fill="FFFFFF"/>
          </w:tcPr>
          <w:p w14:paraId="523D992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HR</w:t>
            </w:r>
          </w:p>
        </w:tc>
        <w:tc>
          <w:tcPr>
            <w:tcW w:w="2592" w:type="dxa"/>
            <w:shd w:val="clear" w:color="auto" w:fill="FFFFFF"/>
          </w:tcPr>
          <w:p w14:paraId="2A26BF1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employee:onboard</w:t>
            </w:r>
          </w:p>
        </w:tc>
        <w:tc>
          <w:tcPr>
            <w:tcW w:w="720" w:type="dxa"/>
            <w:shd w:val="clear" w:color="auto" w:fill="FFFFFF"/>
          </w:tcPr>
          <w:p w14:paraId="179D565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14F5B85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5D7DB4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144C947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2E20B22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D8AFA2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78BF8E6B">
        <w:trPr>
          <w:jc w:val="center"/>
        </w:trPr>
        <w:tc>
          <w:tcPr>
            <w:tcW w:w="2226" w:type="dxa"/>
            <w:shd w:val="clear" w:color="auto" w:fill="F7F9FC"/>
          </w:tcPr>
          <w:p w14:paraId="4B5DD5C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HR</w:t>
            </w:r>
          </w:p>
        </w:tc>
        <w:tc>
          <w:tcPr>
            <w:tcW w:w="2592" w:type="dxa"/>
            <w:shd w:val="clear" w:color="auto" w:fill="F7F9FC"/>
          </w:tcPr>
          <w:p w14:paraId="22FE8B0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payroll:run</w:t>
            </w:r>
          </w:p>
        </w:tc>
        <w:tc>
          <w:tcPr>
            <w:tcW w:w="720" w:type="dxa"/>
            <w:shd w:val="clear" w:color="auto" w:fill="F7F9FC"/>
          </w:tcPr>
          <w:p w14:paraId="28A6F23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697146F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52F7AE4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263E80F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A60D1D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1ADB51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5B3E65F6">
        <w:trPr>
          <w:jc w:val="center"/>
        </w:trPr>
        <w:tc>
          <w:tcPr>
            <w:tcW w:w="2226" w:type="dxa"/>
            <w:shd w:val="clear" w:color="auto" w:fill="FFFFFF"/>
          </w:tcPr>
          <w:p w14:paraId="6D66D9A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HR</w:t>
            </w:r>
          </w:p>
        </w:tc>
        <w:tc>
          <w:tcPr>
            <w:tcW w:w="2592" w:type="dxa"/>
            <w:shd w:val="clear" w:color="auto" w:fill="FFFFFF"/>
          </w:tcPr>
          <w:p w14:paraId="2A30481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doctor:profile:manage</w:t>
            </w:r>
          </w:p>
        </w:tc>
        <w:tc>
          <w:tcPr>
            <w:tcW w:w="720" w:type="dxa"/>
            <w:shd w:val="clear" w:color="auto" w:fill="FFFFFF"/>
          </w:tcPr>
          <w:p w14:paraId="78BBA36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38BD74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742CD9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26AF94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6D813A5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A8CFAE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4DB99D13">
        <w:trPr>
          <w:jc w:val="center"/>
        </w:trPr>
        <w:tc>
          <w:tcPr>
            <w:tcW w:w="2226" w:type="dxa"/>
            <w:shd w:val="clear" w:color="auto" w:fill="F7F9FC"/>
          </w:tcPr>
          <w:p w14:paraId="02EAAA9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BI</w:t>
            </w:r>
          </w:p>
        </w:tc>
        <w:tc>
          <w:tcPr>
            <w:tcW w:w="2592" w:type="dxa"/>
            <w:shd w:val="clear" w:color="auto" w:fill="F7F9FC"/>
          </w:tcPr>
          <w:p w14:paraId="11CB208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analytics:cross-branch</w:t>
            </w:r>
          </w:p>
        </w:tc>
        <w:tc>
          <w:tcPr>
            <w:tcW w:w="720" w:type="dxa"/>
            <w:shd w:val="clear" w:color="auto" w:fill="F7F9FC"/>
          </w:tcPr>
          <w:p w14:paraId="074A0FF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79E85F5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6E617A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6622468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122C5C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BAE6FA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4704A0CF">
        <w:trPr>
          <w:jc w:val="center"/>
        </w:trPr>
        <w:tc>
          <w:tcPr>
            <w:tcW w:w="2226" w:type="dxa"/>
            <w:shd w:val="clear" w:color="auto" w:fill="FFFFFF"/>
          </w:tcPr>
          <w:p w14:paraId="0400173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BI</w:t>
            </w:r>
          </w:p>
        </w:tc>
        <w:tc>
          <w:tcPr>
            <w:tcW w:w="2592" w:type="dxa"/>
            <w:shd w:val="clear" w:color="auto" w:fill="FFFFFF"/>
          </w:tcPr>
          <w:p w14:paraId="5B50E49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report:build</w:t>
            </w:r>
          </w:p>
        </w:tc>
        <w:tc>
          <w:tcPr>
            <w:tcW w:w="720" w:type="dxa"/>
            <w:shd w:val="clear" w:color="auto" w:fill="FFFFFF"/>
          </w:tcPr>
          <w:p w14:paraId="0434C6A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1971A1D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4D9867E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24732A5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1EFD5C6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24BD16C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38B8BDE6">
        <w:trPr>
          <w:jc w:val="center"/>
        </w:trPr>
        <w:tc>
          <w:tcPr>
            <w:tcW w:w="2226" w:type="dxa"/>
            <w:shd w:val="clear" w:color="auto" w:fill="F7F9FC"/>
          </w:tcPr>
          <w:p w14:paraId="29905C4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Audit</w:t>
            </w:r>
          </w:p>
        </w:tc>
        <w:tc>
          <w:tcPr>
            <w:tcW w:w="2592" w:type="dxa"/>
            <w:shd w:val="clear" w:color="auto" w:fill="F7F9FC"/>
          </w:tcPr>
          <w:p w14:paraId="5114B7A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auditlog:view</w:t>
            </w:r>
          </w:p>
        </w:tc>
        <w:tc>
          <w:tcPr>
            <w:tcW w:w="720" w:type="dxa"/>
            <w:shd w:val="clear" w:color="auto" w:fill="F7F9FC"/>
          </w:tcPr>
          <w:p w14:paraId="03A303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443EB9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1D927DF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5AF813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0E8A62A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3466A1D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20D9B1E8">
        <w:trPr>
          <w:jc w:val="center"/>
        </w:trPr>
        <w:tc>
          <w:tcPr>
            <w:tcW w:w="2226" w:type="dxa"/>
            <w:shd w:val="clear" w:color="auto" w:fill="FFFFFF"/>
          </w:tcPr>
          <w:p w14:paraId="12B27B5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Audit</w:t>
            </w:r>
          </w:p>
        </w:tc>
        <w:tc>
          <w:tcPr>
            <w:tcW w:w="2592" w:type="dxa"/>
            <w:shd w:val="clear" w:color="auto" w:fill="FFFFFF"/>
          </w:tcPr>
          <w:p w14:paraId="251B87E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security:monitor</w:t>
            </w:r>
          </w:p>
        </w:tc>
        <w:tc>
          <w:tcPr>
            <w:tcW w:w="720" w:type="dxa"/>
            <w:shd w:val="clear" w:color="auto" w:fill="FFFFFF"/>
          </w:tcPr>
          <w:p w14:paraId="28FEE580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6575E4C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567E336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126A311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A2DFFC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3A36C8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67123F24">
        <w:trPr>
          <w:jc w:val="center"/>
        </w:trPr>
        <w:tc>
          <w:tcPr>
            <w:tcW w:w="2226" w:type="dxa"/>
            <w:shd w:val="clear" w:color="auto" w:fill="F7F9FC"/>
          </w:tcPr>
          <w:p w14:paraId="23B21AC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Platform</w:t>
            </w:r>
          </w:p>
        </w:tc>
        <w:tc>
          <w:tcPr>
            <w:tcW w:w="2592" w:type="dxa"/>
            <w:shd w:val="clear" w:color="auto" w:fill="F7F9FC"/>
          </w:tcPr>
          <w:p w14:paraId="268DB58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tenant:manage</w:t>
            </w:r>
          </w:p>
        </w:tc>
        <w:tc>
          <w:tcPr>
            <w:tcW w:w="720" w:type="dxa"/>
            <w:shd w:val="clear" w:color="auto" w:fill="F7F9FC"/>
          </w:tcPr>
          <w:p w14:paraId="5AA4F7E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7F9FC"/>
          </w:tcPr>
          <w:p w14:paraId="34AEF96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303C947C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67427EA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39CC815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4CE36232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60F9AD05">
        <w:trPr>
          <w:jc w:val="center"/>
        </w:trPr>
        <w:tc>
          <w:tcPr>
            <w:tcW w:w="2226" w:type="dxa"/>
            <w:shd w:val="clear" w:color="auto" w:fill="FFFFFF"/>
          </w:tcPr>
          <w:p w14:paraId="4D8C9E86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Platform</w:t>
            </w:r>
          </w:p>
        </w:tc>
        <w:tc>
          <w:tcPr>
            <w:tcW w:w="2592" w:type="dxa"/>
            <w:shd w:val="clear" w:color="auto" w:fill="FFFFFF"/>
          </w:tcPr>
          <w:p w14:paraId="639A404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global:config</w:t>
            </w:r>
          </w:p>
        </w:tc>
        <w:tc>
          <w:tcPr>
            <w:tcW w:w="720" w:type="dxa"/>
            <w:shd w:val="clear" w:color="auto" w:fill="FFFFFF"/>
          </w:tcPr>
          <w:p w14:paraId="278B4F6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  <w:tc>
          <w:tcPr>
            <w:tcW w:w="720" w:type="dxa"/>
            <w:shd w:val="clear" w:color="auto" w:fill="FFFFFF"/>
          </w:tcPr>
          <w:p w14:paraId="5327AE9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DFA451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293BAF8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824C71F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95C2253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</w:tr>
      <w:tr w14:paraId="723F472D">
        <w:trPr>
          <w:jc w:val="center"/>
        </w:trPr>
        <w:tc>
          <w:tcPr>
            <w:tcW w:w="2226" w:type="dxa"/>
            <w:shd w:val="clear" w:color="auto" w:fill="F7F9FC"/>
          </w:tcPr>
          <w:p w14:paraId="07F211C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Portal</w:t>
            </w:r>
          </w:p>
        </w:tc>
        <w:tc>
          <w:tcPr>
            <w:tcW w:w="2592" w:type="dxa"/>
            <w:shd w:val="clear" w:color="auto" w:fill="F7F9FC"/>
          </w:tcPr>
          <w:p w14:paraId="5EF03CB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appointment:book</w:t>
            </w:r>
          </w:p>
        </w:tc>
        <w:tc>
          <w:tcPr>
            <w:tcW w:w="720" w:type="dxa"/>
            <w:shd w:val="clear" w:color="auto" w:fill="F7F9FC"/>
          </w:tcPr>
          <w:p w14:paraId="3543FF3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45FF9C5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60803315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53258808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237B54AB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7F9FC"/>
          </w:tcPr>
          <w:p w14:paraId="4EDF977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</w:tr>
      <w:tr w14:paraId="25D3F646">
        <w:trPr>
          <w:jc w:val="center"/>
        </w:trPr>
        <w:tc>
          <w:tcPr>
            <w:tcW w:w="2226" w:type="dxa"/>
            <w:shd w:val="clear" w:color="auto" w:fill="FFFFFF"/>
          </w:tcPr>
          <w:p w14:paraId="275C177A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Portal</w:t>
            </w:r>
          </w:p>
        </w:tc>
        <w:tc>
          <w:tcPr>
            <w:tcW w:w="2592" w:type="dxa"/>
            <w:shd w:val="clear" w:color="auto" w:fill="FFFFFF"/>
          </w:tcPr>
          <w:p w14:paraId="281001C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report:download-own</w:t>
            </w:r>
          </w:p>
        </w:tc>
        <w:tc>
          <w:tcPr>
            <w:tcW w:w="720" w:type="dxa"/>
            <w:shd w:val="clear" w:color="auto" w:fill="FFFFFF"/>
          </w:tcPr>
          <w:p w14:paraId="5AE48DED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12D5C7CE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C140E71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35E8ECA9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7DF8D454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—</w:t>
            </w:r>
          </w:p>
        </w:tc>
        <w:tc>
          <w:tcPr>
            <w:tcW w:w="720" w:type="dxa"/>
            <w:shd w:val="clear" w:color="auto" w:fill="FFFFFF"/>
          </w:tcPr>
          <w:p w14:paraId="091C2E37">
            <w:pPr>
              <w:rPr>
                <w:sz w:val="20"/>
                <w:szCs w:val="21"/>
              </w:rPr>
            </w:pPr>
            <w:r>
              <w:rPr>
                <w:rFonts w:ascii="Calibri" w:hAnsi="Calibri"/>
                <w:color w:val="2D3748"/>
                <w:sz w:val="16"/>
                <w:szCs w:val="21"/>
              </w:rPr>
              <w:t>Y</w:t>
            </w:r>
          </w:p>
        </w:tc>
      </w:tr>
    </w:tbl>
    <w:p w14:paraId="019C1BCC">
      <w:pPr>
        <w:shd w:val="clear"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The full RBAC matrix contains 200+ permissions. The above shows representative permissions per module. Complete permission specification will be delivered in the RBAC Technical Design Document.</w:t>
      </w:r>
    </w:p>
    <w:p w14:paraId="4DA45874">
      <w:r>
        <w:br w:type="page"/>
      </w:r>
    </w:p>
    <w:p w14:paraId="2CD1DC86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7. Event-Driven Architecture</w:t>
      </w:r>
    </w:p>
    <w:p w14:paraId="40E3372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7.1 Kafka Topic Namespace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13"/>
        <w:gridCol w:w="1534"/>
        <w:gridCol w:w="2405"/>
        <w:gridCol w:w="3594"/>
      </w:tblGrid>
      <w:tr w14:paraId="27500365">
        <w:trPr>
          <w:jc w:val="center"/>
        </w:trPr>
        <w:tc>
          <w:tcPr>
            <w:tcW w:w="2160" w:type="dxa"/>
            <w:shd w:val="clear" w:color="auto" w:fill="1B3A5C"/>
          </w:tcPr>
          <w:p w14:paraId="4E2FAD3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w="1728" w:type="dxa"/>
            <w:shd w:val="clear" w:color="auto" w:fill="1B3A5C"/>
          </w:tcPr>
          <w:p w14:paraId="1ADAC72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Producers</w:t>
            </w:r>
          </w:p>
        </w:tc>
        <w:tc>
          <w:tcPr>
            <w:tcW w:w="2880" w:type="dxa"/>
            <w:shd w:val="clear" w:color="auto" w:fill="1B3A5C"/>
          </w:tcPr>
          <w:p w14:paraId="1D63F39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Consumers</w:t>
            </w:r>
          </w:p>
        </w:tc>
        <w:tc>
          <w:tcPr>
            <w:tcW w:w="4320" w:type="dxa"/>
            <w:shd w:val="clear" w:color="auto" w:fill="1B3A5C"/>
          </w:tcPr>
          <w:p w14:paraId="3D37EDA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Events</w:t>
            </w:r>
          </w:p>
        </w:tc>
      </w:tr>
      <w:tr w14:paraId="47B2A544">
        <w:trPr>
          <w:jc w:val="center"/>
        </w:trPr>
        <w:tc>
          <w:tcPr>
            <w:tcW w:w="2160" w:type="dxa"/>
            <w:shd w:val="clear" w:color="auto" w:fill="F7F9FC"/>
          </w:tcPr>
          <w:p w14:paraId="69231F41">
            <w:r>
              <w:rPr>
                <w:rFonts w:ascii="Calibri" w:hAnsi="Calibri"/>
                <w:color w:val="2D3748"/>
                <w:sz w:val="18"/>
              </w:rPr>
              <w:t>hms.opd.events</w:t>
            </w:r>
          </w:p>
        </w:tc>
        <w:tc>
          <w:tcPr>
            <w:tcW w:w="1728" w:type="dxa"/>
            <w:shd w:val="clear" w:color="auto" w:fill="F7F9FC"/>
          </w:tcPr>
          <w:p w14:paraId="6E637C8B">
            <w:r>
              <w:rPr>
                <w:rFonts w:ascii="Calibri" w:hAnsi="Calibri"/>
                <w:color w:val="2D3748"/>
                <w:sz w:val="18"/>
              </w:rPr>
              <w:t>OPD Module</w:t>
            </w:r>
          </w:p>
        </w:tc>
        <w:tc>
          <w:tcPr>
            <w:tcW w:w="2880" w:type="dxa"/>
            <w:shd w:val="clear" w:color="auto" w:fill="F7F9FC"/>
          </w:tcPr>
          <w:p w14:paraId="2B25AFE9">
            <w:r>
              <w:rPr>
                <w:rFonts w:ascii="Calibri" w:hAnsi="Calibri"/>
                <w:color w:val="2D3748"/>
                <w:sz w:val="18"/>
              </w:rPr>
              <w:t>Pharmacy, Lab, Finance, Audit, Patient Portal</w:t>
            </w:r>
          </w:p>
        </w:tc>
        <w:tc>
          <w:tcPr>
            <w:tcW w:w="4320" w:type="dxa"/>
            <w:shd w:val="clear" w:color="auto" w:fill="F7F9FC"/>
          </w:tcPr>
          <w:p w14:paraId="3ED5671E">
            <w:r>
              <w:rPr>
                <w:rFonts w:ascii="Calibri" w:hAnsi="Calibri"/>
                <w:color w:val="2D3748"/>
                <w:sz w:val="18"/>
              </w:rPr>
              <w:t>prescription.created, consultation.closed, discharge.generated, token.issued</w:t>
            </w:r>
          </w:p>
        </w:tc>
      </w:tr>
      <w:tr w14:paraId="5DFD7A11">
        <w:trPr>
          <w:jc w:val="center"/>
        </w:trPr>
        <w:tc>
          <w:tcPr>
            <w:tcW w:w="2160" w:type="dxa"/>
            <w:shd w:val="clear" w:color="auto" w:fill="FFFFFF"/>
          </w:tcPr>
          <w:p w14:paraId="0F735BDA">
            <w:r>
              <w:rPr>
                <w:rFonts w:ascii="Calibri" w:hAnsi="Calibri"/>
                <w:color w:val="2D3748"/>
                <w:sz w:val="18"/>
              </w:rPr>
              <w:t>hms.pharmacy.events</w:t>
            </w:r>
          </w:p>
        </w:tc>
        <w:tc>
          <w:tcPr>
            <w:tcW w:w="1728" w:type="dxa"/>
            <w:shd w:val="clear" w:color="auto" w:fill="FFFFFF"/>
          </w:tcPr>
          <w:p w14:paraId="64A2FBD2">
            <w:r>
              <w:rPr>
                <w:rFonts w:ascii="Calibri" w:hAnsi="Calibri"/>
                <w:color w:val="2D3748"/>
                <w:sz w:val="18"/>
              </w:rPr>
              <w:t>Pharmacy Module</w:t>
            </w:r>
          </w:p>
        </w:tc>
        <w:tc>
          <w:tcPr>
            <w:tcW w:w="2880" w:type="dxa"/>
            <w:shd w:val="clear" w:color="auto" w:fill="FFFFFF"/>
          </w:tcPr>
          <w:p w14:paraId="2A81D71F">
            <w:r>
              <w:rPr>
                <w:rFonts w:ascii="Calibri" w:hAnsi="Calibri"/>
                <w:color w:val="2D3748"/>
                <w:sz w:val="18"/>
              </w:rPr>
              <w:t>Finance, Inventory, Audit, Patient Portal</w:t>
            </w:r>
          </w:p>
        </w:tc>
        <w:tc>
          <w:tcPr>
            <w:tcW w:w="4320" w:type="dxa"/>
            <w:shd w:val="clear" w:color="auto" w:fill="FFFFFF"/>
          </w:tcPr>
          <w:p w14:paraId="3FFD4DC1">
            <w:r>
              <w:rPr>
                <w:rFonts w:ascii="Calibri" w:hAnsi="Calibri"/>
                <w:color w:val="2D3748"/>
                <w:sz w:val="18"/>
              </w:rPr>
              <w:t>drug.dispensed, stock.low, po.approved, invoice.generated, batch.expiring</w:t>
            </w:r>
          </w:p>
        </w:tc>
      </w:tr>
      <w:tr w14:paraId="4CA1A2C1">
        <w:trPr>
          <w:jc w:val="center"/>
        </w:trPr>
        <w:tc>
          <w:tcPr>
            <w:tcW w:w="2160" w:type="dxa"/>
            <w:shd w:val="clear" w:color="auto" w:fill="F7F9FC"/>
          </w:tcPr>
          <w:p w14:paraId="30FD9F98">
            <w:r>
              <w:rPr>
                <w:rFonts w:ascii="Calibri" w:hAnsi="Calibri"/>
                <w:color w:val="2D3748"/>
                <w:sz w:val="18"/>
              </w:rPr>
              <w:t>hms.lab.events</w:t>
            </w:r>
          </w:p>
        </w:tc>
        <w:tc>
          <w:tcPr>
            <w:tcW w:w="1728" w:type="dxa"/>
            <w:shd w:val="clear" w:color="auto" w:fill="F7F9FC"/>
          </w:tcPr>
          <w:p w14:paraId="6004FB23">
            <w:r>
              <w:rPr>
                <w:rFonts w:ascii="Calibri" w:hAnsi="Calibri"/>
                <w:color w:val="2D3748"/>
                <w:sz w:val="18"/>
              </w:rPr>
              <w:t>Lab Module</w:t>
            </w:r>
          </w:p>
        </w:tc>
        <w:tc>
          <w:tcPr>
            <w:tcW w:w="2880" w:type="dxa"/>
            <w:shd w:val="clear" w:color="auto" w:fill="F7F9FC"/>
          </w:tcPr>
          <w:p w14:paraId="0F08DF9B">
            <w:r>
              <w:rPr>
                <w:rFonts w:ascii="Calibri" w:hAnsi="Calibri"/>
                <w:color w:val="2D3748"/>
                <w:sz w:val="18"/>
              </w:rPr>
              <w:t>OPD (Doctor EMR), Patient Portal, Audit</w:t>
            </w:r>
          </w:p>
        </w:tc>
        <w:tc>
          <w:tcPr>
            <w:tcW w:w="4320" w:type="dxa"/>
            <w:shd w:val="clear" w:color="auto" w:fill="F7F9FC"/>
          </w:tcPr>
          <w:p w14:paraId="11DDCF34">
            <w:r>
              <w:rPr>
                <w:rFonts w:ascii="Calibri" w:hAnsi="Calibri"/>
                <w:color w:val="2D3748"/>
                <w:sz w:val="18"/>
              </w:rPr>
              <w:t>result.validated, report.generated, critical.alert, sample.rejected</w:t>
            </w:r>
          </w:p>
        </w:tc>
      </w:tr>
      <w:tr w14:paraId="20DD1219">
        <w:trPr>
          <w:jc w:val="center"/>
        </w:trPr>
        <w:tc>
          <w:tcPr>
            <w:tcW w:w="2160" w:type="dxa"/>
            <w:shd w:val="clear" w:color="auto" w:fill="FFFFFF"/>
          </w:tcPr>
          <w:p w14:paraId="17AC966D">
            <w:r>
              <w:rPr>
                <w:rFonts w:ascii="Calibri" w:hAnsi="Calibri"/>
                <w:color w:val="2D3748"/>
                <w:sz w:val="18"/>
              </w:rPr>
              <w:t>hms.finance.events</w:t>
            </w:r>
          </w:p>
        </w:tc>
        <w:tc>
          <w:tcPr>
            <w:tcW w:w="1728" w:type="dxa"/>
            <w:shd w:val="clear" w:color="auto" w:fill="FFFFFF"/>
          </w:tcPr>
          <w:p w14:paraId="1A7E11E1">
            <w:r>
              <w:rPr>
                <w:rFonts w:ascii="Calibri" w:hAnsi="Calibri"/>
                <w:color w:val="2D3748"/>
                <w:sz w:val="18"/>
              </w:rPr>
              <w:t>Finance Module</w:t>
            </w:r>
          </w:p>
        </w:tc>
        <w:tc>
          <w:tcPr>
            <w:tcW w:w="2880" w:type="dxa"/>
            <w:shd w:val="clear" w:color="auto" w:fill="FFFFFF"/>
          </w:tcPr>
          <w:p w14:paraId="7E3B0ADB">
            <w:r>
              <w:rPr>
                <w:rFonts w:ascii="Calibri" w:hAnsi="Calibri"/>
                <w:color w:val="2D3748"/>
                <w:sz w:val="18"/>
              </w:rPr>
              <w:t>BI, Patient Portal, Audit</w:t>
            </w:r>
          </w:p>
        </w:tc>
        <w:tc>
          <w:tcPr>
            <w:tcW w:w="4320" w:type="dxa"/>
            <w:shd w:val="clear" w:color="auto" w:fill="FFFFFF"/>
          </w:tcPr>
          <w:p w14:paraId="302BDF99">
            <w:r>
              <w:rPr>
                <w:rFonts w:ascii="Calibri" w:hAnsi="Calibri"/>
                <w:color w:val="2D3748"/>
                <w:sz w:val="18"/>
              </w:rPr>
              <w:t>payment.received, bill.settled, day-close.done, refund.processed</w:t>
            </w:r>
          </w:p>
        </w:tc>
      </w:tr>
      <w:tr w14:paraId="1024CF96">
        <w:trPr>
          <w:jc w:val="center"/>
        </w:trPr>
        <w:tc>
          <w:tcPr>
            <w:tcW w:w="2160" w:type="dxa"/>
            <w:shd w:val="clear" w:color="auto" w:fill="F7F9FC"/>
          </w:tcPr>
          <w:p w14:paraId="43FE7826">
            <w:r>
              <w:rPr>
                <w:rFonts w:ascii="Calibri" w:hAnsi="Calibri"/>
                <w:color w:val="2D3748"/>
                <w:sz w:val="18"/>
              </w:rPr>
              <w:t>hms.ipd.events</w:t>
            </w:r>
          </w:p>
        </w:tc>
        <w:tc>
          <w:tcPr>
            <w:tcW w:w="1728" w:type="dxa"/>
            <w:shd w:val="clear" w:color="auto" w:fill="F7F9FC"/>
          </w:tcPr>
          <w:p w14:paraId="736480F5">
            <w:r>
              <w:rPr>
                <w:rFonts w:ascii="Calibri" w:hAnsi="Calibri"/>
                <w:color w:val="2D3748"/>
                <w:sz w:val="18"/>
              </w:rPr>
              <w:t>IPD Module</w:t>
            </w:r>
          </w:p>
        </w:tc>
        <w:tc>
          <w:tcPr>
            <w:tcW w:w="2880" w:type="dxa"/>
            <w:shd w:val="clear" w:color="auto" w:fill="F7F9FC"/>
          </w:tcPr>
          <w:p w14:paraId="2E1DE5D2">
            <w:r>
              <w:rPr>
                <w:rFonts w:ascii="Calibri" w:hAnsi="Calibri"/>
                <w:color w:val="2D3748"/>
                <w:sz w:val="18"/>
              </w:rPr>
              <w:t>Pharmacy, Lab, Finance, Audit</w:t>
            </w:r>
          </w:p>
        </w:tc>
        <w:tc>
          <w:tcPr>
            <w:tcW w:w="4320" w:type="dxa"/>
            <w:shd w:val="clear" w:color="auto" w:fill="F7F9FC"/>
          </w:tcPr>
          <w:p w14:paraId="6B35F292">
            <w:r>
              <w:rPr>
                <w:rFonts w:ascii="Calibri" w:hAnsi="Calibri"/>
                <w:color w:val="2D3748"/>
                <w:sz w:val="18"/>
              </w:rPr>
              <w:t>patient.admitted, discharge.initiated, bed.released, vitals.critical</w:t>
            </w:r>
          </w:p>
        </w:tc>
      </w:tr>
      <w:tr w14:paraId="7C75F2E2">
        <w:trPr>
          <w:jc w:val="center"/>
        </w:trPr>
        <w:tc>
          <w:tcPr>
            <w:tcW w:w="2160" w:type="dxa"/>
            <w:shd w:val="clear" w:color="auto" w:fill="FFFFFF"/>
          </w:tcPr>
          <w:p w14:paraId="466322CF">
            <w:r>
              <w:rPr>
                <w:rFonts w:ascii="Calibri" w:hAnsi="Calibri"/>
                <w:color w:val="2D3748"/>
                <w:sz w:val="18"/>
              </w:rPr>
              <w:t>hms.hr.events</w:t>
            </w:r>
          </w:p>
        </w:tc>
        <w:tc>
          <w:tcPr>
            <w:tcW w:w="1728" w:type="dxa"/>
            <w:shd w:val="clear" w:color="auto" w:fill="FFFFFF"/>
          </w:tcPr>
          <w:p w14:paraId="1F7C8665">
            <w:r>
              <w:rPr>
                <w:rFonts w:ascii="Calibri" w:hAnsi="Calibri"/>
                <w:color w:val="2D3748"/>
                <w:sz w:val="18"/>
              </w:rPr>
              <w:t>HR Module</w:t>
            </w:r>
          </w:p>
        </w:tc>
        <w:tc>
          <w:tcPr>
            <w:tcW w:w="2880" w:type="dxa"/>
            <w:shd w:val="clear" w:color="auto" w:fill="FFFFFF"/>
          </w:tcPr>
          <w:p w14:paraId="79FBC21A">
            <w:r>
              <w:rPr>
                <w:rFonts w:ascii="Calibri" w:hAnsi="Calibri"/>
                <w:color w:val="2D3748"/>
                <w:sz w:val="18"/>
              </w:rPr>
              <w:t>Appointments, Finance, Audit</w:t>
            </w:r>
          </w:p>
        </w:tc>
        <w:tc>
          <w:tcPr>
            <w:tcW w:w="4320" w:type="dxa"/>
            <w:shd w:val="clear" w:color="auto" w:fill="FFFFFF"/>
          </w:tcPr>
          <w:p w14:paraId="2BE095AF">
            <w:r>
              <w:rPr>
                <w:rFonts w:ascii="Calibri" w:hAnsi="Calibri"/>
                <w:color w:val="2D3748"/>
                <w:sz w:val="18"/>
              </w:rPr>
              <w:t>doctor.profile.updated, employee.onboarded, payroll.processed</w:t>
            </w:r>
          </w:p>
        </w:tc>
      </w:tr>
      <w:tr w14:paraId="3FC2758D">
        <w:trPr>
          <w:jc w:val="center"/>
        </w:trPr>
        <w:tc>
          <w:tcPr>
            <w:tcW w:w="2160" w:type="dxa"/>
            <w:shd w:val="clear" w:color="auto" w:fill="F7F9FC"/>
          </w:tcPr>
          <w:p w14:paraId="72C4E26C">
            <w:r>
              <w:rPr>
                <w:rFonts w:ascii="Calibri" w:hAnsi="Calibri"/>
                <w:color w:val="2D3748"/>
                <w:sz w:val="18"/>
              </w:rPr>
              <w:t>hms.audit.events</w:t>
            </w:r>
          </w:p>
        </w:tc>
        <w:tc>
          <w:tcPr>
            <w:tcW w:w="1728" w:type="dxa"/>
            <w:shd w:val="clear" w:color="auto" w:fill="F7F9FC"/>
          </w:tcPr>
          <w:p w14:paraId="6AEA6E6F">
            <w:r>
              <w:rPr>
                <w:rFonts w:ascii="Calibri" w:hAnsi="Calibri"/>
                <w:color w:val="2D3748"/>
                <w:sz w:val="18"/>
              </w:rPr>
              <w:t>All Modules</w:t>
            </w:r>
          </w:p>
        </w:tc>
        <w:tc>
          <w:tcPr>
            <w:tcW w:w="2880" w:type="dxa"/>
            <w:shd w:val="clear" w:color="auto" w:fill="F7F9FC"/>
          </w:tcPr>
          <w:p w14:paraId="3C993BAB">
            <w:r>
              <w:rPr>
                <w:rFonts w:ascii="Calibri" w:hAnsi="Calibri"/>
                <w:color w:val="2D3748"/>
                <w:sz w:val="18"/>
              </w:rPr>
              <w:t>Audit Log Writer, Security Monitor</w:t>
            </w:r>
          </w:p>
        </w:tc>
        <w:tc>
          <w:tcPr>
            <w:tcW w:w="4320" w:type="dxa"/>
            <w:shd w:val="clear" w:color="auto" w:fill="F7F9FC"/>
          </w:tcPr>
          <w:p w14:paraId="5E8D5D49">
            <w:r>
              <w:rPr>
                <w:rFonts w:ascii="Calibri" w:hAnsi="Calibri"/>
                <w:color w:val="2D3748"/>
                <w:sz w:val="18"/>
              </w:rPr>
              <w:t>All significant domain events for immutable audit trail</w:t>
            </w:r>
          </w:p>
        </w:tc>
      </w:tr>
    </w:tbl>
    <w:p w14:paraId="0587FE4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7.2 Event Processing Guarantees</w:t>
      </w:r>
    </w:p>
    <w:p w14:paraId="728116EC">
      <w:pPr>
        <w:pStyle w:val="23"/>
      </w:pPr>
      <w:r>
        <w:rPr>
          <w:rFonts w:ascii="Calibri" w:hAnsi="Calibri"/>
          <w:b/>
          <w:sz w:val="20"/>
        </w:rPr>
        <w:t xml:space="preserve">Delivery Semantics: </w:t>
      </w:r>
      <w:r>
        <w:rPr>
          <w:rFonts w:ascii="Calibri" w:hAnsi="Calibri"/>
          <w:color w:val="2D3748"/>
          <w:sz w:val="20"/>
        </w:rPr>
        <w:t>At-least-once delivery with idempotent consumers (deduplication via event ID)</w:t>
      </w:r>
    </w:p>
    <w:p w14:paraId="4A4EEFEC">
      <w:pPr>
        <w:pStyle w:val="23"/>
      </w:pPr>
      <w:r>
        <w:rPr>
          <w:rFonts w:ascii="Calibri" w:hAnsi="Calibri"/>
          <w:b/>
          <w:sz w:val="20"/>
        </w:rPr>
        <w:t xml:space="preserve">Partitioning: </w:t>
      </w:r>
      <w:r>
        <w:rPr>
          <w:rFonts w:ascii="Calibri" w:hAnsi="Calibri"/>
          <w:color w:val="2D3748"/>
          <w:sz w:val="20"/>
        </w:rPr>
        <w:t>All topics partitioned by tenantId for tenant-level ordering guarantees</w:t>
      </w:r>
    </w:p>
    <w:p w14:paraId="4FCCA1E3">
      <w:pPr>
        <w:pStyle w:val="23"/>
      </w:pPr>
      <w:r>
        <w:rPr>
          <w:rFonts w:ascii="Calibri" w:hAnsi="Calibri"/>
          <w:b/>
          <w:sz w:val="20"/>
        </w:rPr>
        <w:t xml:space="preserve">Dead Letter Queue (DLQ): </w:t>
      </w:r>
      <w:r>
        <w:rPr>
          <w:rFonts w:ascii="Calibri" w:hAnsi="Calibri"/>
          <w:color w:val="2D3748"/>
          <w:sz w:val="20"/>
        </w:rPr>
        <w:t>3 retry attempts with exponential backoff → DLQ for manual investigation</w:t>
      </w:r>
    </w:p>
    <w:p w14:paraId="6565CD5A">
      <w:pPr>
        <w:pStyle w:val="23"/>
      </w:pPr>
      <w:r>
        <w:rPr>
          <w:rFonts w:ascii="Calibri" w:hAnsi="Calibri"/>
          <w:b/>
          <w:sz w:val="20"/>
        </w:rPr>
        <w:t xml:space="preserve">Fallback: </w:t>
      </w:r>
      <w:r>
        <w:rPr>
          <w:rFonts w:ascii="Calibri" w:hAnsi="Calibri"/>
          <w:color w:val="2D3748"/>
          <w:sz w:val="20"/>
        </w:rPr>
        <w:t>Spring Batch fallback for Kafka outages — critical workflows continue via database polling</w:t>
      </w:r>
    </w:p>
    <w:p w14:paraId="3BB69906">
      <w:pPr>
        <w:pStyle w:val="23"/>
      </w:pPr>
      <w:r>
        <w:rPr>
          <w:rFonts w:ascii="Calibri" w:hAnsi="Calibri"/>
          <w:b/>
          <w:sz w:val="20"/>
        </w:rPr>
        <w:t xml:space="preserve">Event Schema: </w:t>
      </w:r>
      <w:r>
        <w:rPr>
          <w:rFonts w:ascii="Calibri" w:hAnsi="Calibri"/>
          <w:color w:val="2D3748"/>
          <w:sz w:val="20"/>
        </w:rPr>
        <w:t>Apache Avro with Schema Registry for backward-compatible schema evolution</w:t>
      </w:r>
    </w:p>
    <w:p w14:paraId="4EC7A7DA">
      <w:pPr>
        <w:pStyle w:val="23"/>
      </w:pPr>
      <w:r>
        <w:rPr>
          <w:rFonts w:ascii="Calibri" w:hAnsi="Calibri"/>
          <w:b/>
          <w:sz w:val="20"/>
        </w:rPr>
        <w:t xml:space="preserve">Consumer Lag Monitoring: </w:t>
      </w:r>
      <w:r>
        <w:rPr>
          <w:rFonts w:ascii="Calibri" w:hAnsi="Calibri"/>
          <w:color w:val="2D3748"/>
          <w:sz w:val="20"/>
        </w:rPr>
        <w:t>Prometheus metrics; alert when lag &gt; 100 messages; auto-scaling consumer groups</w:t>
      </w:r>
    </w:p>
    <w:p w14:paraId="0914AC54">
      <w:pPr>
        <w:pStyle w:val="23"/>
      </w:pPr>
      <w:r>
        <w:rPr>
          <w:rFonts w:ascii="Calibri" w:hAnsi="Calibri"/>
          <w:b/>
          <w:sz w:val="20"/>
        </w:rPr>
        <w:t xml:space="preserve">Throughput Target: </w:t>
      </w:r>
      <w:r>
        <w:rPr>
          <w:rFonts w:ascii="Calibri" w:hAnsi="Calibri"/>
          <w:color w:val="2D3748"/>
          <w:sz w:val="20"/>
        </w:rPr>
        <w:t>10,000+ events/second sustained; &lt; 2 second end-to-end event propagation</w:t>
      </w:r>
    </w:p>
    <w:p w14:paraId="37F1159B">
      <w:pPr>
        <w:pStyle w:val="23"/>
        <w:numPr>
          <w:numId w:val="0"/>
        </w:numPr>
        <w:spacing w:after="60" w:line="288" w:lineRule="auto"/>
        <w:contextualSpacing/>
        <w:rPr>
          <w:rFonts w:ascii="Calibri" w:hAnsi="Calibri"/>
          <w:color w:val="2D3748"/>
          <w:sz w:val="20"/>
        </w:rPr>
      </w:pPr>
    </w:p>
    <w:p w14:paraId="01840D06">
      <w:pPr>
        <w:pStyle w:val="23"/>
        <w:numPr>
          <w:numId w:val="0"/>
        </w:numPr>
        <w:spacing w:after="60" w:line="288" w:lineRule="auto"/>
        <w:contextualSpacing/>
        <w:rPr>
          <w:rFonts w:ascii="Calibri" w:hAnsi="Calibri"/>
          <w:color w:val="2D3748"/>
          <w:sz w:val="20"/>
        </w:rPr>
      </w:pPr>
    </w:p>
    <w:p w14:paraId="48427117">
      <w:pPr>
        <w:pStyle w:val="23"/>
        <w:numPr>
          <w:numId w:val="0"/>
        </w:numPr>
        <w:spacing w:after="60" w:line="288" w:lineRule="auto"/>
        <w:contextualSpacing/>
        <w:rPr>
          <w:rFonts w:ascii="Calibri" w:hAnsi="Calibri"/>
          <w:color w:val="2D3748"/>
          <w:sz w:val="20"/>
        </w:rPr>
      </w:pPr>
      <w:bookmarkStart w:id="0" w:name="_GoBack"/>
      <w:bookmarkEnd w:id="0"/>
    </w:p>
    <w:p w14:paraId="3D0D024A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7.3 Socket.IO Real-Time Updates</w:t>
      </w:r>
    </w:p>
    <w:p w14:paraId="2D703A1B">
      <w:r>
        <w:t>Socket.IO provides real-time UI updates to connected clients. Kafka consumers emit Socket.IO events for scenarios requiring instant UI refresh:</w:t>
      </w:r>
    </w:p>
    <w:p w14:paraId="73D12CDE">
      <w:pPr>
        <w:pStyle w:val="23"/>
      </w:pPr>
      <w:r>
        <w:rPr>
          <w:rFonts w:ascii="Calibri" w:hAnsi="Calibri"/>
          <w:color w:val="2D3748"/>
          <w:sz w:val="20"/>
        </w:rPr>
        <w:t>Token queue position updates (OPD)</w:t>
      </w:r>
    </w:p>
    <w:p w14:paraId="2B5140C4">
      <w:pPr>
        <w:pStyle w:val="23"/>
      </w:pPr>
      <w:r>
        <w:rPr>
          <w:rFonts w:ascii="Calibri" w:hAnsi="Calibri"/>
          <w:color w:val="2D3748"/>
          <w:sz w:val="20"/>
        </w:rPr>
        <w:t>Prescription arrival in pharmacy worklist</w:t>
      </w:r>
    </w:p>
    <w:p w14:paraId="156FB087">
      <w:pPr>
        <w:pStyle w:val="23"/>
      </w:pPr>
      <w:r>
        <w:rPr>
          <w:rFonts w:ascii="Calibri" w:hAnsi="Calibri"/>
          <w:color w:val="2D3748"/>
          <w:sz w:val="20"/>
        </w:rPr>
        <w:t>Lab result availability for doctors</w:t>
      </w:r>
    </w:p>
    <w:p w14:paraId="26B64754">
      <w:pPr>
        <w:pStyle w:val="23"/>
      </w:pPr>
      <w:r>
        <w:rPr>
          <w:rFonts w:ascii="Calibri" w:hAnsi="Calibri"/>
          <w:color w:val="2D3748"/>
          <w:sz w:val="20"/>
        </w:rPr>
        <w:t>Bed map status changes (IPD)</w:t>
      </w:r>
    </w:p>
    <w:p w14:paraId="695F2C65">
      <w:pPr>
        <w:pStyle w:val="23"/>
      </w:pPr>
      <w:r>
        <w:rPr>
          <w:rFonts w:ascii="Calibri" w:hAnsi="Calibri"/>
          <w:color w:val="2D3748"/>
          <w:sz w:val="20"/>
        </w:rPr>
        <w:t>Payment confirmations</w:t>
      </w:r>
    </w:p>
    <w:p w14:paraId="27EC6291">
      <w:pPr>
        <w:pStyle w:val="23"/>
      </w:pPr>
      <w:r>
        <w:rPr>
          <w:rFonts w:ascii="Calibri" w:hAnsi="Calibri"/>
          <w:color w:val="2D3748"/>
          <w:sz w:val="20"/>
        </w:rPr>
        <w:t>Appointment slot availability changes</w:t>
      </w:r>
    </w:p>
    <w:p w14:paraId="307A693A">
      <w:pPr>
        <w:pStyle w:val="23"/>
      </w:pPr>
      <w:r>
        <w:rPr>
          <w:rFonts w:ascii="Calibri" w:hAnsi="Calibri"/>
          <w:color w:val="2D3748"/>
          <w:sz w:val="20"/>
        </w:rPr>
        <w:t>Critical alert notifications</w:t>
      </w:r>
    </w:p>
    <w:p w14:paraId="73734937">
      <w:r>
        <w:br w:type="page"/>
      </w:r>
    </w:p>
    <w:p w14:paraId="0F8CD324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8. Deliverables &amp; Project Milestones</w:t>
      </w:r>
    </w:p>
    <w:p w14:paraId="60E14D84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8.1 Delivery Phases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7"/>
        <w:gridCol w:w="1001"/>
        <w:gridCol w:w="3611"/>
        <w:gridCol w:w="2747"/>
      </w:tblGrid>
      <w:tr w14:paraId="41119981">
        <w:trPr>
          <w:jc w:val="center"/>
        </w:trPr>
        <w:tc>
          <w:tcPr>
            <w:tcW w:w="2592" w:type="dxa"/>
            <w:shd w:val="clear" w:color="auto" w:fill="1B3A5C"/>
          </w:tcPr>
          <w:p w14:paraId="064FEA3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1008" w:type="dxa"/>
            <w:shd w:val="clear" w:color="auto" w:fill="1B3A5C"/>
          </w:tcPr>
          <w:p w14:paraId="1360A3A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w="4320" w:type="dxa"/>
            <w:shd w:val="clear" w:color="auto" w:fill="1B3A5C"/>
          </w:tcPr>
          <w:p w14:paraId="31DE28E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  <w:tc>
          <w:tcPr>
            <w:tcW w:w="2880" w:type="dxa"/>
            <w:shd w:val="clear" w:color="auto" w:fill="1B3A5C"/>
          </w:tcPr>
          <w:p w14:paraId="3631871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 Gate</w:t>
            </w:r>
          </w:p>
        </w:tc>
      </w:tr>
      <w:tr w14:paraId="28101548">
        <w:trPr>
          <w:jc w:val="center"/>
        </w:trPr>
        <w:tc>
          <w:tcPr>
            <w:tcW w:w="2592" w:type="dxa"/>
            <w:shd w:val="clear" w:color="auto" w:fill="F7F9FC"/>
          </w:tcPr>
          <w:p w14:paraId="06E61739">
            <w:r>
              <w:rPr>
                <w:rFonts w:ascii="Calibri" w:hAnsi="Calibri"/>
                <w:color w:val="2D3748"/>
                <w:sz w:val="18"/>
              </w:rPr>
              <w:t>Phase 1: Discovery &amp; Architecture</w:t>
            </w:r>
          </w:p>
        </w:tc>
        <w:tc>
          <w:tcPr>
            <w:tcW w:w="1008" w:type="dxa"/>
            <w:shd w:val="clear" w:color="auto" w:fill="F7F9FC"/>
          </w:tcPr>
          <w:p w14:paraId="5F459B67">
            <w:r>
              <w:rPr>
                <w:rFonts w:ascii="Calibri" w:hAnsi="Calibri"/>
                <w:color w:val="2D3748"/>
                <w:sz w:val="18"/>
              </w:rPr>
              <w:t>4 weeks</w:t>
            </w:r>
          </w:p>
        </w:tc>
        <w:tc>
          <w:tcPr>
            <w:tcW w:w="4320" w:type="dxa"/>
            <w:shd w:val="clear" w:color="auto" w:fill="F7F9FC"/>
          </w:tcPr>
          <w:p w14:paraId="00493C0B">
            <w:r>
              <w:rPr>
                <w:rFonts w:ascii="Calibri" w:hAnsi="Calibri"/>
                <w:color w:val="2D3748"/>
                <w:sz w:val="18"/>
              </w:rPr>
              <w:t>SOW sign-off, Architecture Design Document (ADD), ER diagrams, API contract spec, RBAC matrix, Kafka topic design</w:t>
            </w:r>
          </w:p>
        </w:tc>
        <w:tc>
          <w:tcPr>
            <w:tcW w:w="2880" w:type="dxa"/>
            <w:shd w:val="clear" w:color="auto" w:fill="F7F9FC"/>
          </w:tcPr>
          <w:p w14:paraId="3862075D">
            <w:r>
              <w:rPr>
                <w:rFonts w:ascii="Calibri" w:hAnsi="Calibri"/>
                <w:color w:val="2D3748"/>
                <w:sz w:val="18"/>
              </w:rPr>
              <w:t>Architecture Review Board approval</w:t>
            </w:r>
          </w:p>
        </w:tc>
      </w:tr>
      <w:tr w14:paraId="456D4DAA">
        <w:trPr>
          <w:jc w:val="center"/>
        </w:trPr>
        <w:tc>
          <w:tcPr>
            <w:tcW w:w="2592" w:type="dxa"/>
            <w:shd w:val="clear" w:color="auto" w:fill="FFFFFF"/>
          </w:tcPr>
          <w:p w14:paraId="4F13E467">
            <w:r>
              <w:rPr>
                <w:rFonts w:ascii="Calibri" w:hAnsi="Calibri"/>
                <w:color w:val="2D3748"/>
                <w:sz w:val="18"/>
              </w:rPr>
              <w:t>Phase 2: Core Platform Setup</w:t>
            </w:r>
          </w:p>
        </w:tc>
        <w:tc>
          <w:tcPr>
            <w:tcW w:w="1008" w:type="dxa"/>
            <w:shd w:val="clear" w:color="auto" w:fill="FFFFFF"/>
          </w:tcPr>
          <w:p w14:paraId="38534B98">
            <w:r>
              <w:rPr>
                <w:rFonts w:ascii="Calibri" w:hAnsi="Calibri"/>
                <w:color w:val="2D3748"/>
                <w:sz w:val="18"/>
              </w:rPr>
              <w:t>3 weeks</w:t>
            </w:r>
          </w:p>
        </w:tc>
        <w:tc>
          <w:tcPr>
            <w:tcW w:w="4320" w:type="dxa"/>
            <w:shd w:val="clear" w:color="auto" w:fill="FFFFFF"/>
          </w:tcPr>
          <w:p w14:paraId="045565B6">
            <w:r>
              <w:rPr>
                <w:rFonts w:ascii="Calibri" w:hAnsi="Calibri"/>
                <w:color w:val="2D3748"/>
                <w:sz w:val="18"/>
              </w:rPr>
              <w:t>Multi-tenant schema engine, RBAC engine, JWT+MFA auth, Kafka cluster, CI/CD pipeline, K8s namespaces, Redis/ES setup</w:t>
            </w:r>
          </w:p>
        </w:tc>
        <w:tc>
          <w:tcPr>
            <w:tcW w:w="2880" w:type="dxa"/>
            <w:shd w:val="clear" w:color="auto" w:fill="FFFFFF"/>
          </w:tcPr>
          <w:p w14:paraId="6D87970C">
            <w:r>
              <w:rPr>
                <w:rFonts w:ascii="Calibri" w:hAnsi="Calibri"/>
                <w:color w:val="2D3748"/>
                <w:sz w:val="18"/>
              </w:rPr>
              <w:t>Platform smoke test passed</w:t>
            </w:r>
          </w:p>
        </w:tc>
      </w:tr>
      <w:tr w14:paraId="2C919FB0">
        <w:trPr>
          <w:jc w:val="center"/>
        </w:trPr>
        <w:tc>
          <w:tcPr>
            <w:tcW w:w="2592" w:type="dxa"/>
            <w:shd w:val="clear" w:color="auto" w:fill="F7F9FC"/>
          </w:tcPr>
          <w:p w14:paraId="5AB14886">
            <w:r>
              <w:rPr>
                <w:rFonts w:ascii="Calibri" w:hAnsi="Calibri"/>
                <w:color w:val="2D3748"/>
                <w:sz w:val="18"/>
              </w:rPr>
              <w:t>Phase 3: OPD + Patient Registration</w:t>
            </w:r>
          </w:p>
        </w:tc>
        <w:tc>
          <w:tcPr>
            <w:tcW w:w="1008" w:type="dxa"/>
            <w:shd w:val="clear" w:color="auto" w:fill="F7F9FC"/>
          </w:tcPr>
          <w:p w14:paraId="1534126A">
            <w:r>
              <w:rPr>
                <w:rFonts w:ascii="Calibri" w:hAnsi="Calibri"/>
                <w:color w:val="2D3748"/>
                <w:sz w:val="18"/>
              </w:rPr>
              <w:t>4 weeks</w:t>
            </w:r>
          </w:p>
        </w:tc>
        <w:tc>
          <w:tcPr>
            <w:tcW w:w="4320" w:type="dxa"/>
            <w:shd w:val="clear" w:color="auto" w:fill="F7F9FC"/>
          </w:tcPr>
          <w:p w14:paraId="10E915DA">
            <w:r>
              <w:rPr>
                <w:rFonts w:ascii="Calibri" w:hAnsi="Calibri"/>
                <w:color w:val="2D3748"/>
                <w:sz w:val="18"/>
              </w:rPr>
              <w:t>M01 OPD (7 screens), Patient master, Token queue, SOAP EMR, E-prescription, Lab order, Discharge summary</w:t>
            </w:r>
          </w:p>
        </w:tc>
        <w:tc>
          <w:tcPr>
            <w:tcW w:w="2880" w:type="dxa"/>
            <w:shd w:val="clear" w:color="auto" w:fill="F7F9FC"/>
          </w:tcPr>
          <w:p w14:paraId="766F3957">
            <w:r>
              <w:rPr>
                <w:rFonts w:ascii="Calibri" w:hAnsi="Calibri"/>
                <w:color w:val="2D3748"/>
                <w:sz w:val="18"/>
              </w:rPr>
              <w:t>OPD end-to-end demo accepted</w:t>
            </w:r>
          </w:p>
        </w:tc>
      </w:tr>
      <w:tr w14:paraId="259FBB52">
        <w:trPr>
          <w:jc w:val="center"/>
        </w:trPr>
        <w:tc>
          <w:tcPr>
            <w:tcW w:w="2592" w:type="dxa"/>
            <w:shd w:val="clear" w:color="auto" w:fill="FFFFFF"/>
          </w:tcPr>
          <w:p w14:paraId="6704E20B">
            <w:r>
              <w:rPr>
                <w:rFonts w:ascii="Calibri" w:hAnsi="Calibri"/>
                <w:color w:val="2D3748"/>
                <w:sz w:val="18"/>
              </w:rPr>
              <w:t>Phase 4: Pharmacy + Laboratory</w:t>
            </w:r>
          </w:p>
        </w:tc>
        <w:tc>
          <w:tcPr>
            <w:tcW w:w="1008" w:type="dxa"/>
            <w:shd w:val="clear" w:color="auto" w:fill="FFFFFF"/>
          </w:tcPr>
          <w:p w14:paraId="662DEE66">
            <w:r>
              <w:rPr>
                <w:rFonts w:ascii="Calibri" w:hAnsi="Calibri"/>
                <w:color w:val="2D3748"/>
                <w:sz w:val="18"/>
              </w:rPr>
              <w:t>5 weeks</w:t>
            </w:r>
          </w:p>
        </w:tc>
        <w:tc>
          <w:tcPr>
            <w:tcW w:w="4320" w:type="dxa"/>
            <w:shd w:val="clear" w:color="auto" w:fill="FFFFFF"/>
          </w:tcPr>
          <w:p w14:paraId="0A24FF5A">
            <w:r>
              <w:rPr>
                <w:rFonts w:ascii="Calibri" w:hAnsi="Calibri"/>
                <w:color w:val="2D3748"/>
                <w:sz w:val="18"/>
              </w:rPr>
              <w:t>M02 Pharmacy (7 screens), M03 Lab (6 screens), FIFO engine, Drug interaction checker, Barcode tracking, Pharmacy billing</w:t>
            </w:r>
          </w:p>
        </w:tc>
        <w:tc>
          <w:tcPr>
            <w:tcW w:w="2880" w:type="dxa"/>
            <w:shd w:val="clear" w:color="auto" w:fill="FFFFFF"/>
          </w:tcPr>
          <w:p w14:paraId="55A211D5">
            <w:r>
              <w:rPr>
                <w:rFonts w:ascii="Calibri" w:hAnsi="Calibri"/>
                <w:color w:val="2D3748"/>
                <w:sz w:val="18"/>
              </w:rPr>
              <w:t>Pharmacy→Lab→Finance flow validated</w:t>
            </w:r>
          </w:p>
        </w:tc>
      </w:tr>
      <w:tr w14:paraId="1CBFD55E">
        <w:trPr>
          <w:jc w:val="center"/>
        </w:trPr>
        <w:tc>
          <w:tcPr>
            <w:tcW w:w="2592" w:type="dxa"/>
            <w:shd w:val="clear" w:color="auto" w:fill="F7F9FC"/>
          </w:tcPr>
          <w:p w14:paraId="1FAA9259">
            <w:r>
              <w:rPr>
                <w:rFonts w:ascii="Calibri" w:hAnsi="Calibri"/>
                <w:color w:val="2D3748"/>
                <w:sz w:val="18"/>
              </w:rPr>
              <w:t>Phase 5: Finance + HR</w:t>
            </w:r>
          </w:p>
        </w:tc>
        <w:tc>
          <w:tcPr>
            <w:tcW w:w="1008" w:type="dxa"/>
            <w:shd w:val="clear" w:color="auto" w:fill="F7F9FC"/>
          </w:tcPr>
          <w:p w14:paraId="389D3074">
            <w:r>
              <w:rPr>
                <w:rFonts w:ascii="Calibri" w:hAnsi="Calibri"/>
                <w:color w:val="2D3748"/>
                <w:sz w:val="18"/>
              </w:rPr>
              <w:t>5 weeks</w:t>
            </w:r>
          </w:p>
        </w:tc>
        <w:tc>
          <w:tcPr>
            <w:tcW w:w="4320" w:type="dxa"/>
            <w:shd w:val="clear" w:color="auto" w:fill="F7F9FC"/>
          </w:tcPr>
          <w:p w14:paraId="6F4AEDE3">
            <w:r>
              <w:rPr>
                <w:rFonts w:ascii="Calibri" w:hAnsi="Calibri"/>
                <w:color w:val="2D3748"/>
                <w:sz w:val="18"/>
              </w:rPr>
              <w:t>M04 Finance (6 screens), M05 HR (7 screens), TPA/Insurance, GST billing, Doctor profiles, Payroll engine, Biometric integration</w:t>
            </w:r>
          </w:p>
        </w:tc>
        <w:tc>
          <w:tcPr>
            <w:tcW w:w="2880" w:type="dxa"/>
            <w:shd w:val="clear" w:color="auto" w:fill="F7F9FC"/>
          </w:tcPr>
          <w:p w14:paraId="5BF961C0">
            <w:r>
              <w:rPr>
                <w:rFonts w:ascii="Calibri" w:hAnsi="Calibri"/>
                <w:color w:val="2D3748"/>
                <w:sz w:val="18"/>
              </w:rPr>
              <w:t>Payroll run + GST invoice verified</w:t>
            </w:r>
          </w:p>
        </w:tc>
      </w:tr>
      <w:tr w14:paraId="3F957AA9">
        <w:trPr>
          <w:jc w:val="center"/>
        </w:trPr>
        <w:tc>
          <w:tcPr>
            <w:tcW w:w="2592" w:type="dxa"/>
            <w:shd w:val="clear" w:color="auto" w:fill="FFFFFF"/>
          </w:tcPr>
          <w:p w14:paraId="1E0FB2C6">
            <w:r>
              <w:rPr>
                <w:rFonts w:ascii="Calibri" w:hAnsi="Calibri"/>
                <w:color w:val="2D3748"/>
                <w:sz w:val="18"/>
              </w:rPr>
              <w:t>Phase 6: Inventory + BI + Portal</w:t>
            </w:r>
          </w:p>
        </w:tc>
        <w:tc>
          <w:tcPr>
            <w:tcW w:w="1008" w:type="dxa"/>
            <w:shd w:val="clear" w:color="auto" w:fill="FFFFFF"/>
          </w:tcPr>
          <w:p w14:paraId="7894126F">
            <w:r>
              <w:rPr>
                <w:rFonts w:ascii="Calibri" w:hAnsi="Calibri"/>
                <w:color w:val="2D3748"/>
                <w:sz w:val="18"/>
              </w:rPr>
              <w:t>5 weeks</w:t>
            </w:r>
          </w:p>
        </w:tc>
        <w:tc>
          <w:tcPr>
            <w:tcW w:w="4320" w:type="dxa"/>
            <w:shd w:val="clear" w:color="auto" w:fill="FFFFFF"/>
          </w:tcPr>
          <w:p w14:paraId="69038788">
            <w:r>
              <w:rPr>
                <w:rFonts w:ascii="Calibri" w:hAnsi="Calibri"/>
                <w:color w:val="2D3748"/>
                <w:sz w:val="18"/>
              </w:rPr>
              <w:t>M06 Inventory (5 screens), M07 BI (4 screens), M08 Patient Portal PWA (5 screens), Report builder, KPI monitor</w:t>
            </w:r>
          </w:p>
        </w:tc>
        <w:tc>
          <w:tcPr>
            <w:tcW w:w="2880" w:type="dxa"/>
            <w:shd w:val="clear" w:color="auto" w:fill="FFFFFF"/>
          </w:tcPr>
          <w:p w14:paraId="5E20ECE4">
            <w:r>
              <w:rPr>
                <w:rFonts w:ascii="Calibri" w:hAnsi="Calibri"/>
                <w:color w:val="2D3748"/>
                <w:sz w:val="18"/>
              </w:rPr>
              <w:t>Patient self-booking flow validated</w:t>
            </w:r>
          </w:p>
        </w:tc>
      </w:tr>
      <w:tr w14:paraId="04D309FD">
        <w:trPr>
          <w:jc w:val="center"/>
        </w:trPr>
        <w:tc>
          <w:tcPr>
            <w:tcW w:w="2592" w:type="dxa"/>
            <w:shd w:val="clear" w:color="auto" w:fill="F7F9FC"/>
          </w:tcPr>
          <w:p w14:paraId="75B6C60E">
            <w:r>
              <w:rPr>
                <w:rFonts w:ascii="Calibri" w:hAnsi="Calibri"/>
                <w:color w:val="2D3748"/>
                <w:sz w:val="18"/>
              </w:rPr>
              <w:t>Phase 7: IPD + Appointments</w:t>
            </w:r>
          </w:p>
        </w:tc>
        <w:tc>
          <w:tcPr>
            <w:tcW w:w="1008" w:type="dxa"/>
            <w:shd w:val="clear" w:color="auto" w:fill="F7F9FC"/>
          </w:tcPr>
          <w:p w14:paraId="60DFB70F">
            <w:r>
              <w:rPr>
                <w:rFonts w:ascii="Calibri" w:hAnsi="Calibri"/>
                <w:color w:val="2D3748"/>
                <w:sz w:val="18"/>
              </w:rPr>
              <w:t>4 weeks</w:t>
            </w:r>
          </w:p>
        </w:tc>
        <w:tc>
          <w:tcPr>
            <w:tcW w:w="4320" w:type="dxa"/>
            <w:shd w:val="clear" w:color="auto" w:fill="F7F9FC"/>
          </w:tcPr>
          <w:p w14:paraId="01B42430">
            <w:r>
              <w:rPr>
                <w:rFonts w:ascii="Calibri" w:hAnsi="Calibri"/>
                <w:color w:val="2D3748"/>
                <w:sz w:val="18"/>
              </w:rPr>
              <w:t>M10 IPD (5 screens), M11 Appointments (4 screens), Bed management, Nursing station, Doctor rounds, Schedule engine</w:t>
            </w:r>
          </w:p>
        </w:tc>
        <w:tc>
          <w:tcPr>
            <w:tcW w:w="2880" w:type="dxa"/>
            <w:shd w:val="clear" w:color="auto" w:fill="F7F9FC"/>
          </w:tcPr>
          <w:p w14:paraId="2752CF1F">
            <w:r>
              <w:rPr>
                <w:rFonts w:ascii="Calibri" w:hAnsi="Calibri"/>
                <w:color w:val="2D3748"/>
                <w:sz w:val="18"/>
              </w:rPr>
              <w:t>IPD admission→discharge flow validated</w:t>
            </w:r>
          </w:p>
        </w:tc>
      </w:tr>
      <w:tr w14:paraId="6F43BC6A">
        <w:trPr>
          <w:jc w:val="center"/>
        </w:trPr>
        <w:tc>
          <w:tcPr>
            <w:tcW w:w="2592" w:type="dxa"/>
            <w:shd w:val="clear" w:color="auto" w:fill="FFFFFF"/>
          </w:tcPr>
          <w:p w14:paraId="1E0A95FB">
            <w:r>
              <w:rPr>
                <w:rFonts w:ascii="Calibri" w:hAnsi="Calibri"/>
                <w:color w:val="2D3748"/>
                <w:sz w:val="18"/>
              </w:rPr>
              <w:t>Phase 8: Audit + Platform Admin</w:t>
            </w:r>
          </w:p>
        </w:tc>
        <w:tc>
          <w:tcPr>
            <w:tcW w:w="1008" w:type="dxa"/>
            <w:shd w:val="clear" w:color="auto" w:fill="FFFFFF"/>
          </w:tcPr>
          <w:p w14:paraId="57382E8F">
            <w:r>
              <w:rPr>
                <w:rFonts w:ascii="Calibri" w:hAnsi="Calibri"/>
                <w:color w:val="2D3748"/>
                <w:sz w:val="18"/>
              </w:rPr>
              <w:t>3 weeks</w:t>
            </w:r>
          </w:p>
        </w:tc>
        <w:tc>
          <w:tcPr>
            <w:tcW w:w="4320" w:type="dxa"/>
            <w:shd w:val="clear" w:color="auto" w:fill="FFFFFF"/>
          </w:tcPr>
          <w:p w14:paraId="7C167042">
            <w:r>
              <w:rPr>
                <w:rFonts w:ascii="Calibri" w:hAnsi="Calibri"/>
                <w:color w:val="2D3748"/>
                <w:sz w:val="18"/>
              </w:rPr>
              <w:t>M09 Audit (4 screens), M12 Platform Admin (4 screens), DISHA compliance, Security monitor, Tenant onboarding wizard</w:t>
            </w:r>
          </w:p>
        </w:tc>
        <w:tc>
          <w:tcPr>
            <w:tcW w:w="2880" w:type="dxa"/>
            <w:shd w:val="clear" w:color="auto" w:fill="FFFFFF"/>
          </w:tcPr>
          <w:p w14:paraId="4B8ABE7B">
            <w:r>
              <w:rPr>
                <w:rFonts w:ascii="Calibri" w:hAnsi="Calibri"/>
                <w:color w:val="2D3748"/>
                <w:sz w:val="18"/>
              </w:rPr>
              <w:t>Tenant provisioning &lt; 5 min validated</w:t>
            </w:r>
          </w:p>
        </w:tc>
      </w:tr>
      <w:tr w14:paraId="22600224">
        <w:trPr>
          <w:jc w:val="center"/>
        </w:trPr>
        <w:tc>
          <w:tcPr>
            <w:tcW w:w="2592" w:type="dxa"/>
            <w:shd w:val="clear" w:color="auto" w:fill="F7F9FC"/>
          </w:tcPr>
          <w:p w14:paraId="37B49C16">
            <w:r>
              <w:rPr>
                <w:rFonts w:ascii="Calibri" w:hAnsi="Calibri"/>
                <w:color w:val="2D3748"/>
                <w:sz w:val="18"/>
              </w:rPr>
              <w:t>Phase 9: Integration Testing</w:t>
            </w:r>
          </w:p>
        </w:tc>
        <w:tc>
          <w:tcPr>
            <w:tcW w:w="1008" w:type="dxa"/>
            <w:shd w:val="clear" w:color="auto" w:fill="F7F9FC"/>
          </w:tcPr>
          <w:p w14:paraId="736210C6">
            <w:r>
              <w:rPr>
                <w:rFonts w:ascii="Calibri" w:hAnsi="Calibri"/>
                <w:color w:val="2D3748"/>
                <w:sz w:val="18"/>
              </w:rPr>
              <w:t>3 weeks</w:t>
            </w:r>
          </w:p>
        </w:tc>
        <w:tc>
          <w:tcPr>
            <w:tcW w:w="4320" w:type="dxa"/>
            <w:shd w:val="clear" w:color="auto" w:fill="F7F9FC"/>
          </w:tcPr>
          <w:p w14:paraId="373E3024">
            <w:r>
              <w:rPr>
                <w:rFonts w:ascii="Calibri" w:hAnsi="Calibri"/>
                <w:color w:val="2D3748"/>
                <w:sz w:val="18"/>
              </w:rPr>
              <w:t>End-to-end integration tests, Performance testing, Security testing (VAPT), Cross-module workflow validation</w:t>
            </w:r>
          </w:p>
        </w:tc>
        <w:tc>
          <w:tcPr>
            <w:tcW w:w="2880" w:type="dxa"/>
            <w:shd w:val="clear" w:color="auto" w:fill="F7F9FC"/>
          </w:tcPr>
          <w:p w14:paraId="25E86C20">
            <w:r>
              <w:rPr>
                <w:rFonts w:ascii="Calibri" w:hAnsi="Calibri"/>
                <w:color w:val="2D3748"/>
                <w:sz w:val="18"/>
              </w:rPr>
              <w:t>All P1/P2 defects resolved</w:t>
            </w:r>
          </w:p>
        </w:tc>
      </w:tr>
      <w:tr w14:paraId="4836F632">
        <w:trPr>
          <w:jc w:val="center"/>
        </w:trPr>
        <w:tc>
          <w:tcPr>
            <w:tcW w:w="2592" w:type="dxa"/>
            <w:shd w:val="clear" w:color="auto" w:fill="FFFFFF"/>
          </w:tcPr>
          <w:p w14:paraId="5EE57811">
            <w:r>
              <w:rPr>
                <w:rFonts w:ascii="Calibri" w:hAnsi="Calibri"/>
                <w:color w:val="2D3748"/>
                <w:sz w:val="18"/>
              </w:rPr>
              <w:t>Phase 10: UAT &amp; Bug Fixes</w:t>
            </w:r>
          </w:p>
        </w:tc>
        <w:tc>
          <w:tcPr>
            <w:tcW w:w="1008" w:type="dxa"/>
            <w:shd w:val="clear" w:color="auto" w:fill="FFFFFF"/>
          </w:tcPr>
          <w:p w14:paraId="6D9B06FD">
            <w:r>
              <w:rPr>
                <w:rFonts w:ascii="Calibri" w:hAnsi="Calibri"/>
                <w:color w:val="2D3748"/>
                <w:sz w:val="18"/>
              </w:rPr>
              <w:t>4 weeks</w:t>
            </w:r>
          </w:p>
        </w:tc>
        <w:tc>
          <w:tcPr>
            <w:tcW w:w="4320" w:type="dxa"/>
            <w:shd w:val="clear" w:color="auto" w:fill="FFFFFF"/>
          </w:tcPr>
          <w:p w14:paraId="28B1E3D6">
            <w:r>
              <w:rPr>
                <w:rFonts w:ascii="Calibri" w:hAnsi="Calibri"/>
                <w:color w:val="2D3748"/>
                <w:sz w:val="18"/>
              </w:rPr>
              <w:t>User Acceptance Testing with client team, Bug fixes, Performance optimization, Documentation finalization</w:t>
            </w:r>
          </w:p>
        </w:tc>
        <w:tc>
          <w:tcPr>
            <w:tcW w:w="2880" w:type="dxa"/>
            <w:shd w:val="clear" w:color="auto" w:fill="FFFFFF"/>
          </w:tcPr>
          <w:p w14:paraId="1146F2E9">
            <w:r>
              <w:rPr>
                <w:rFonts w:ascii="Calibri" w:hAnsi="Calibri"/>
                <w:color w:val="2D3748"/>
                <w:sz w:val="18"/>
              </w:rPr>
              <w:t>UAT sign-off from client</w:t>
            </w:r>
          </w:p>
        </w:tc>
      </w:tr>
      <w:tr w14:paraId="5E49565C">
        <w:trPr>
          <w:jc w:val="center"/>
        </w:trPr>
        <w:tc>
          <w:tcPr>
            <w:tcW w:w="2592" w:type="dxa"/>
            <w:shd w:val="clear" w:color="auto" w:fill="F7F9FC"/>
          </w:tcPr>
          <w:p w14:paraId="2A238CF3">
            <w:r>
              <w:rPr>
                <w:rFonts w:ascii="Calibri" w:hAnsi="Calibri"/>
                <w:color w:val="2D3748"/>
                <w:sz w:val="18"/>
              </w:rPr>
              <w:t>Phase 11: Deployment &amp; Go-Live</w:t>
            </w:r>
          </w:p>
        </w:tc>
        <w:tc>
          <w:tcPr>
            <w:tcW w:w="1008" w:type="dxa"/>
            <w:shd w:val="clear" w:color="auto" w:fill="F7F9FC"/>
          </w:tcPr>
          <w:p w14:paraId="31EAC6D7">
            <w:r>
              <w:rPr>
                <w:rFonts w:ascii="Calibri" w:hAnsi="Calibri"/>
                <w:color w:val="2D3748"/>
                <w:sz w:val="18"/>
              </w:rPr>
              <w:t>2 weeks</w:t>
            </w:r>
          </w:p>
        </w:tc>
        <w:tc>
          <w:tcPr>
            <w:tcW w:w="4320" w:type="dxa"/>
            <w:shd w:val="clear" w:color="auto" w:fill="F7F9FC"/>
          </w:tcPr>
          <w:p w14:paraId="3E922760">
            <w:r>
              <w:rPr>
                <w:rFonts w:ascii="Calibri" w:hAnsi="Calibri"/>
                <w:color w:val="2D3748"/>
                <w:sz w:val="18"/>
              </w:rPr>
              <w:t>Production deployment, DNS cutover, Data migration (if applicable), Go-live checklist, War room support</w:t>
            </w:r>
          </w:p>
        </w:tc>
        <w:tc>
          <w:tcPr>
            <w:tcW w:w="2880" w:type="dxa"/>
            <w:shd w:val="clear" w:color="auto" w:fill="F7F9FC"/>
          </w:tcPr>
          <w:p w14:paraId="2868416E">
            <w:r>
              <w:rPr>
                <w:rFonts w:ascii="Calibri" w:hAnsi="Calibri"/>
                <w:color w:val="2D3748"/>
                <w:sz w:val="18"/>
              </w:rPr>
              <w:t>Go-live approval from client</w:t>
            </w:r>
          </w:p>
        </w:tc>
      </w:tr>
      <w:tr w14:paraId="4BC5A189">
        <w:trPr>
          <w:jc w:val="center"/>
        </w:trPr>
        <w:tc>
          <w:tcPr>
            <w:tcW w:w="2592" w:type="dxa"/>
            <w:shd w:val="clear" w:color="auto" w:fill="FFFFFF"/>
          </w:tcPr>
          <w:p w14:paraId="73147923">
            <w:r>
              <w:rPr>
                <w:rFonts w:ascii="Calibri" w:hAnsi="Calibri"/>
                <w:color w:val="2D3748"/>
                <w:sz w:val="18"/>
              </w:rPr>
              <w:t>Phase 12: Hypercare &amp; Stabilization</w:t>
            </w:r>
          </w:p>
        </w:tc>
        <w:tc>
          <w:tcPr>
            <w:tcW w:w="1008" w:type="dxa"/>
            <w:shd w:val="clear" w:color="auto" w:fill="FFFFFF"/>
          </w:tcPr>
          <w:p w14:paraId="444B30F4">
            <w:r>
              <w:rPr>
                <w:rFonts w:ascii="Calibri" w:hAnsi="Calibri"/>
                <w:color w:val="2D3748"/>
                <w:sz w:val="18"/>
              </w:rPr>
              <w:t>4 weeks</w:t>
            </w:r>
          </w:p>
        </w:tc>
        <w:tc>
          <w:tcPr>
            <w:tcW w:w="4320" w:type="dxa"/>
            <w:shd w:val="clear" w:color="auto" w:fill="FFFFFF"/>
          </w:tcPr>
          <w:p w14:paraId="333A9B4B">
            <w:r>
              <w:rPr>
                <w:rFonts w:ascii="Calibri" w:hAnsi="Calibri"/>
                <w:color w:val="2D3748"/>
                <w:sz w:val="18"/>
              </w:rPr>
              <w:t>On-site/remote support, Bug fixes, Performance tuning, User training completion, Knowledge transfer</w:t>
            </w:r>
          </w:p>
        </w:tc>
        <w:tc>
          <w:tcPr>
            <w:tcW w:w="2880" w:type="dxa"/>
            <w:shd w:val="clear" w:color="auto" w:fill="FFFFFF"/>
          </w:tcPr>
          <w:p w14:paraId="4038636F">
            <w:r>
              <w:rPr>
                <w:rFonts w:ascii="Calibri" w:hAnsi="Calibri"/>
                <w:color w:val="2D3748"/>
                <w:sz w:val="18"/>
              </w:rPr>
              <w:t>Hypercare exit criteria met</w:t>
            </w:r>
          </w:p>
        </w:tc>
      </w:tr>
      <w:tr w14:paraId="59CFC3BA">
        <w:trPr>
          <w:jc w:val="center"/>
        </w:trPr>
        <w:tc>
          <w:tcPr>
            <w:tcW w:w="2592" w:type="dxa"/>
            <w:shd w:val="clear" w:color="auto" w:fill="F7F9FC"/>
          </w:tcPr>
          <w:p w14:paraId="5BEAC8AC">
            <w:r>
              <w:rPr>
                <w:rFonts w:ascii="Calibri" w:hAnsi="Calibri"/>
                <w:color w:val="2D3748"/>
                <w:sz w:val="18"/>
              </w:rPr>
              <w:t>Phase 13: Warranty Support</w:t>
            </w:r>
          </w:p>
        </w:tc>
        <w:tc>
          <w:tcPr>
            <w:tcW w:w="1008" w:type="dxa"/>
            <w:shd w:val="clear" w:color="auto" w:fill="F7F9FC"/>
          </w:tcPr>
          <w:p w14:paraId="1B01FC10">
            <w:r>
              <w:rPr>
                <w:rFonts w:ascii="Calibri" w:hAnsi="Calibri"/>
                <w:color w:val="2D3748"/>
                <w:sz w:val="18"/>
              </w:rPr>
              <w:t>12 weeks</w:t>
            </w:r>
          </w:p>
        </w:tc>
        <w:tc>
          <w:tcPr>
            <w:tcW w:w="4320" w:type="dxa"/>
            <w:shd w:val="clear" w:color="auto" w:fill="F7F9FC"/>
          </w:tcPr>
          <w:p w14:paraId="6E5231CD">
            <w:r>
              <w:rPr>
                <w:rFonts w:ascii="Calibri" w:hAnsi="Calibri"/>
                <w:color w:val="2D3748"/>
                <w:sz w:val="18"/>
              </w:rPr>
              <w:t>Defect resolution, Minor enhancements, Monthly health reports, SLA compliance reporting</w:t>
            </w:r>
          </w:p>
        </w:tc>
        <w:tc>
          <w:tcPr>
            <w:tcW w:w="2880" w:type="dxa"/>
            <w:shd w:val="clear" w:color="auto" w:fill="F7F9FC"/>
          </w:tcPr>
          <w:p w14:paraId="0D7CC2BD">
            <w:r>
              <w:rPr>
                <w:rFonts w:ascii="Calibri" w:hAnsi="Calibri"/>
                <w:color w:val="2D3748"/>
                <w:sz w:val="18"/>
              </w:rPr>
              <w:t>Warranty period closure</w:t>
            </w:r>
          </w:p>
        </w:tc>
      </w:tr>
    </w:tbl>
    <w:p w14:paraId="4186570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8.2 Total Project Timeline</w:t>
      </w:r>
    </w:p>
    <w:p w14:paraId="51CEB5B6">
      <w:r>
        <w:t>Total estimated duration: 54 weeks (approximately 13 months) from SOW sign-off to warranty closure.</w:t>
      </w:r>
    </w:p>
    <w:p w14:paraId="040F2C63">
      <w:pPr>
        <w:shd w:val="clear"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Timeline assumes dedicated client SPOC availability, timely feedback (5 business days SLA for approvals), and no scope changes beyond the defined Change Control process.</w:t>
      </w:r>
    </w:p>
    <w:p w14:paraId="727BA4E4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8.3 Deliverable Artifacts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10"/>
        <w:gridCol w:w="2036"/>
        <w:gridCol w:w="1628"/>
        <w:gridCol w:w="2672"/>
      </w:tblGrid>
      <w:tr w14:paraId="39A86E81">
        <w:trPr>
          <w:jc w:val="center"/>
        </w:trPr>
        <w:tc>
          <w:tcPr>
            <w:tcW w:w="3600" w:type="dxa"/>
            <w:shd w:val="clear" w:color="auto" w:fill="1B3A5C"/>
          </w:tcPr>
          <w:p w14:paraId="2A06155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w="2160" w:type="dxa"/>
            <w:shd w:val="clear" w:color="auto" w:fill="1B3A5C"/>
          </w:tcPr>
          <w:p w14:paraId="7DBF7D5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1728" w:type="dxa"/>
            <w:shd w:val="clear" w:color="auto" w:fill="1B3A5C"/>
          </w:tcPr>
          <w:p w14:paraId="1B627DD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2880" w:type="dxa"/>
            <w:shd w:val="clear" w:color="auto" w:fill="1B3A5C"/>
          </w:tcPr>
          <w:p w14:paraId="1342AE6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Required</w:t>
            </w:r>
          </w:p>
        </w:tc>
      </w:tr>
      <w:tr w14:paraId="6B0E046C">
        <w:trPr>
          <w:jc w:val="center"/>
        </w:trPr>
        <w:tc>
          <w:tcPr>
            <w:tcW w:w="3600" w:type="dxa"/>
            <w:shd w:val="clear" w:color="auto" w:fill="F7F9FC"/>
          </w:tcPr>
          <w:p w14:paraId="27325C6A">
            <w:r>
              <w:rPr>
                <w:rFonts w:ascii="Calibri" w:hAnsi="Calibri"/>
                <w:color w:val="2D3748"/>
                <w:sz w:val="18"/>
              </w:rPr>
              <w:t>Statement of Work (this document)</w:t>
            </w:r>
          </w:p>
        </w:tc>
        <w:tc>
          <w:tcPr>
            <w:tcW w:w="2160" w:type="dxa"/>
            <w:shd w:val="clear" w:color="auto" w:fill="F7F9FC"/>
          </w:tcPr>
          <w:p w14:paraId="4C8E5E74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7F9FC"/>
          </w:tcPr>
          <w:p w14:paraId="2FE863EB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7F9FC"/>
          </w:tcPr>
          <w:p w14:paraId="7BAB7441">
            <w:r>
              <w:rPr>
                <w:rFonts w:ascii="Calibri" w:hAnsi="Calibri"/>
                <w:color w:val="2D3748"/>
                <w:sz w:val="18"/>
              </w:rPr>
              <w:t>Yes — Client Sponsor + CTO</w:t>
            </w:r>
          </w:p>
        </w:tc>
      </w:tr>
      <w:tr w14:paraId="155C7358">
        <w:trPr>
          <w:jc w:val="center"/>
        </w:trPr>
        <w:tc>
          <w:tcPr>
            <w:tcW w:w="3600" w:type="dxa"/>
            <w:shd w:val="clear" w:color="auto" w:fill="FFFFFF"/>
          </w:tcPr>
          <w:p w14:paraId="7C557D1E">
            <w:r>
              <w:rPr>
                <w:rFonts w:ascii="Calibri" w:hAnsi="Calibri"/>
                <w:color w:val="2D3748"/>
                <w:sz w:val="18"/>
              </w:rPr>
              <w:t>Architecture Design Document (ADD)</w:t>
            </w:r>
          </w:p>
        </w:tc>
        <w:tc>
          <w:tcPr>
            <w:tcW w:w="2160" w:type="dxa"/>
            <w:shd w:val="clear" w:color="auto" w:fill="FFFFFF"/>
          </w:tcPr>
          <w:p w14:paraId="486D3ADC">
            <w:r>
              <w:rPr>
                <w:rFonts w:ascii="Calibri" w:hAnsi="Calibri"/>
                <w:color w:val="2D3748"/>
                <w:sz w:val="18"/>
              </w:rPr>
              <w:t>DOCX/PDF + Diagrams</w:t>
            </w:r>
          </w:p>
        </w:tc>
        <w:tc>
          <w:tcPr>
            <w:tcW w:w="1728" w:type="dxa"/>
            <w:shd w:val="clear" w:color="auto" w:fill="FFFFFF"/>
          </w:tcPr>
          <w:p w14:paraId="251CA1F6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FFFFF"/>
          </w:tcPr>
          <w:p w14:paraId="4FE25763">
            <w:r>
              <w:rPr>
                <w:rFonts w:ascii="Calibri" w:hAnsi="Calibri"/>
                <w:color w:val="2D3748"/>
                <w:sz w:val="18"/>
              </w:rPr>
              <w:t>Yes — Architecture Review Board</w:t>
            </w:r>
          </w:p>
        </w:tc>
      </w:tr>
      <w:tr w14:paraId="4DC4F5F6">
        <w:trPr>
          <w:jc w:val="center"/>
        </w:trPr>
        <w:tc>
          <w:tcPr>
            <w:tcW w:w="3600" w:type="dxa"/>
            <w:shd w:val="clear" w:color="auto" w:fill="F7F9FC"/>
          </w:tcPr>
          <w:p w14:paraId="2B45714A">
            <w:r>
              <w:rPr>
                <w:rFonts w:ascii="Calibri" w:hAnsi="Calibri"/>
                <w:color w:val="2D3748"/>
                <w:sz w:val="18"/>
              </w:rPr>
              <w:t>ER Diagram (all 12 modules)</w:t>
            </w:r>
          </w:p>
        </w:tc>
        <w:tc>
          <w:tcPr>
            <w:tcW w:w="2160" w:type="dxa"/>
            <w:shd w:val="clear" w:color="auto" w:fill="F7F9FC"/>
          </w:tcPr>
          <w:p w14:paraId="20A8C5CA">
            <w:r>
              <w:rPr>
                <w:rFonts w:ascii="Calibri" w:hAnsi="Calibri"/>
                <w:color w:val="2D3748"/>
                <w:sz w:val="18"/>
              </w:rPr>
              <w:t>Draw.io / PNG / PDF</w:t>
            </w:r>
          </w:p>
        </w:tc>
        <w:tc>
          <w:tcPr>
            <w:tcW w:w="1728" w:type="dxa"/>
            <w:shd w:val="clear" w:color="auto" w:fill="F7F9FC"/>
          </w:tcPr>
          <w:p w14:paraId="488C93F9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7F9FC"/>
          </w:tcPr>
          <w:p w14:paraId="79AD6C29">
            <w:r>
              <w:rPr>
                <w:rFonts w:ascii="Calibri" w:hAnsi="Calibri"/>
                <w:color w:val="2D3748"/>
                <w:sz w:val="18"/>
              </w:rPr>
              <w:t>Yes — Technical Lead</w:t>
            </w:r>
          </w:p>
        </w:tc>
      </w:tr>
      <w:tr w14:paraId="145B0DCC">
        <w:trPr>
          <w:jc w:val="center"/>
        </w:trPr>
        <w:tc>
          <w:tcPr>
            <w:tcW w:w="3600" w:type="dxa"/>
            <w:shd w:val="clear" w:color="auto" w:fill="FFFFFF"/>
          </w:tcPr>
          <w:p w14:paraId="33142F9E">
            <w:r>
              <w:rPr>
                <w:rFonts w:ascii="Calibri" w:hAnsi="Calibri"/>
                <w:color w:val="2D3748"/>
                <w:sz w:val="18"/>
              </w:rPr>
              <w:t>API Contract Specification</w:t>
            </w:r>
          </w:p>
        </w:tc>
        <w:tc>
          <w:tcPr>
            <w:tcW w:w="2160" w:type="dxa"/>
            <w:shd w:val="clear" w:color="auto" w:fill="FFFFFF"/>
          </w:tcPr>
          <w:p w14:paraId="11F0E83A">
            <w:r>
              <w:rPr>
                <w:rFonts w:ascii="Calibri" w:hAnsi="Calibri"/>
                <w:color w:val="2D3748"/>
                <w:sz w:val="18"/>
              </w:rPr>
              <w:t>OpenAPI 3.0 (Swagger)</w:t>
            </w:r>
          </w:p>
        </w:tc>
        <w:tc>
          <w:tcPr>
            <w:tcW w:w="1728" w:type="dxa"/>
            <w:shd w:val="clear" w:color="auto" w:fill="FFFFFF"/>
          </w:tcPr>
          <w:p w14:paraId="57E30762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FFFFF"/>
          </w:tcPr>
          <w:p w14:paraId="4A159A2E">
            <w:r>
              <w:rPr>
                <w:rFonts w:ascii="Calibri" w:hAnsi="Calibri"/>
                <w:color w:val="2D3748"/>
                <w:sz w:val="18"/>
              </w:rPr>
              <w:t>Yes — Technical Lead</w:t>
            </w:r>
          </w:p>
        </w:tc>
      </w:tr>
      <w:tr w14:paraId="111F037B">
        <w:trPr>
          <w:jc w:val="center"/>
        </w:trPr>
        <w:tc>
          <w:tcPr>
            <w:tcW w:w="3600" w:type="dxa"/>
            <w:shd w:val="clear" w:color="auto" w:fill="F7F9FC"/>
          </w:tcPr>
          <w:p w14:paraId="65360BDD">
            <w:r>
              <w:rPr>
                <w:rFonts w:ascii="Calibri" w:hAnsi="Calibri"/>
                <w:color w:val="2D3748"/>
                <w:sz w:val="18"/>
              </w:rPr>
              <w:t>RBAC Permission Matrix</w:t>
            </w:r>
          </w:p>
        </w:tc>
        <w:tc>
          <w:tcPr>
            <w:tcW w:w="2160" w:type="dxa"/>
            <w:shd w:val="clear" w:color="auto" w:fill="F7F9FC"/>
          </w:tcPr>
          <w:p w14:paraId="6F9F19A7">
            <w:r>
              <w:rPr>
                <w:rFonts w:ascii="Calibri" w:hAnsi="Calibri"/>
                <w:color w:val="2D3748"/>
                <w:sz w:val="18"/>
              </w:rPr>
              <w:t>Excel + DOCX</w:t>
            </w:r>
          </w:p>
        </w:tc>
        <w:tc>
          <w:tcPr>
            <w:tcW w:w="1728" w:type="dxa"/>
            <w:shd w:val="clear" w:color="auto" w:fill="F7F9FC"/>
          </w:tcPr>
          <w:p w14:paraId="2CFE25BE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7F9FC"/>
          </w:tcPr>
          <w:p w14:paraId="7B1B0EC4">
            <w:r>
              <w:rPr>
                <w:rFonts w:ascii="Calibri" w:hAnsi="Calibri"/>
                <w:color w:val="2D3748"/>
                <w:sz w:val="18"/>
              </w:rPr>
              <w:t>Yes — Client IT Head</w:t>
            </w:r>
          </w:p>
        </w:tc>
      </w:tr>
      <w:tr w14:paraId="4D51C29A">
        <w:trPr>
          <w:jc w:val="center"/>
        </w:trPr>
        <w:tc>
          <w:tcPr>
            <w:tcW w:w="3600" w:type="dxa"/>
            <w:shd w:val="clear" w:color="auto" w:fill="FFFFFF"/>
          </w:tcPr>
          <w:p w14:paraId="528BF9DF">
            <w:r>
              <w:rPr>
                <w:rFonts w:ascii="Calibri" w:hAnsi="Calibri"/>
                <w:color w:val="2D3748"/>
                <w:sz w:val="18"/>
              </w:rPr>
              <w:t>POC Wireframes (80+ screens)</w:t>
            </w:r>
          </w:p>
        </w:tc>
        <w:tc>
          <w:tcPr>
            <w:tcW w:w="2160" w:type="dxa"/>
            <w:shd w:val="clear" w:color="auto" w:fill="FFFFFF"/>
          </w:tcPr>
          <w:p w14:paraId="6A0EBB8F">
            <w:r>
              <w:rPr>
                <w:rFonts w:ascii="Calibri" w:hAnsi="Calibri"/>
                <w:color w:val="2D3748"/>
                <w:sz w:val="18"/>
              </w:rPr>
              <w:t>HTML (interactive)</w:t>
            </w:r>
          </w:p>
        </w:tc>
        <w:tc>
          <w:tcPr>
            <w:tcW w:w="1728" w:type="dxa"/>
            <w:shd w:val="clear" w:color="auto" w:fill="FFFFFF"/>
          </w:tcPr>
          <w:p w14:paraId="5801F4A3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2880" w:type="dxa"/>
            <w:shd w:val="clear" w:color="auto" w:fill="FFFFFF"/>
          </w:tcPr>
          <w:p w14:paraId="420907CA">
            <w:r>
              <w:rPr>
                <w:rFonts w:ascii="Calibri" w:hAnsi="Calibri"/>
                <w:color w:val="2D3748"/>
                <w:sz w:val="18"/>
              </w:rPr>
              <w:t>Yes — Client UX Sponsor</w:t>
            </w:r>
          </w:p>
        </w:tc>
      </w:tr>
      <w:tr w14:paraId="0E70C01D">
        <w:trPr>
          <w:jc w:val="center"/>
        </w:trPr>
        <w:tc>
          <w:tcPr>
            <w:tcW w:w="3600" w:type="dxa"/>
            <w:shd w:val="clear" w:color="auto" w:fill="F7F9FC"/>
          </w:tcPr>
          <w:p w14:paraId="100877E9">
            <w:r>
              <w:rPr>
                <w:rFonts w:ascii="Calibri" w:hAnsi="Calibri"/>
                <w:color w:val="2D3748"/>
                <w:sz w:val="18"/>
              </w:rPr>
              <w:t>Source Code Repository</w:t>
            </w:r>
          </w:p>
        </w:tc>
        <w:tc>
          <w:tcPr>
            <w:tcW w:w="2160" w:type="dxa"/>
            <w:shd w:val="clear" w:color="auto" w:fill="F7F9FC"/>
          </w:tcPr>
          <w:p w14:paraId="4C07F05F">
            <w:r>
              <w:rPr>
                <w:rFonts w:ascii="Calibri" w:hAnsi="Calibri"/>
                <w:color w:val="2D3748"/>
                <w:sz w:val="18"/>
              </w:rPr>
              <w:t>GitHub (private)</w:t>
            </w:r>
          </w:p>
        </w:tc>
        <w:tc>
          <w:tcPr>
            <w:tcW w:w="1728" w:type="dxa"/>
            <w:shd w:val="clear" w:color="auto" w:fill="F7F9FC"/>
          </w:tcPr>
          <w:p w14:paraId="3A65848D">
            <w:r>
              <w:rPr>
                <w:rFonts w:ascii="Calibri" w:hAnsi="Calibri"/>
                <w:color w:val="2D3748"/>
                <w:sz w:val="18"/>
              </w:rPr>
              <w:t>Ongoing</w:t>
            </w:r>
          </w:p>
        </w:tc>
        <w:tc>
          <w:tcPr>
            <w:tcW w:w="2880" w:type="dxa"/>
            <w:shd w:val="clear" w:color="auto" w:fill="F7F9FC"/>
          </w:tcPr>
          <w:p w14:paraId="2DC3B928">
            <w:r>
              <w:rPr>
                <w:rFonts w:ascii="Calibri" w:hAnsi="Calibri"/>
                <w:color w:val="2D3748"/>
                <w:sz w:val="18"/>
              </w:rPr>
              <w:t>N/A</w:t>
            </w:r>
          </w:p>
        </w:tc>
      </w:tr>
      <w:tr w14:paraId="6011DD1A">
        <w:trPr>
          <w:jc w:val="center"/>
        </w:trPr>
        <w:tc>
          <w:tcPr>
            <w:tcW w:w="3600" w:type="dxa"/>
            <w:shd w:val="clear" w:color="auto" w:fill="FFFFFF"/>
          </w:tcPr>
          <w:p w14:paraId="50E85941">
            <w:r>
              <w:rPr>
                <w:rFonts w:ascii="Calibri" w:hAnsi="Calibri"/>
                <w:color w:val="2D3748"/>
                <w:sz w:val="18"/>
              </w:rPr>
              <w:t>Unit Test Reports</w:t>
            </w:r>
          </w:p>
        </w:tc>
        <w:tc>
          <w:tcPr>
            <w:tcW w:w="2160" w:type="dxa"/>
            <w:shd w:val="clear" w:color="auto" w:fill="FFFFFF"/>
          </w:tcPr>
          <w:p w14:paraId="6DF4616B">
            <w:r>
              <w:rPr>
                <w:rFonts w:ascii="Calibri" w:hAnsi="Calibri"/>
                <w:color w:val="2D3748"/>
                <w:sz w:val="18"/>
              </w:rPr>
              <w:t>JUnit XML + HTML</w:t>
            </w:r>
          </w:p>
        </w:tc>
        <w:tc>
          <w:tcPr>
            <w:tcW w:w="1728" w:type="dxa"/>
            <w:shd w:val="clear" w:color="auto" w:fill="FFFFFF"/>
          </w:tcPr>
          <w:p w14:paraId="734C0420">
            <w:r>
              <w:rPr>
                <w:rFonts w:ascii="Calibri" w:hAnsi="Calibri"/>
                <w:color w:val="2D3748"/>
                <w:sz w:val="18"/>
              </w:rPr>
              <w:t>Each phase</w:t>
            </w:r>
          </w:p>
        </w:tc>
        <w:tc>
          <w:tcPr>
            <w:tcW w:w="2880" w:type="dxa"/>
            <w:shd w:val="clear" w:color="auto" w:fill="FFFFFF"/>
          </w:tcPr>
          <w:p w14:paraId="135CD9BD">
            <w:r>
              <w:rPr>
                <w:rFonts w:ascii="Calibri" w:hAnsi="Calibri"/>
                <w:color w:val="2D3748"/>
                <w:sz w:val="18"/>
              </w:rPr>
              <w:t>No — Reviewed in sprint demos</w:t>
            </w:r>
          </w:p>
        </w:tc>
      </w:tr>
      <w:tr w14:paraId="1A23C6F5">
        <w:trPr>
          <w:jc w:val="center"/>
        </w:trPr>
        <w:tc>
          <w:tcPr>
            <w:tcW w:w="3600" w:type="dxa"/>
            <w:shd w:val="clear" w:color="auto" w:fill="F7F9FC"/>
          </w:tcPr>
          <w:p w14:paraId="357F05CF">
            <w:r>
              <w:rPr>
                <w:rFonts w:ascii="Calibri" w:hAnsi="Calibri"/>
                <w:color w:val="2D3748"/>
                <w:sz w:val="18"/>
              </w:rPr>
              <w:t>Integration Test Report</w:t>
            </w:r>
          </w:p>
        </w:tc>
        <w:tc>
          <w:tcPr>
            <w:tcW w:w="2160" w:type="dxa"/>
            <w:shd w:val="clear" w:color="auto" w:fill="F7F9FC"/>
          </w:tcPr>
          <w:p w14:paraId="3C75F196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7F9FC"/>
          </w:tcPr>
          <w:p w14:paraId="5CBBFFC6">
            <w:r>
              <w:rPr>
                <w:rFonts w:ascii="Calibri" w:hAnsi="Calibri"/>
                <w:color w:val="2D3748"/>
                <w:sz w:val="18"/>
              </w:rPr>
              <w:t>Phase 9</w:t>
            </w:r>
          </w:p>
        </w:tc>
        <w:tc>
          <w:tcPr>
            <w:tcW w:w="2880" w:type="dxa"/>
            <w:shd w:val="clear" w:color="auto" w:fill="F7F9FC"/>
          </w:tcPr>
          <w:p w14:paraId="5DF16B5E">
            <w:r>
              <w:rPr>
                <w:rFonts w:ascii="Calibri" w:hAnsi="Calibri"/>
                <w:color w:val="2D3748"/>
                <w:sz w:val="18"/>
              </w:rPr>
              <w:t>Yes — Client QA Lead</w:t>
            </w:r>
          </w:p>
        </w:tc>
      </w:tr>
      <w:tr w14:paraId="36ED0D32">
        <w:trPr>
          <w:jc w:val="center"/>
        </w:trPr>
        <w:tc>
          <w:tcPr>
            <w:tcW w:w="3600" w:type="dxa"/>
            <w:shd w:val="clear" w:color="auto" w:fill="FFFFFF"/>
          </w:tcPr>
          <w:p w14:paraId="16CDBAF8">
            <w:r>
              <w:rPr>
                <w:rFonts w:ascii="Calibri" w:hAnsi="Calibri"/>
                <w:color w:val="2D3748"/>
                <w:sz w:val="18"/>
              </w:rPr>
              <w:t>VAPT (Security) Report</w:t>
            </w:r>
          </w:p>
        </w:tc>
        <w:tc>
          <w:tcPr>
            <w:tcW w:w="2160" w:type="dxa"/>
            <w:shd w:val="clear" w:color="auto" w:fill="FFFFFF"/>
          </w:tcPr>
          <w:p w14:paraId="1E472A36">
            <w:r>
              <w:rPr>
                <w:rFonts w:ascii="Calibri" w:hAnsi="Calibri"/>
                <w:color w:val="2D3748"/>
                <w:sz w:val="18"/>
              </w:rPr>
              <w:t>PDF</w:t>
            </w:r>
          </w:p>
        </w:tc>
        <w:tc>
          <w:tcPr>
            <w:tcW w:w="1728" w:type="dxa"/>
            <w:shd w:val="clear" w:color="auto" w:fill="FFFFFF"/>
          </w:tcPr>
          <w:p w14:paraId="0823CEF8">
            <w:r>
              <w:rPr>
                <w:rFonts w:ascii="Calibri" w:hAnsi="Calibri"/>
                <w:color w:val="2D3748"/>
                <w:sz w:val="18"/>
              </w:rPr>
              <w:t>Phase 9</w:t>
            </w:r>
          </w:p>
        </w:tc>
        <w:tc>
          <w:tcPr>
            <w:tcW w:w="2880" w:type="dxa"/>
            <w:shd w:val="clear" w:color="auto" w:fill="FFFFFF"/>
          </w:tcPr>
          <w:p w14:paraId="268425C5">
            <w:r>
              <w:rPr>
                <w:rFonts w:ascii="Calibri" w:hAnsi="Calibri"/>
                <w:color w:val="2D3748"/>
                <w:sz w:val="18"/>
              </w:rPr>
              <w:t>Yes — Client IT Security</w:t>
            </w:r>
          </w:p>
        </w:tc>
      </w:tr>
      <w:tr w14:paraId="49FF9BC8">
        <w:trPr>
          <w:jc w:val="center"/>
        </w:trPr>
        <w:tc>
          <w:tcPr>
            <w:tcW w:w="3600" w:type="dxa"/>
            <w:shd w:val="clear" w:color="auto" w:fill="F7F9FC"/>
          </w:tcPr>
          <w:p w14:paraId="2DDEC5CE">
            <w:r>
              <w:rPr>
                <w:rFonts w:ascii="Calibri" w:hAnsi="Calibri"/>
                <w:color w:val="2D3748"/>
                <w:sz w:val="18"/>
              </w:rPr>
              <w:t>Performance Test Report</w:t>
            </w:r>
          </w:p>
        </w:tc>
        <w:tc>
          <w:tcPr>
            <w:tcW w:w="2160" w:type="dxa"/>
            <w:shd w:val="clear" w:color="auto" w:fill="F7F9FC"/>
          </w:tcPr>
          <w:p w14:paraId="343D53E8">
            <w:r>
              <w:rPr>
                <w:rFonts w:ascii="Calibri" w:hAnsi="Calibri"/>
                <w:color w:val="2D3748"/>
                <w:sz w:val="18"/>
              </w:rPr>
              <w:t>PDF + Grafana exports</w:t>
            </w:r>
          </w:p>
        </w:tc>
        <w:tc>
          <w:tcPr>
            <w:tcW w:w="1728" w:type="dxa"/>
            <w:shd w:val="clear" w:color="auto" w:fill="F7F9FC"/>
          </w:tcPr>
          <w:p w14:paraId="61606A71">
            <w:r>
              <w:rPr>
                <w:rFonts w:ascii="Calibri" w:hAnsi="Calibri"/>
                <w:color w:val="2D3748"/>
                <w:sz w:val="18"/>
              </w:rPr>
              <w:t>Phase 9</w:t>
            </w:r>
          </w:p>
        </w:tc>
        <w:tc>
          <w:tcPr>
            <w:tcW w:w="2880" w:type="dxa"/>
            <w:shd w:val="clear" w:color="auto" w:fill="F7F9FC"/>
          </w:tcPr>
          <w:p w14:paraId="3C7711F3">
            <w:r>
              <w:rPr>
                <w:rFonts w:ascii="Calibri" w:hAnsi="Calibri"/>
                <w:color w:val="2D3748"/>
                <w:sz w:val="18"/>
              </w:rPr>
              <w:t>Yes — Technical Lead</w:t>
            </w:r>
          </w:p>
        </w:tc>
      </w:tr>
      <w:tr w14:paraId="3619F3B3">
        <w:trPr>
          <w:jc w:val="center"/>
        </w:trPr>
        <w:tc>
          <w:tcPr>
            <w:tcW w:w="3600" w:type="dxa"/>
            <w:shd w:val="clear" w:color="auto" w:fill="FFFFFF"/>
          </w:tcPr>
          <w:p w14:paraId="75E257B8">
            <w:r>
              <w:rPr>
                <w:rFonts w:ascii="Calibri" w:hAnsi="Calibri"/>
                <w:color w:val="2D3748"/>
                <w:sz w:val="18"/>
              </w:rPr>
              <w:t>UAT Test Cases &amp; Results</w:t>
            </w:r>
          </w:p>
        </w:tc>
        <w:tc>
          <w:tcPr>
            <w:tcW w:w="2160" w:type="dxa"/>
            <w:shd w:val="clear" w:color="auto" w:fill="FFFFFF"/>
          </w:tcPr>
          <w:p w14:paraId="7D44B4CC">
            <w:r>
              <w:rPr>
                <w:rFonts w:ascii="Calibri" w:hAnsi="Calibri"/>
                <w:color w:val="2D3748"/>
                <w:sz w:val="18"/>
              </w:rPr>
              <w:t>Excel</w:t>
            </w:r>
          </w:p>
        </w:tc>
        <w:tc>
          <w:tcPr>
            <w:tcW w:w="1728" w:type="dxa"/>
            <w:shd w:val="clear" w:color="auto" w:fill="FFFFFF"/>
          </w:tcPr>
          <w:p w14:paraId="18B84C28">
            <w:r>
              <w:rPr>
                <w:rFonts w:ascii="Calibri" w:hAnsi="Calibri"/>
                <w:color w:val="2D3748"/>
                <w:sz w:val="18"/>
              </w:rPr>
              <w:t>Phase 10</w:t>
            </w:r>
          </w:p>
        </w:tc>
        <w:tc>
          <w:tcPr>
            <w:tcW w:w="2880" w:type="dxa"/>
            <w:shd w:val="clear" w:color="auto" w:fill="FFFFFF"/>
          </w:tcPr>
          <w:p w14:paraId="0D9F0B56">
            <w:r>
              <w:rPr>
                <w:rFonts w:ascii="Calibri" w:hAnsi="Calibri"/>
                <w:color w:val="2D3748"/>
                <w:sz w:val="18"/>
              </w:rPr>
              <w:t>Yes — Client UAT Lead</w:t>
            </w:r>
          </w:p>
        </w:tc>
      </w:tr>
      <w:tr w14:paraId="041CC16D">
        <w:trPr>
          <w:jc w:val="center"/>
        </w:trPr>
        <w:tc>
          <w:tcPr>
            <w:tcW w:w="3600" w:type="dxa"/>
            <w:shd w:val="clear" w:color="auto" w:fill="F7F9FC"/>
          </w:tcPr>
          <w:p w14:paraId="40B3A4B9">
            <w:r>
              <w:rPr>
                <w:rFonts w:ascii="Calibri" w:hAnsi="Calibri"/>
                <w:color w:val="2D3748"/>
                <w:sz w:val="18"/>
              </w:rPr>
              <w:t>Deployment Runbook</w:t>
            </w:r>
          </w:p>
        </w:tc>
        <w:tc>
          <w:tcPr>
            <w:tcW w:w="2160" w:type="dxa"/>
            <w:shd w:val="clear" w:color="auto" w:fill="F7F9FC"/>
          </w:tcPr>
          <w:p w14:paraId="177A0EF1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7F9FC"/>
          </w:tcPr>
          <w:p w14:paraId="4BBF8C73">
            <w:r>
              <w:rPr>
                <w:rFonts w:ascii="Calibri" w:hAnsi="Calibri"/>
                <w:color w:val="2D3748"/>
                <w:sz w:val="18"/>
              </w:rPr>
              <w:t>Phase 11</w:t>
            </w:r>
          </w:p>
        </w:tc>
        <w:tc>
          <w:tcPr>
            <w:tcW w:w="2880" w:type="dxa"/>
            <w:shd w:val="clear" w:color="auto" w:fill="F7F9FC"/>
          </w:tcPr>
          <w:p w14:paraId="17FF92BA">
            <w:r>
              <w:rPr>
                <w:rFonts w:ascii="Calibri" w:hAnsi="Calibri"/>
                <w:color w:val="2D3748"/>
                <w:sz w:val="18"/>
              </w:rPr>
              <w:t>Yes — DevOps Lead</w:t>
            </w:r>
          </w:p>
        </w:tc>
      </w:tr>
      <w:tr w14:paraId="3BA55202">
        <w:trPr>
          <w:jc w:val="center"/>
        </w:trPr>
        <w:tc>
          <w:tcPr>
            <w:tcW w:w="3600" w:type="dxa"/>
            <w:shd w:val="clear" w:color="auto" w:fill="FFFFFF"/>
          </w:tcPr>
          <w:p w14:paraId="17E46259">
            <w:r>
              <w:rPr>
                <w:rFonts w:ascii="Calibri" w:hAnsi="Calibri"/>
                <w:color w:val="2D3748"/>
                <w:sz w:val="18"/>
              </w:rPr>
              <w:t>Operations Manual</w:t>
            </w:r>
          </w:p>
        </w:tc>
        <w:tc>
          <w:tcPr>
            <w:tcW w:w="2160" w:type="dxa"/>
            <w:shd w:val="clear" w:color="auto" w:fill="FFFFFF"/>
          </w:tcPr>
          <w:p w14:paraId="5A9F242D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FFFFF"/>
          </w:tcPr>
          <w:p w14:paraId="4B7FEEC2">
            <w:r>
              <w:rPr>
                <w:rFonts w:ascii="Calibri" w:hAnsi="Calibri"/>
                <w:color w:val="2D3748"/>
                <w:sz w:val="18"/>
              </w:rPr>
              <w:t>Phase 11</w:t>
            </w:r>
          </w:p>
        </w:tc>
        <w:tc>
          <w:tcPr>
            <w:tcW w:w="2880" w:type="dxa"/>
            <w:shd w:val="clear" w:color="auto" w:fill="FFFFFF"/>
          </w:tcPr>
          <w:p w14:paraId="16126338">
            <w:r>
              <w:rPr>
                <w:rFonts w:ascii="Calibri" w:hAnsi="Calibri"/>
                <w:color w:val="2D3748"/>
                <w:sz w:val="18"/>
              </w:rPr>
              <w:t>Yes — Client IT Ops</w:t>
            </w:r>
          </w:p>
        </w:tc>
      </w:tr>
      <w:tr w14:paraId="42597B93">
        <w:trPr>
          <w:jc w:val="center"/>
        </w:trPr>
        <w:tc>
          <w:tcPr>
            <w:tcW w:w="3600" w:type="dxa"/>
            <w:shd w:val="clear" w:color="auto" w:fill="F7F9FC"/>
          </w:tcPr>
          <w:p w14:paraId="02EC2FEA">
            <w:r>
              <w:rPr>
                <w:rFonts w:ascii="Calibri" w:hAnsi="Calibri"/>
                <w:color w:val="2D3748"/>
                <w:sz w:val="18"/>
              </w:rPr>
              <w:t>User Training Manual</w:t>
            </w:r>
          </w:p>
        </w:tc>
        <w:tc>
          <w:tcPr>
            <w:tcW w:w="2160" w:type="dxa"/>
            <w:shd w:val="clear" w:color="auto" w:fill="F7F9FC"/>
          </w:tcPr>
          <w:p w14:paraId="265CD9F5">
            <w:r>
              <w:rPr>
                <w:rFonts w:ascii="Calibri" w:hAnsi="Calibri"/>
                <w:color w:val="2D3748"/>
                <w:sz w:val="18"/>
              </w:rPr>
              <w:t>DOCX/PDF + Videos</w:t>
            </w:r>
          </w:p>
        </w:tc>
        <w:tc>
          <w:tcPr>
            <w:tcW w:w="1728" w:type="dxa"/>
            <w:shd w:val="clear" w:color="auto" w:fill="F7F9FC"/>
          </w:tcPr>
          <w:p w14:paraId="61635080">
            <w:r>
              <w:rPr>
                <w:rFonts w:ascii="Calibri" w:hAnsi="Calibri"/>
                <w:color w:val="2D3748"/>
                <w:sz w:val="18"/>
              </w:rPr>
              <w:t>Phase 12</w:t>
            </w:r>
          </w:p>
        </w:tc>
        <w:tc>
          <w:tcPr>
            <w:tcW w:w="2880" w:type="dxa"/>
            <w:shd w:val="clear" w:color="auto" w:fill="F7F9FC"/>
          </w:tcPr>
          <w:p w14:paraId="4DFA8AFF">
            <w:r>
              <w:rPr>
                <w:rFonts w:ascii="Calibri" w:hAnsi="Calibri"/>
                <w:color w:val="2D3748"/>
                <w:sz w:val="18"/>
              </w:rPr>
              <w:t>Yes — Client Training Lead</w:t>
            </w:r>
          </w:p>
        </w:tc>
      </w:tr>
      <w:tr w14:paraId="2F6C1A48">
        <w:trPr>
          <w:jc w:val="center"/>
        </w:trPr>
        <w:tc>
          <w:tcPr>
            <w:tcW w:w="3600" w:type="dxa"/>
            <w:shd w:val="clear" w:color="auto" w:fill="FFFFFF"/>
          </w:tcPr>
          <w:p w14:paraId="121A0765">
            <w:r>
              <w:rPr>
                <w:rFonts w:ascii="Calibri" w:hAnsi="Calibri"/>
                <w:color w:val="2D3748"/>
                <w:sz w:val="18"/>
              </w:rPr>
              <w:t>Admin Training Manual</w:t>
            </w:r>
          </w:p>
        </w:tc>
        <w:tc>
          <w:tcPr>
            <w:tcW w:w="2160" w:type="dxa"/>
            <w:shd w:val="clear" w:color="auto" w:fill="FFFFFF"/>
          </w:tcPr>
          <w:p w14:paraId="1D770063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FFFFF"/>
          </w:tcPr>
          <w:p w14:paraId="1C94D427">
            <w:r>
              <w:rPr>
                <w:rFonts w:ascii="Calibri" w:hAnsi="Calibri"/>
                <w:color w:val="2D3748"/>
                <w:sz w:val="18"/>
              </w:rPr>
              <w:t>Phase 12</w:t>
            </w:r>
          </w:p>
        </w:tc>
        <w:tc>
          <w:tcPr>
            <w:tcW w:w="2880" w:type="dxa"/>
            <w:shd w:val="clear" w:color="auto" w:fill="FFFFFF"/>
          </w:tcPr>
          <w:p w14:paraId="2E098595">
            <w:r>
              <w:rPr>
                <w:rFonts w:ascii="Calibri" w:hAnsi="Calibri"/>
                <w:color w:val="2D3748"/>
                <w:sz w:val="18"/>
              </w:rPr>
              <w:t>Yes — Client IT Admin</w:t>
            </w:r>
          </w:p>
        </w:tc>
      </w:tr>
      <w:tr w14:paraId="43C8056C">
        <w:trPr>
          <w:jc w:val="center"/>
        </w:trPr>
        <w:tc>
          <w:tcPr>
            <w:tcW w:w="3600" w:type="dxa"/>
            <w:shd w:val="clear" w:color="auto" w:fill="F7F9FC"/>
          </w:tcPr>
          <w:p w14:paraId="03285519">
            <w:r>
              <w:rPr>
                <w:rFonts w:ascii="Calibri" w:hAnsi="Calibri"/>
                <w:color w:val="2D3748"/>
                <w:sz w:val="18"/>
              </w:rPr>
              <w:t>Knowledge Transfer Document</w:t>
            </w:r>
          </w:p>
        </w:tc>
        <w:tc>
          <w:tcPr>
            <w:tcW w:w="2160" w:type="dxa"/>
            <w:shd w:val="clear" w:color="auto" w:fill="F7F9FC"/>
          </w:tcPr>
          <w:p w14:paraId="793C0F39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7F9FC"/>
          </w:tcPr>
          <w:p w14:paraId="47232D30">
            <w:r>
              <w:rPr>
                <w:rFonts w:ascii="Calibri" w:hAnsi="Calibri"/>
                <w:color w:val="2D3748"/>
                <w:sz w:val="18"/>
              </w:rPr>
              <w:t>Phase 12</w:t>
            </w:r>
          </w:p>
        </w:tc>
        <w:tc>
          <w:tcPr>
            <w:tcW w:w="2880" w:type="dxa"/>
            <w:shd w:val="clear" w:color="auto" w:fill="F7F9FC"/>
          </w:tcPr>
          <w:p w14:paraId="69BBE3E7">
            <w:r>
              <w:rPr>
                <w:rFonts w:ascii="Calibri" w:hAnsi="Calibri"/>
                <w:color w:val="2D3748"/>
                <w:sz w:val="18"/>
              </w:rPr>
              <w:t>Yes — Client CTO</w:t>
            </w:r>
          </w:p>
        </w:tc>
      </w:tr>
      <w:tr w14:paraId="1C90FDF8">
        <w:trPr>
          <w:jc w:val="center"/>
        </w:trPr>
        <w:tc>
          <w:tcPr>
            <w:tcW w:w="3600" w:type="dxa"/>
            <w:shd w:val="clear" w:color="auto" w:fill="FFFFFF"/>
          </w:tcPr>
          <w:p w14:paraId="2D7328AF">
            <w:r>
              <w:rPr>
                <w:rFonts w:ascii="Calibri" w:hAnsi="Calibri"/>
                <w:color w:val="2D3748"/>
                <w:sz w:val="18"/>
              </w:rPr>
              <w:t>Monthly Health Reports</w:t>
            </w:r>
          </w:p>
        </w:tc>
        <w:tc>
          <w:tcPr>
            <w:tcW w:w="2160" w:type="dxa"/>
            <w:shd w:val="clear" w:color="auto" w:fill="FFFFFF"/>
          </w:tcPr>
          <w:p w14:paraId="1B0238F9">
            <w:r>
              <w:rPr>
                <w:rFonts w:ascii="Calibri" w:hAnsi="Calibri"/>
                <w:color w:val="2D3748"/>
                <w:sz w:val="18"/>
              </w:rPr>
              <w:t>PDF</w:t>
            </w:r>
          </w:p>
        </w:tc>
        <w:tc>
          <w:tcPr>
            <w:tcW w:w="1728" w:type="dxa"/>
            <w:shd w:val="clear" w:color="auto" w:fill="FFFFFF"/>
          </w:tcPr>
          <w:p w14:paraId="31163A71">
            <w:r>
              <w:rPr>
                <w:rFonts w:ascii="Calibri" w:hAnsi="Calibri"/>
                <w:color w:val="2D3748"/>
                <w:sz w:val="18"/>
              </w:rPr>
              <w:t>Phase 13</w:t>
            </w:r>
          </w:p>
        </w:tc>
        <w:tc>
          <w:tcPr>
            <w:tcW w:w="2880" w:type="dxa"/>
            <w:shd w:val="clear" w:color="auto" w:fill="FFFFFF"/>
          </w:tcPr>
          <w:p w14:paraId="12301364">
            <w:r>
              <w:rPr>
                <w:rFonts w:ascii="Calibri" w:hAnsi="Calibri"/>
                <w:color w:val="2D3748"/>
                <w:sz w:val="18"/>
              </w:rPr>
              <w:t>No — For information</w:t>
            </w:r>
          </w:p>
        </w:tc>
      </w:tr>
      <w:tr w14:paraId="52DEC150">
        <w:trPr>
          <w:jc w:val="center"/>
        </w:trPr>
        <w:tc>
          <w:tcPr>
            <w:tcW w:w="3600" w:type="dxa"/>
            <w:shd w:val="clear" w:color="auto" w:fill="F7F9FC"/>
          </w:tcPr>
          <w:p w14:paraId="02F16A85">
            <w:r>
              <w:rPr>
                <w:rFonts w:ascii="Calibri" w:hAnsi="Calibri"/>
                <w:color w:val="2D3748"/>
                <w:sz w:val="18"/>
              </w:rPr>
              <w:t>Warranty Closure Report</w:t>
            </w:r>
          </w:p>
        </w:tc>
        <w:tc>
          <w:tcPr>
            <w:tcW w:w="2160" w:type="dxa"/>
            <w:shd w:val="clear" w:color="auto" w:fill="F7F9FC"/>
          </w:tcPr>
          <w:p w14:paraId="387F2220">
            <w:r>
              <w:rPr>
                <w:rFonts w:ascii="Calibri" w:hAnsi="Calibri"/>
                <w:color w:val="2D3748"/>
                <w:sz w:val="18"/>
              </w:rPr>
              <w:t>DOCX/PDF</w:t>
            </w:r>
          </w:p>
        </w:tc>
        <w:tc>
          <w:tcPr>
            <w:tcW w:w="1728" w:type="dxa"/>
            <w:shd w:val="clear" w:color="auto" w:fill="F7F9FC"/>
          </w:tcPr>
          <w:p w14:paraId="7C0BB114">
            <w:r>
              <w:rPr>
                <w:rFonts w:ascii="Calibri" w:hAnsi="Calibri"/>
                <w:color w:val="2D3748"/>
                <w:sz w:val="18"/>
              </w:rPr>
              <w:t>Phase 13</w:t>
            </w:r>
          </w:p>
        </w:tc>
        <w:tc>
          <w:tcPr>
            <w:tcW w:w="2880" w:type="dxa"/>
            <w:shd w:val="clear" w:color="auto" w:fill="F7F9FC"/>
          </w:tcPr>
          <w:p w14:paraId="62727DAE">
            <w:r>
              <w:rPr>
                <w:rFonts w:ascii="Calibri" w:hAnsi="Calibri"/>
                <w:color w:val="2D3748"/>
                <w:sz w:val="18"/>
              </w:rPr>
              <w:t>Yes — Client Sponsor</w:t>
            </w:r>
          </w:p>
        </w:tc>
      </w:tr>
    </w:tbl>
    <w:p w14:paraId="6EC5F7CA">
      <w:r>
        <w:br w:type="page"/>
      </w:r>
    </w:p>
    <w:p w14:paraId="5627F521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9. Service Level Agreements (SLA)</w:t>
      </w:r>
    </w:p>
    <w:p w14:paraId="4691D842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9.1 Platform Availability SLA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89"/>
        <w:gridCol w:w="2230"/>
        <w:gridCol w:w="3069"/>
        <w:gridCol w:w="1858"/>
      </w:tblGrid>
      <w:tr w14:paraId="0BCB1BFE">
        <w:trPr>
          <w:jc w:val="center"/>
        </w:trPr>
        <w:tc>
          <w:tcPr>
            <w:tcW w:w="2880" w:type="dxa"/>
            <w:shd w:val="clear" w:color="auto" w:fill="1B3A5C"/>
          </w:tcPr>
          <w:p w14:paraId="2ABBA55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2592" w:type="dxa"/>
            <w:shd w:val="clear" w:color="auto" w:fill="1B3A5C"/>
          </w:tcPr>
          <w:p w14:paraId="60B318E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3600" w:type="dxa"/>
            <w:shd w:val="clear" w:color="auto" w:fill="1B3A5C"/>
          </w:tcPr>
          <w:p w14:paraId="435AF0E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</w:t>
            </w:r>
          </w:p>
        </w:tc>
        <w:tc>
          <w:tcPr>
            <w:tcW w:w="2160" w:type="dxa"/>
            <w:shd w:val="clear" w:color="auto" w:fill="1B3A5C"/>
          </w:tcPr>
          <w:p w14:paraId="1649564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Penalty</w:t>
            </w:r>
          </w:p>
        </w:tc>
      </w:tr>
      <w:tr w14:paraId="16DAE797">
        <w:trPr>
          <w:jc w:val="center"/>
        </w:trPr>
        <w:tc>
          <w:tcPr>
            <w:tcW w:w="2880" w:type="dxa"/>
            <w:shd w:val="clear" w:color="auto" w:fill="F7F9FC"/>
          </w:tcPr>
          <w:p w14:paraId="466C682D">
            <w:r>
              <w:rPr>
                <w:rFonts w:ascii="Calibri" w:hAnsi="Calibri"/>
                <w:color w:val="2D3748"/>
                <w:sz w:val="18"/>
              </w:rPr>
              <w:t>Monthly Uptime</w:t>
            </w:r>
          </w:p>
        </w:tc>
        <w:tc>
          <w:tcPr>
            <w:tcW w:w="2592" w:type="dxa"/>
            <w:shd w:val="clear" w:color="auto" w:fill="F7F9FC"/>
          </w:tcPr>
          <w:p w14:paraId="030BB5E9">
            <w:r>
              <w:rPr>
                <w:rFonts w:ascii="Calibri" w:hAnsi="Calibri"/>
                <w:color w:val="2D3748"/>
                <w:sz w:val="18"/>
              </w:rPr>
              <w:t>99.9%</w:t>
            </w:r>
          </w:p>
        </w:tc>
        <w:tc>
          <w:tcPr>
            <w:tcW w:w="3600" w:type="dxa"/>
            <w:shd w:val="clear" w:color="auto" w:fill="F7F9FC"/>
          </w:tcPr>
          <w:p w14:paraId="0CF71BE6">
            <w:r>
              <w:rPr>
                <w:rFonts w:ascii="Calibri" w:hAnsi="Calibri"/>
                <w:color w:val="2D3748"/>
                <w:sz w:val="18"/>
              </w:rPr>
              <w:t>Kubernetes health probes; calculated excluding planned maintenance</w:t>
            </w:r>
          </w:p>
        </w:tc>
        <w:tc>
          <w:tcPr>
            <w:tcW w:w="2160" w:type="dxa"/>
            <w:shd w:val="clear" w:color="auto" w:fill="F7F9FC"/>
          </w:tcPr>
          <w:p w14:paraId="6F4CC57F">
            <w:r>
              <w:rPr>
                <w:rFonts w:ascii="Calibri" w:hAnsi="Calibri"/>
                <w:color w:val="2D3748"/>
                <w:sz w:val="18"/>
              </w:rPr>
              <w:t>5% credit per 0.1% below target</w:t>
            </w:r>
          </w:p>
        </w:tc>
      </w:tr>
      <w:tr w14:paraId="35073165">
        <w:trPr>
          <w:jc w:val="center"/>
        </w:trPr>
        <w:tc>
          <w:tcPr>
            <w:tcW w:w="2880" w:type="dxa"/>
            <w:shd w:val="clear" w:color="auto" w:fill="FFFFFF"/>
          </w:tcPr>
          <w:p w14:paraId="1610617B">
            <w:r>
              <w:rPr>
                <w:rFonts w:ascii="Calibri" w:hAnsi="Calibri"/>
                <w:color w:val="2D3748"/>
                <w:sz w:val="18"/>
              </w:rPr>
              <w:t>Planned Maintenance Window</w:t>
            </w:r>
          </w:p>
        </w:tc>
        <w:tc>
          <w:tcPr>
            <w:tcW w:w="2592" w:type="dxa"/>
            <w:shd w:val="clear" w:color="auto" w:fill="FFFFFF"/>
          </w:tcPr>
          <w:p w14:paraId="761E2BD2">
            <w:r>
              <w:rPr>
                <w:rFonts w:ascii="Calibri" w:hAnsi="Calibri"/>
                <w:color w:val="2D3748"/>
                <w:sz w:val="18"/>
              </w:rPr>
              <w:t>Sunday 02:00-06:00 IST</w:t>
            </w:r>
          </w:p>
        </w:tc>
        <w:tc>
          <w:tcPr>
            <w:tcW w:w="3600" w:type="dxa"/>
            <w:shd w:val="clear" w:color="auto" w:fill="FFFFFF"/>
          </w:tcPr>
          <w:p w14:paraId="1E587355">
            <w:r>
              <w:rPr>
                <w:rFonts w:ascii="Calibri" w:hAnsi="Calibri"/>
                <w:color w:val="2D3748"/>
                <w:sz w:val="18"/>
              </w:rPr>
              <w:t>Advance notice: 72 hours minimum</w:t>
            </w:r>
          </w:p>
        </w:tc>
        <w:tc>
          <w:tcPr>
            <w:tcW w:w="2160" w:type="dxa"/>
            <w:shd w:val="clear" w:color="auto" w:fill="FFFFFF"/>
          </w:tcPr>
          <w:p w14:paraId="28678C7B">
            <w:r>
              <w:rPr>
                <w:rFonts w:ascii="Calibri" w:hAnsi="Calibri"/>
                <w:color w:val="2D3748"/>
                <w:sz w:val="18"/>
              </w:rPr>
              <w:t>No penalty if within window</w:t>
            </w:r>
          </w:p>
        </w:tc>
      </w:tr>
      <w:tr w14:paraId="3A6BA9CC">
        <w:trPr>
          <w:jc w:val="center"/>
        </w:trPr>
        <w:tc>
          <w:tcPr>
            <w:tcW w:w="2880" w:type="dxa"/>
            <w:shd w:val="clear" w:color="auto" w:fill="F7F9FC"/>
          </w:tcPr>
          <w:p w14:paraId="2CE3D794">
            <w:r>
              <w:rPr>
                <w:rFonts w:ascii="Calibri" w:hAnsi="Calibri"/>
                <w:color w:val="2D3748"/>
                <w:sz w:val="18"/>
              </w:rPr>
              <w:t>Unplanned Downtime</w:t>
            </w:r>
          </w:p>
        </w:tc>
        <w:tc>
          <w:tcPr>
            <w:tcW w:w="2592" w:type="dxa"/>
            <w:shd w:val="clear" w:color="auto" w:fill="F7F9FC"/>
          </w:tcPr>
          <w:p w14:paraId="56BF4E01">
            <w:r>
              <w:rPr>
                <w:rFonts w:ascii="Calibri" w:hAnsi="Calibri"/>
                <w:color w:val="2D3748"/>
                <w:sz w:val="18"/>
              </w:rPr>
              <w:t>&lt; 43 min/month</w:t>
            </w:r>
          </w:p>
        </w:tc>
        <w:tc>
          <w:tcPr>
            <w:tcW w:w="3600" w:type="dxa"/>
            <w:shd w:val="clear" w:color="auto" w:fill="F7F9FC"/>
          </w:tcPr>
          <w:p w14:paraId="2D53C280">
            <w:r>
              <w:rPr>
                <w:rFonts w:ascii="Calibri" w:hAnsi="Calibri"/>
                <w:color w:val="2D3748"/>
                <w:sz w:val="18"/>
              </w:rPr>
              <w:t>Cumulative unplanned outage minutes</w:t>
            </w:r>
          </w:p>
        </w:tc>
        <w:tc>
          <w:tcPr>
            <w:tcW w:w="2160" w:type="dxa"/>
            <w:shd w:val="clear" w:color="auto" w:fill="F7F9FC"/>
          </w:tcPr>
          <w:p w14:paraId="79F699F7">
            <w:r>
              <w:rPr>
                <w:rFonts w:ascii="Calibri" w:hAnsi="Calibri"/>
                <w:color w:val="2D3748"/>
                <w:sz w:val="18"/>
              </w:rPr>
              <w:t>Covered under uptime SLA</w:t>
            </w:r>
          </w:p>
        </w:tc>
      </w:tr>
    </w:tbl>
    <w:p w14:paraId="16AAF41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9.2 Incident Response SLA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5"/>
        <w:gridCol w:w="2737"/>
        <w:gridCol w:w="1406"/>
        <w:gridCol w:w="1412"/>
        <w:gridCol w:w="2706"/>
      </w:tblGrid>
      <w:tr w14:paraId="30B6AC36">
        <w:trPr>
          <w:jc w:val="center"/>
        </w:trPr>
        <w:tc>
          <w:tcPr>
            <w:tcW w:w="1440" w:type="dxa"/>
            <w:shd w:val="clear" w:color="auto" w:fill="1B3A5C"/>
          </w:tcPr>
          <w:p w14:paraId="40DE38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w="2880" w:type="dxa"/>
            <w:shd w:val="clear" w:color="auto" w:fill="1B3A5C"/>
          </w:tcPr>
          <w:p w14:paraId="3A830F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w="1440" w:type="dxa"/>
            <w:shd w:val="clear" w:color="auto" w:fill="1B3A5C"/>
          </w:tcPr>
          <w:p w14:paraId="045D968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Time</w:t>
            </w:r>
          </w:p>
        </w:tc>
        <w:tc>
          <w:tcPr>
            <w:tcW w:w="1440" w:type="dxa"/>
            <w:shd w:val="clear" w:color="auto" w:fill="1B3A5C"/>
          </w:tcPr>
          <w:p w14:paraId="40411C8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 Time</w:t>
            </w:r>
          </w:p>
        </w:tc>
        <w:tc>
          <w:tcPr>
            <w:tcW w:w="2880" w:type="dxa"/>
            <w:shd w:val="clear" w:color="auto" w:fill="1B3A5C"/>
          </w:tcPr>
          <w:p w14:paraId="5DA44FB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Escalation</w:t>
            </w:r>
          </w:p>
        </w:tc>
      </w:tr>
      <w:tr w14:paraId="4E251162">
        <w:trPr>
          <w:jc w:val="center"/>
        </w:trPr>
        <w:tc>
          <w:tcPr>
            <w:tcW w:w="1440" w:type="dxa"/>
            <w:shd w:val="clear" w:color="auto" w:fill="F7F9FC"/>
          </w:tcPr>
          <w:p w14:paraId="090F27CA">
            <w:r>
              <w:rPr>
                <w:rFonts w:ascii="Calibri" w:hAnsi="Calibri"/>
                <w:color w:val="2D3748"/>
                <w:sz w:val="18"/>
              </w:rPr>
              <w:t>P1 — Critical</w:t>
            </w:r>
          </w:p>
        </w:tc>
        <w:tc>
          <w:tcPr>
            <w:tcW w:w="2880" w:type="dxa"/>
            <w:shd w:val="clear" w:color="auto" w:fill="F7F9FC"/>
          </w:tcPr>
          <w:p w14:paraId="3F9BD870">
            <w:r>
              <w:rPr>
                <w:rFonts w:ascii="Calibri" w:hAnsi="Calibri"/>
                <w:color w:val="2D3748"/>
                <w:sz w:val="18"/>
              </w:rPr>
              <w:t>Production down; data loss risk; all users affected</w:t>
            </w:r>
          </w:p>
        </w:tc>
        <w:tc>
          <w:tcPr>
            <w:tcW w:w="1440" w:type="dxa"/>
            <w:shd w:val="clear" w:color="auto" w:fill="F7F9FC"/>
          </w:tcPr>
          <w:p w14:paraId="0F0B3368">
            <w:r>
              <w:rPr>
                <w:rFonts w:ascii="Calibri" w:hAnsi="Calibri"/>
                <w:color w:val="2D3748"/>
                <w:sz w:val="18"/>
              </w:rPr>
              <w:t>15 minutes</w:t>
            </w:r>
          </w:p>
        </w:tc>
        <w:tc>
          <w:tcPr>
            <w:tcW w:w="1440" w:type="dxa"/>
            <w:shd w:val="clear" w:color="auto" w:fill="F7F9FC"/>
          </w:tcPr>
          <w:p w14:paraId="1C1BF98D">
            <w:r>
              <w:rPr>
                <w:rFonts w:ascii="Calibri" w:hAnsi="Calibri"/>
                <w:color w:val="2D3748"/>
                <w:sz w:val="18"/>
              </w:rPr>
              <w:t>4 hours</w:t>
            </w:r>
          </w:p>
        </w:tc>
        <w:tc>
          <w:tcPr>
            <w:tcW w:w="2880" w:type="dxa"/>
            <w:shd w:val="clear" w:color="auto" w:fill="F7F9FC"/>
          </w:tcPr>
          <w:p w14:paraId="3099AD5F">
            <w:r>
              <w:rPr>
                <w:rFonts w:ascii="Calibri" w:hAnsi="Calibri"/>
                <w:color w:val="2D3748"/>
                <w:sz w:val="18"/>
              </w:rPr>
              <w:t>Immediate: Delivery Lead + CTO</w:t>
            </w:r>
          </w:p>
        </w:tc>
      </w:tr>
      <w:tr w14:paraId="738F83BE">
        <w:trPr>
          <w:jc w:val="center"/>
        </w:trPr>
        <w:tc>
          <w:tcPr>
            <w:tcW w:w="1440" w:type="dxa"/>
            <w:shd w:val="clear" w:color="auto" w:fill="FFFFFF"/>
          </w:tcPr>
          <w:p w14:paraId="4F3BDE10">
            <w:r>
              <w:rPr>
                <w:rFonts w:ascii="Calibri" w:hAnsi="Calibri"/>
                <w:color w:val="2D3748"/>
                <w:sz w:val="18"/>
              </w:rPr>
              <w:t>P2 — High</w:t>
            </w:r>
          </w:p>
        </w:tc>
        <w:tc>
          <w:tcPr>
            <w:tcW w:w="2880" w:type="dxa"/>
            <w:shd w:val="clear" w:color="auto" w:fill="FFFFFF"/>
          </w:tcPr>
          <w:p w14:paraId="778DB82D">
            <w:r>
              <w:rPr>
                <w:rFonts w:ascii="Calibri" w:hAnsi="Calibri"/>
                <w:color w:val="2D3748"/>
                <w:sz w:val="18"/>
              </w:rPr>
              <w:t>Major feature unavailable; workaround exists</w:t>
            </w:r>
          </w:p>
        </w:tc>
        <w:tc>
          <w:tcPr>
            <w:tcW w:w="1440" w:type="dxa"/>
            <w:shd w:val="clear" w:color="auto" w:fill="FFFFFF"/>
          </w:tcPr>
          <w:p w14:paraId="05F8D4F7">
            <w:r>
              <w:rPr>
                <w:rFonts w:ascii="Calibri" w:hAnsi="Calibri"/>
                <w:color w:val="2D3748"/>
                <w:sz w:val="18"/>
              </w:rPr>
              <w:t>1 hour</w:t>
            </w:r>
          </w:p>
        </w:tc>
        <w:tc>
          <w:tcPr>
            <w:tcW w:w="1440" w:type="dxa"/>
            <w:shd w:val="clear" w:color="auto" w:fill="FFFFFF"/>
          </w:tcPr>
          <w:p w14:paraId="478BD9A4">
            <w:r>
              <w:rPr>
                <w:rFonts w:ascii="Calibri" w:hAnsi="Calibri"/>
                <w:color w:val="2D3748"/>
                <w:sz w:val="18"/>
              </w:rPr>
              <w:t>8 hours</w:t>
            </w:r>
          </w:p>
        </w:tc>
        <w:tc>
          <w:tcPr>
            <w:tcW w:w="2880" w:type="dxa"/>
            <w:shd w:val="clear" w:color="auto" w:fill="FFFFFF"/>
          </w:tcPr>
          <w:p w14:paraId="268FC558">
            <w:r>
              <w:rPr>
                <w:rFonts w:ascii="Calibri" w:hAnsi="Calibri"/>
                <w:color w:val="2D3748"/>
                <w:sz w:val="18"/>
              </w:rPr>
              <w:t>2h: Delivery Lead</w:t>
            </w:r>
          </w:p>
        </w:tc>
      </w:tr>
      <w:tr w14:paraId="4ABCC2AF">
        <w:trPr>
          <w:jc w:val="center"/>
        </w:trPr>
        <w:tc>
          <w:tcPr>
            <w:tcW w:w="1440" w:type="dxa"/>
            <w:shd w:val="clear" w:color="auto" w:fill="F7F9FC"/>
          </w:tcPr>
          <w:p w14:paraId="0710537F">
            <w:r>
              <w:rPr>
                <w:rFonts w:ascii="Calibri" w:hAnsi="Calibri"/>
                <w:color w:val="2D3748"/>
                <w:sz w:val="18"/>
              </w:rPr>
              <w:t>P3 — Medium</w:t>
            </w:r>
          </w:p>
        </w:tc>
        <w:tc>
          <w:tcPr>
            <w:tcW w:w="2880" w:type="dxa"/>
            <w:shd w:val="clear" w:color="auto" w:fill="F7F9FC"/>
          </w:tcPr>
          <w:p w14:paraId="5C5FB0B6">
            <w:r>
              <w:rPr>
                <w:rFonts w:ascii="Calibri" w:hAnsi="Calibri"/>
                <w:color w:val="2D3748"/>
                <w:sz w:val="18"/>
              </w:rPr>
              <w:t>Minor feature issue; cosmetic defects with impact</w:t>
            </w:r>
          </w:p>
        </w:tc>
        <w:tc>
          <w:tcPr>
            <w:tcW w:w="1440" w:type="dxa"/>
            <w:shd w:val="clear" w:color="auto" w:fill="F7F9FC"/>
          </w:tcPr>
          <w:p w14:paraId="7287F4E3">
            <w:r>
              <w:rPr>
                <w:rFonts w:ascii="Calibri" w:hAnsi="Calibri"/>
                <w:color w:val="2D3748"/>
                <w:sz w:val="18"/>
              </w:rPr>
              <w:t>4 hours</w:t>
            </w:r>
          </w:p>
        </w:tc>
        <w:tc>
          <w:tcPr>
            <w:tcW w:w="1440" w:type="dxa"/>
            <w:shd w:val="clear" w:color="auto" w:fill="F7F9FC"/>
          </w:tcPr>
          <w:p w14:paraId="5DD852AA">
            <w:r>
              <w:rPr>
                <w:rFonts w:ascii="Calibri" w:hAnsi="Calibri"/>
                <w:color w:val="2D3748"/>
                <w:sz w:val="18"/>
              </w:rPr>
              <w:t>3 business days</w:t>
            </w:r>
          </w:p>
        </w:tc>
        <w:tc>
          <w:tcPr>
            <w:tcW w:w="2880" w:type="dxa"/>
            <w:shd w:val="clear" w:color="auto" w:fill="F7F9FC"/>
          </w:tcPr>
          <w:p w14:paraId="7A76EFC2">
            <w:r>
              <w:rPr>
                <w:rFonts w:ascii="Calibri" w:hAnsi="Calibri"/>
                <w:color w:val="2D3748"/>
                <w:sz w:val="18"/>
              </w:rPr>
              <w:t>24h: Tech Lead</w:t>
            </w:r>
          </w:p>
        </w:tc>
      </w:tr>
      <w:tr w14:paraId="79D89963">
        <w:trPr>
          <w:jc w:val="center"/>
        </w:trPr>
        <w:tc>
          <w:tcPr>
            <w:tcW w:w="1440" w:type="dxa"/>
            <w:shd w:val="clear" w:color="auto" w:fill="FFFFFF"/>
          </w:tcPr>
          <w:p w14:paraId="03FCD8E1">
            <w:r>
              <w:rPr>
                <w:rFonts w:ascii="Calibri" w:hAnsi="Calibri"/>
                <w:color w:val="2D3748"/>
                <w:sz w:val="18"/>
              </w:rPr>
              <w:t>P4 — Low</w:t>
            </w:r>
          </w:p>
        </w:tc>
        <w:tc>
          <w:tcPr>
            <w:tcW w:w="2880" w:type="dxa"/>
            <w:shd w:val="clear" w:color="auto" w:fill="FFFFFF"/>
          </w:tcPr>
          <w:p w14:paraId="036423D0">
            <w:r>
              <w:rPr>
                <w:rFonts w:ascii="Calibri" w:hAnsi="Calibri"/>
                <w:color w:val="2D3748"/>
                <w:sz w:val="18"/>
              </w:rPr>
              <w:t>Enhancement request; cosmetic issue; documentation</w:t>
            </w:r>
          </w:p>
        </w:tc>
        <w:tc>
          <w:tcPr>
            <w:tcW w:w="1440" w:type="dxa"/>
            <w:shd w:val="clear" w:color="auto" w:fill="FFFFFF"/>
          </w:tcPr>
          <w:p w14:paraId="1B8A9B49">
            <w:r>
              <w:rPr>
                <w:rFonts w:ascii="Calibri" w:hAnsi="Calibri"/>
                <w:color w:val="2D3748"/>
                <w:sz w:val="18"/>
              </w:rPr>
              <w:t>1 business day</w:t>
            </w:r>
          </w:p>
        </w:tc>
        <w:tc>
          <w:tcPr>
            <w:tcW w:w="1440" w:type="dxa"/>
            <w:shd w:val="clear" w:color="auto" w:fill="FFFFFF"/>
          </w:tcPr>
          <w:p w14:paraId="4E42A1A5">
            <w:r>
              <w:rPr>
                <w:rFonts w:ascii="Calibri" w:hAnsi="Calibri"/>
                <w:color w:val="2D3748"/>
                <w:sz w:val="18"/>
              </w:rPr>
              <w:t>Next sprint</w:t>
            </w:r>
          </w:p>
        </w:tc>
        <w:tc>
          <w:tcPr>
            <w:tcW w:w="2880" w:type="dxa"/>
            <w:shd w:val="clear" w:color="auto" w:fill="FFFFFF"/>
          </w:tcPr>
          <w:p w14:paraId="72BD29DA">
            <w:r>
              <w:rPr>
                <w:rFonts w:ascii="Calibri" w:hAnsi="Calibri"/>
                <w:color w:val="2D3748"/>
                <w:sz w:val="18"/>
              </w:rPr>
              <w:t>Standard backlog grooming</w:t>
            </w:r>
          </w:p>
        </w:tc>
      </w:tr>
    </w:tbl>
    <w:p w14:paraId="3A9DD701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9.3 Performance SLA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31"/>
        <w:gridCol w:w="2741"/>
        <w:gridCol w:w="3474"/>
      </w:tblGrid>
      <w:tr w14:paraId="156F8C49">
        <w:trPr>
          <w:jc w:val="center"/>
        </w:trPr>
        <w:tc>
          <w:tcPr>
            <w:tcW w:w="3600" w:type="dxa"/>
            <w:shd w:val="clear" w:color="auto" w:fill="1B3A5C"/>
          </w:tcPr>
          <w:p w14:paraId="5A97688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2880" w:type="dxa"/>
            <w:shd w:val="clear" w:color="auto" w:fill="1B3A5C"/>
          </w:tcPr>
          <w:p w14:paraId="4BF7ABA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3600" w:type="dxa"/>
            <w:shd w:val="clear" w:color="auto" w:fill="1B3A5C"/>
          </w:tcPr>
          <w:p w14:paraId="096F7C0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 Tool</w:t>
            </w:r>
          </w:p>
        </w:tc>
      </w:tr>
      <w:tr w14:paraId="6C785EE8">
        <w:trPr>
          <w:jc w:val="center"/>
        </w:trPr>
        <w:tc>
          <w:tcPr>
            <w:tcW w:w="3600" w:type="dxa"/>
            <w:shd w:val="clear" w:color="auto" w:fill="F7F9FC"/>
          </w:tcPr>
          <w:p w14:paraId="488C17F7">
            <w:r>
              <w:rPr>
                <w:rFonts w:ascii="Calibri" w:hAnsi="Calibri"/>
                <w:color w:val="2D3748"/>
                <w:sz w:val="18"/>
              </w:rPr>
              <w:t>API Response Time (P50)</w:t>
            </w:r>
          </w:p>
        </w:tc>
        <w:tc>
          <w:tcPr>
            <w:tcW w:w="2880" w:type="dxa"/>
            <w:shd w:val="clear" w:color="auto" w:fill="F7F9FC"/>
          </w:tcPr>
          <w:p w14:paraId="413963F0">
            <w:r>
              <w:rPr>
                <w:rFonts w:ascii="Calibri" w:hAnsi="Calibri"/>
                <w:color w:val="2D3748"/>
                <w:sz w:val="18"/>
              </w:rPr>
              <w:t>&lt; 200ms</w:t>
            </w:r>
          </w:p>
        </w:tc>
        <w:tc>
          <w:tcPr>
            <w:tcW w:w="3600" w:type="dxa"/>
            <w:shd w:val="clear" w:color="auto" w:fill="F7F9FC"/>
          </w:tcPr>
          <w:p w14:paraId="51F7809E">
            <w:r>
              <w:rPr>
                <w:rFonts w:ascii="Calibri" w:hAnsi="Calibri"/>
                <w:color w:val="2D3748"/>
                <w:sz w:val="18"/>
              </w:rPr>
              <w:t>APM (Datadog/New Relic)</w:t>
            </w:r>
          </w:p>
        </w:tc>
      </w:tr>
      <w:tr w14:paraId="17D54129">
        <w:trPr>
          <w:jc w:val="center"/>
        </w:trPr>
        <w:tc>
          <w:tcPr>
            <w:tcW w:w="3600" w:type="dxa"/>
            <w:shd w:val="clear" w:color="auto" w:fill="FFFFFF"/>
          </w:tcPr>
          <w:p w14:paraId="3B8C22B6">
            <w:r>
              <w:rPr>
                <w:rFonts w:ascii="Calibri" w:hAnsi="Calibri"/>
                <w:color w:val="2D3748"/>
                <w:sz w:val="18"/>
              </w:rPr>
              <w:t>API Response Time (P95)</w:t>
            </w:r>
          </w:p>
        </w:tc>
        <w:tc>
          <w:tcPr>
            <w:tcW w:w="2880" w:type="dxa"/>
            <w:shd w:val="clear" w:color="auto" w:fill="FFFFFF"/>
          </w:tcPr>
          <w:p w14:paraId="7989F63A">
            <w:r>
              <w:rPr>
                <w:rFonts w:ascii="Calibri" w:hAnsi="Calibri"/>
                <w:color w:val="2D3748"/>
                <w:sz w:val="18"/>
              </w:rPr>
              <w:t>&lt; 500ms</w:t>
            </w:r>
          </w:p>
        </w:tc>
        <w:tc>
          <w:tcPr>
            <w:tcW w:w="3600" w:type="dxa"/>
            <w:shd w:val="clear" w:color="auto" w:fill="FFFFFF"/>
          </w:tcPr>
          <w:p w14:paraId="4631FEE8">
            <w:r>
              <w:rPr>
                <w:rFonts w:ascii="Calibri" w:hAnsi="Calibri"/>
                <w:color w:val="2D3748"/>
                <w:sz w:val="18"/>
              </w:rPr>
              <w:t>APM (Datadog/New Relic)</w:t>
            </w:r>
          </w:p>
        </w:tc>
      </w:tr>
      <w:tr w14:paraId="6D2D510E">
        <w:trPr>
          <w:jc w:val="center"/>
        </w:trPr>
        <w:tc>
          <w:tcPr>
            <w:tcW w:w="3600" w:type="dxa"/>
            <w:shd w:val="clear" w:color="auto" w:fill="F7F9FC"/>
          </w:tcPr>
          <w:p w14:paraId="03406D46">
            <w:r>
              <w:rPr>
                <w:rFonts w:ascii="Calibri" w:hAnsi="Calibri"/>
                <w:color w:val="2D3748"/>
                <w:sz w:val="18"/>
              </w:rPr>
              <w:t>API Response Time (P99)</w:t>
            </w:r>
          </w:p>
        </w:tc>
        <w:tc>
          <w:tcPr>
            <w:tcW w:w="2880" w:type="dxa"/>
            <w:shd w:val="clear" w:color="auto" w:fill="F7F9FC"/>
          </w:tcPr>
          <w:p w14:paraId="037CA022">
            <w:r>
              <w:rPr>
                <w:rFonts w:ascii="Calibri" w:hAnsi="Calibri"/>
                <w:color w:val="2D3748"/>
                <w:sz w:val="18"/>
              </w:rPr>
              <w:t>&lt; 1000ms</w:t>
            </w:r>
          </w:p>
        </w:tc>
        <w:tc>
          <w:tcPr>
            <w:tcW w:w="3600" w:type="dxa"/>
            <w:shd w:val="clear" w:color="auto" w:fill="F7F9FC"/>
          </w:tcPr>
          <w:p w14:paraId="5BD28177">
            <w:r>
              <w:rPr>
                <w:rFonts w:ascii="Calibri" w:hAnsi="Calibri"/>
                <w:color w:val="2D3748"/>
                <w:sz w:val="18"/>
              </w:rPr>
              <w:t>APM (Datadog/New Relic)</w:t>
            </w:r>
          </w:p>
        </w:tc>
      </w:tr>
      <w:tr w14:paraId="58B482BC">
        <w:trPr>
          <w:jc w:val="center"/>
        </w:trPr>
        <w:tc>
          <w:tcPr>
            <w:tcW w:w="3600" w:type="dxa"/>
            <w:shd w:val="clear" w:color="auto" w:fill="FFFFFF"/>
          </w:tcPr>
          <w:p w14:paraId="6D76221B">
            <w:r>
              <w:rPr>
                <w:rFonts w:ascii="Calibri" w:hAnsi="Calibri"/>
                <w:color w:val="2D3748"/>
                <w:sz w:val="18"/>
              </w:rPr>
              <w:t>Page Load Time (First Contentful Paint)</w:t>
            </w:r>
          </w:p>
        </w:tc>
        <w:tc>
          <w:tcPr>
            <w:tcW w:w="2880" w:type="dxa"/>
            <w:shd w:val="clear" w:color="auto" w:fill="FFFFFF"/>
          </w:tcPr>
          <w:p w14:paraId="78EAC562">
            <w:r>
              <w:rPr>
                <w:rFonts w:ascii="Calibri" w:hAnsi="Calibri"/>
                <w:color w:val="2D3748"/>
                <w:sz w:val="18"/>
              </w:rPr>
              <w:t>&lt; 2 seconds</w:t>
            </w:r>
          </w:p>
        </w:tc>
        <w:tc>
          <w:tcPr>
            <w:tcW w:w="3600" w:type="dxa"/>
            <w:shd w:val="clear" w:color="auto" w:fill="FFFFFF"/>
          </w:tcPr>
          <w:p w14:paraId="7618EC73">
            <w:r>
              <w:rPr>
                <w:rFonts w:ascii="Calibri" w:hAnsi="Calibri"/>
                <w:color w:val="2D3748"/>
                <w:sz w:val="18"/>
              </w:rPr>
              <w:t>Lighthouse / Web Vitals</w:t>
            </w:r>
          </w:p>
        </w:tc>
      </w:tr>
      <w:tr w14:paraId="561078F0">
        <w:trPr>
          <w:jc w:val="center"/>
        </w:trPr>
        <w:tc>
          <w:tcPr>
            <w:tcW w:w="3600" w:type="dxa"/>
            <w:shd w:val="clear" w:color="auto" w:fill="F7F9FC"/>
          </w:tcPr>
          <w:p w14:paraId="0152C4DE">
            <w:r>
              <w:rPr>
                <w:rFonts w:ascii="Calibri" w:hAnsi="Calibri"/>
                <w:color w:val="2D3748"/>
                <w:sz w:val="18"/>
              </w:rPr>
              <w:t>Kafka Event Propagation (end-to-end)</w:t>
            </w:r>
          </w:p>
        </w:tc>
        <w:tc>
          <w:tcPr>
            <w:tcW w:w="2880" w:type="dxa"/>
            <w:shd w:val="clear" w:color="auto" w:fill="F7F9FC"/>
          </w:tcPr>
          <w:p w14:paraId="07D34018">
            <w:r>
              <w:rPr>
                <w:rFonts w:ascii="Calibri" w:hAnsi="Calibri"/>
                <w:color w:val="2D3748"/>
                <w:sz w:val="18"/>
              </w:rPr>
              <w:t>&lt; 2 seconds</w:t>
            </w:r>
          </w:p>
        </w:tc>
        <w:tc>
          <w:tcPr>
            <w:tcW w:w="3600" w:type="dxa"/>
            <w:shd w:val="clear" w:color="auto" w:fill="F7F9FC"/>
          </w:tcPr>
          <w:p w14:paraId="1F78EF19">
            <w:r>
              <w:rPr>
                <w:rFonts w:ascii="Calibri" w:hAnsi="Calibri"/>
                <w:color w:val="2D3748"/>
                <w:sz w:val="18"/>
              </w:rPr>
              <w:t>Custom Prometheus metrics</w:t>
            </w:r>
          </w:p>
        </w:tc>
      </w:tr>
      <w:tr w14:paraId="17AABE81">
        <w:trPr>
          <w:jc w:val="center"/>
        </w:trPr>
        <w:tc>
          <w:tcPr>
            <w:tcW w:w="3600" w:type="dxa"/>
            <w:shd w:val="clear" w:color="auto" w:fill="FFFFFF"/>
          </w:tcPr>
          <w:p w14:paraId="247AA768">
            <w:r>
              <w:rPr>
                <w:rFonts w:ascii="Calibri" w:hAnsi="Calibri"/>
                <w:color w:val="2D3748"/>
                <w:sz w:val="18"/>
              </w:rPr>
              <w:t>Database Query Time (P95)</w:t>
            </w:r>
          </w:p>
        </w:tc>
        <w:tc>
          <w:tcPr>
            <w:tcW w:w="2880" w:type="dxa"/>
            <w:shd w:val="clear" w:color="auto" w:fill="FFFFFF"/>
          </w:tcPr>
          <w:p w14:paraId="6646EA06">
            <w:r>
              <w:rPr>
                <w:rFonts w:ascii="Calibri" w:hAnsi="Calibri"/>
                <w:color w:val="2D3748"/>
                <w:sz w:val="18"/>
              </w:rPr>
              <w:t>&lt; 100ms</w:t>
            </w:r>
          </w:p>
        </w:tc>
        <w:tc>
          <w:tcPr>
            <w:tcW w:w="3600" w:type="dxa"/>
            <w:shd w:val="clear" w:color="auto" w:fill="FFFFFF"/>
          </w:tcPr>
          <w:p w14:paraId="5AA32BD4">
            <w:r>
              <w:rPr>
                <w:rFonts w:ascii="Calibri" w:hAnsi="Calibri"/>
                <w:color w:val="2D3748"/>
                <w:sz w:val="18"/>
              </w:rPr>
              <w:t>PostgreSQL pg_stat_statements</w:t>
            </w:r>
          </w:p>
        </w:tc>
      </w:tr>
      <w:tr w14:paraId="592F5A9C">
        <w:trPr>
          <w:jc w:val="center"/>
        </w:trPr>
        <w:tc>
          <w:tcPr>
            <w:tcW w:w="3600" w:type="dxa"/>
            <w:shd w:val="clear" w:color="auto" w:fill="F7F9FC"/>
          </w:tcPr>
          <w:p w14:paraId="39FB4706">
            <w:r>
              <w:rPr>
                <w:rFonts w:ascii="Calibri" w:hAnsi="Calibri"/>
                <w:color w:val="2D3748"/>
                <w:sz w:val="18"/>
              </w:rPr>
              <w:t>Concurrent Users Supported</w:t>
            </w:r>
          </w:p>
        </w:tc>
        <w:tc>
          <w:tcPr>
            <w:tcW w:w="2880" w:type="dxa"/>
            <w:shd w:val="clear" w:color="auto" w:fill="F7F9FC"/>
          </w:tcPr>
          <w:p w14:paraId="06D94C54">
            <w:r>
              <w:rPr>
                <w:rFonts w:ascii="Calibri" w:hAnsi="Calibri"/>
                <w:color w:val="2D3748"/>
                <w:sz w:val="18"/>
              </w:rPr>
              <w:t>500+ per tenant</w:t>
            </w:r>
          </w:p>
        </w:tc>
        <w:tc>
          <w:tcPr>
            <w:tcW w:w="3600" w:type="dxa"/>
            <w:shd w:val="clear" w:color="auto" w:fill="F7F9FC"/>
          </w:tcPr>
          <w:p w14:paraId="1547F5CE">
            <w:r>
              <w:rPr>
                <w:rFonts w:ascii="Calibri" w:hAnsi="Calibri"/>
                <w:color w:val="2D3748"/>
                <w:sz w:val="18"/>
              </w:rPr>
              <w:t>Load testing (k6/JMeter)</w:t>
            </w:r>
          </w:p>
        </w:tc>
      </w:tr>
      <w:tr w14:paraId="2620C284">
        <w:trPr>
          <w:jc w:val="center"/>
        </w:trPr>
        <w:tc>
          <w:tcPr>
            <w:tcW w:w="3600" w:type="dxa"/>
            <w:shd w:val="clear" w:color="auto" w:fill="FFFFFF"/>
          </w:tcPr>
          <w:p w14:paraId="522A680F">
            <w:r>
              <w:rPr>
                <w:rFonts w:ascii="Calibri" w:hAnsi="Calibri"/>
                <w:color w:val="2D3748"/>
                <w:sz w:val="18"/>
              </w:rPr>
              <w:t>Bulk Report Generation</w:t>
            </w:r>
          </w:p>
        </w:tc>
        <w:tc>
          <w:tcPr>
            <w:tcW w:w="2880" w:type="dxa"/>
            <w:shd w:val="clear" w:color="auto" w:fill="FFFFFF"/>
          </w:tcPr>
          <w:p w14:paraId="596F8DA3">
            <w:r>
              <w:rPr>
                <w:rFonts w:ascii="Calibri" w:hAnsi="Calibri"/>
                <w:color w:val="2D3748"/>
                <w:sz w:val="18"/>
              </w:rPr>
              <w:t>&lt; 30 seconds for 10K records</w:t>
            </w:r>
          </w:p>
        </w:tc>
        <w:tc>
          <w:tcPr>
            <w:tcW w:w="3600" w:type="dxa"/>
            <w:shd w:val="clear" w:color="auto" w:fill="FFFFFF"/>
          </w:tcPr>
          <w:p w14:paraId="6BFD90AE">
            <w:r>
              <w:rPr>
                <w:rFonts w:ascii="Calibri" w:hAnsi="Calibri"/>
                <w:color w:val="2D3748"/>
                <w:sz w:val="18"/>
              </w:rPr>
              <w:t>Application metrics</w:t>
            </w:r>
          </w:p>
        </w:tc>
      </w:tr>
    </w:tbl>
    <w:p w14:paraId="1DB58D74">
      <w:r>
        <w:br w:type="page"/>
      </w:r>
    </w:p>
    <w:p w14:paraId="3FCAC384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10. Project Governance &amp; Team Structure</w:t>
      </w:r>
    </w:p>
    <w:p w14:paraId="6C1C150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10.1 Governance Model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6"/>
        <w:gridCol w:w="1380"/>
        <w:gridCol w:w="2554"/>
        <w:gridCol w:w="3716"/>
      </w:tblGrid>
      <w:tr w14:paraId="614373AD">
        <w:trPr>
          <w:jc w:val="center"/>
        </w:trPr>
        <w:tc>
          <w:tcPr>
            <w:tcW w:w="2160" w:type="dxa"/>
            <w:shd w:val="clear" w:color="auto" w:fill="1B3A5C"/>
          </w:tcPr>
          <w:p w14:paraId="0BE1C4D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Forum</w:t>
            </w:r>
          </w:p>
        </w:tc>
        <w:tc>
          <w:tcPr>
            <w:tcW w:w="1440" w:type="dxa"/>
            <w:shd w:val="clear" w:color="auto" w:fill="1B3A5C"/>
          </w:tcPr>
          <w:p w14:paraId="3E29A6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w="2880" w:type="dxa"/>
            <w:shd w:val="clear" w:color="auto" w:fill="1B3A5C"/>
          </w:tcPr>
          <w:p w14:paraId="229C5F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Participants</w:t>
            </w:r>
          </w:p>
        </w:tc>
        <w:tc>
          <w:tcPr>
            <w:tcW w:w="4320" w:type="dxa"/>
            <w:shd w:val="clear" w:color="auto" w:fill="1B3A5C"/>
          </w:tcPr>
          <w:p w14:paraId="54DB92E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 w14:paraId="05A7B5A4">
        <w:trPr>
          <w:jc w:val="center"/>
        </w:trPr>
        <w:tc>
          <w:tcPr>
            <w:tcW w:w="2160" w:type="dxa"/>
            <w:shd w:val="clear" w:color="auto" w:fill="F7F9FC"/>
          </w:tcPr>
          <w:p w14:paraId="6199CD42">
            <w:r>
              <w:rPr>
                <w:rFonts w:ascii="Calibri" w:hAnsi="Calibri"/>
                <w:color w:val="2D3748"/>
                <w:sz w:val="18"/>
              </w:rPr>
              <w:t>Daily Standup</w:t>
            </w:r>
          </w:p>
        </w:tc>
        <w:tc>
          <w:tcPr>
            <w:tcW w:w="1440" w:type="dxa"/>
            <w:shd w:val="clear" w:color="auto" w:fill="F7F9FC"/>
          </w:tcPr>
          <w:p w14:paraId="280108D9">
            <w:r>
              <w:rPr>
                <w:rFonts w:ascii="Calibri" w:hAnsi="Calibri"/>
                <w:color w:val="2D3748"/>
                <w:sz w:val="18"/>
              </w:rPr>
              <w:t>Daily (15 min)</w:t>
            </w:r>
          </w:p>
        </w:tc>
        <w:tc>
          <w:tcPr>
            <w:tcW w:w="2880" w:type="dxa"/>
            <w:shd w:val="clear" w:color="auto" w:fill="F7F9FC"/>
          </w:tcPr>
          <w:p w14:paraId="0FFA6742">
            <w:r>
              <w:rPr>
                <w:rFonts w:ascii="Calibri" w:hAnsi="Calibri"/>
                <w:color w:val="2D3748"/>
                <w:sz w:val="18"/>
              </w:rPr>
              <w:t>Dev team + Scrum Master</w:t>
            </w:r>
          </w:p>
        </w:tc>
        <w:tc>
          <w:tcPr>
            <w:tcW w:w="4320" w:type="dxa"/>
            <w:shd w:val="clear" w:color="auto" w:fill="F7F9FC"/>
          </w:tcPr>
          <w:p w14:paraId="0EB19312">
            <w:r>
              <w:rPr>
                <w:rFonts w:ascii="Calibri" w:hAnsi="Calibri"/>
                <w:color w:val="2D3748"/>
                <w:sz w:val="18"/>
              </w:rPr>
              <w:t>Progress, blockers, daily plan</w:t>
            </w:r>
          </w:p>
        </w:tc>
      </w:tr>
      <w:tr w14:paraId="2B6CB0D5">
        <w:trPr>
          <w:jc w:val="center"/>
        </w:trPr>
        <w:tc>
          <w:tcPr>
            <w:tcW w:w="2160" w:type="dxa"/>
            <w:shd w:val="clear" w:color="auto" w:fill="FFFFFF"/>
          </w:tcPr>
          <w:p w14:paraId="1420D26C">
            <w:r>
              <w:rPr>
                <w:rFonts w:ascii="Calibri" w:hAnsi="Calibri"/>
                <w:color w:val="2D3748"/>
                <w:sz w:val="18"/>
              </w:rPr>
              <w:t>Sprint Demo</w:t>
            </w:r>
          </w:p>
        </w:tc>
        <w:tc>
          <w:tcPr>
            <w:tcW w:w="1440" w:type="dxa"/>
            <w:shd w:val="clear" w:color="auto" w:fill="FFFFFF"/>
          </w:tcPr>
          <w:p w14:paraId="77D50146">
            <w:r>
              <w:rPr>
                <w:rFonts w:ascii="Calibri" w:hAnsi="Calibri"/>
                <w:color w:val="2D3748"/>
                <w:sz w:val="18"/>
              </w:rPr>
              <w:t>Bi-weekly</w:t>
            </w:r>
          </w:p>
        </w:tc>
        <w:tc>
          <w:tcPr>
            <w:tcW w:w="2880" w:type="dxa"/>
            <w:shd w:val="clear" w:color="auto" w:fill="FFFFFF"/>
          </w:tcPr>
          <w:p w14:paraId="69B95B8F">
            <w:r>
              <w:rPr>
                <w:rFonts w:ascii="Calibri" w:hAnsi="Calibri"/>
                <w:color w:val="2D3748"/>
                <w:sz w:val="18"/>
              </w:rPr>
              <w:t>Full team + Client SPOC</w:t>
            </w:r>
          </w:p>
        </w:tc>
        <w:tc>
          <w:tcPr>
            <w:tcW w:w="4320" w:type="dxa"/>
            <w:shd w:val="clear" w:color="auto" w:fill="FFFFFF"/>
          </w:tcPr>
          <w:p w14:paraId="6CB7DD92">
            <w:r>
              <w:rPr>
                <w:rFonts w:ascii="Calibri" w:hAnsi="Calibri"/>
                <w:color w:val="2D3748"/>
                <w:sz w:val="18"/>
              </w:rPr>
              <w:t>Demonstrate completed features; gather feedback</w:t>
            </w:r>
          </w:p>
        </w:tc>
      </w:tr>
      <w:tr w14:paraId="37FFF09E">
        <w:trPr>
          <w:jc w:val="center"/>
        </w:trPr>
        <w:tc>
          <w:tcPr>
            <w:tcW w:w="2160" w:type="dxa"/>
            <w:shd w:val="clear" w:color="auto" w:fill="F7F9FC"/>
          </w:tcPr>
          <w:p w14:paraId="1973A336">
            <w:r>
              <w:rPr>
                <w:rFonts w:ascii="Calibri" w:hAnsi="Calibri"/>
                <w:color w:val="2D3748"/>
                <w:sz w:val="18"/>
              </w:rPr>
              <w:t>Sprint Retrospective</w:t>
            </w:r>
          </w:p>
        </w:tc>
        <w:tc>
          <w:tcPr>
            <w:tcW w:w="1440" w:type="dxa"/>
            <w:shd w:val="clear" w:color="auto" w:fill="F7F9FC"/>
          </w:tcPr>
          <w:p w14:paraId="1B42935A">
            <w:r>
              <w:rPr>
                <w:rFonts w:ascii="Calibri" w:hAnsi="Calibri"/>
                <w:color w:val="2D3748"/>
                <w:sz w:val="18"/>
              </w:rPr>
              <w:t>Bi-weekly</w:t>
            </w:r>
          </w:p>
        </w:tc>
        <w:tc>
          <w:tcPr>
            <w:tcW w:w="2880" w:type="dxa"/>
            <w:shd w:val="clear" w:color="auto" w:fill="F7F9FC"/>
          </w:tcPr>
          <w:p w14:paraId="13390BA0">
            <w:r>
              <w:rPr>
                <w:rFonts w:ascii="Calibri" w:hAnsi="Calibri"/>
                <w:color w:val="2D3748"/>
                <w:sz w:val="18"/>
              </w:rPr>
              <w:t>Dev team + Scrum Master</w:t>
            </w:r>
          </w:p>
        </w:tc>
        <w:tc>
          <w:tcPr>
            <w:tcW w:w="4320" w:type="dxa"/>
            <w:shd w:val="clear" w:color="auto" w:fill="F7F9FC"/>
          </w:tcPr>
          <w:p w14:paraId="5A3794D4">
            <w:r>
              <w:rPr>
                <w:rFonts w:ascii="Calibri" w:hAnsi="Calibri"/>
                <w:color w:val="2D3748"/>
                <w:sz w:val="18"/>
              </w:rPr>
              <w:t>Process improvement; lessons learned</w:t>
            </w:r>
          </w:p>
        </w:tc>
      </w:tr>
      <w:tr w14:paraId="1AFEEDE3">
        <w:trPr>
          <w:jc w:val="center"/>
        </w:trPr>
        <w:tc>
          <w:tcPr>
            <w:tcW w:w="2160" w:type="dxa"/>
            <w:shd w:val="clear" w:color="auto" w:fill="FFFFFF"/>
          </w:tcPr>
          <w:p w14:paraId="6C8DEFB9">
            <w:r>
              <w:rPr>
                <w:rFonts w:ascii="Calibri" w:hAnsi="Calibri"/>
                <w:color w:val="2D3748"/>
                <w:sz w:val="18"/>
              </w:rPr>
              <w:t>Steering Committee</w:t>
            </w:r>
          </w:p>
        </w:tc>
        <w:tc>
          <w:tcPr>
            <w:tcW w:w="1440" w:type="dxa"/>
            <w:shd w:val="clear" w:color="auto" w:fill="FFFFFF"/>
          </w:tcPr>
          <w:p w14:paraId="6545A733">
            <w:r>
              <w:rPr>
                <w:rFonts w:ascii="Calibri" w:hAnsi="Calibri"/>
                <w:color w:val="2D3748"/>
                <w:sz w:val="18"/>
              </w:rPr>
              <w:t>Monthly</w:t>
            </w:r>
          </w:p>
        </w:tc>
        <w:tc>
          <w:tcPr>
            <w:tcW w:w="2880" w:type="dxa"/>
            <w:shd w:val="clear" w:color="auto" w:fill="FFFFFF"/>
          </w:tcPr>
          <w:p w14:paraId="02889C3F">
            <w:r>
              <w:rPr>
                <w:rFonts w:ascii="Calibri" w:hAnsi="Calibri"/>
                <w:color w:val="2D3748"/>
                <w:sz w:val="18"/>
              </w:rPr>
              <w:t>Client Sponsor + CTO + Delivery Lead</w:t>
            </w:r>
          </w:p>
        </w:tc>
        <w:tc>
          <w:tcPr>
            <w:tcW w:w="4320" w:type="dxa"/>
            <w:shd w:val="clear" w:color="auto" w:fill="FFFFFF"/>
          </w:tcPr>
          <w:p w14:paraId="7B2929EB">
            <w:r>
              <w:rPr>
                <w:rFonts w:ascii="Calibri" w:hAnsi="Calibri"/>
                <w:color w:val="2D3748"/>
                <w:sz w:val="18"/>
              </w:rPr>
              <w:t>Budget, timeline, scope decisions; risk escalation</w:t>
            </w:r>
          </w:p>
        </w:tc>
      </w:tr>
      <w:tr w14:paraId="6064AC7A">
        <w:trPr>
          <w:jc w:val="center"/>
        </w:trPr>
        <w:tc>
          <w:tcPr>
            <w:tcW w:w="2160" w:type="dxa"/>
            <w:shd w:val="clear" w:color="auto" w:fill="F7F9FC"/>
          </w:tcPr>
          <w:p w14:paraId="7EEA533D">
            <w:r>
              <w:rPr>
                <w:rFonts w:ascii="Calibri" w:hAnsi="Calibri"/>
                <w:color w:val="2D3748"/>
                <w:sz w:val="18"/>
              </w:rPr>
              <w:t>Architecture Review</w:t>
            </w:r>
          </w:p>
        </w:tc>
        <w:tc>
          <w:tcPr>
            <w:tcW w:w="1440" w:type="dxa"/>
            <w:shd w:val="clear" w:color="auto" w:fill="F7F9FC"/>
          </w:tcPr>
          <w:p w14:paraId="2A699EF5">
            <w:r>
              <w:rPr>
                <w:rFonts w:ascii="Calibri" w:hAnsi="Calibri"/>
                <w:color w:val="2D3748"/>
                <w:sz w:val="18"/>
              </w:rPr>
              <w:t>As needed</w:t>
            </w:r>
          </w:p>
        </w:tc>
        <w:tc>
          <w:tcPr>
            <w:tcW w:w="2880" w:type="dxa"/>
            <w:shd w:val="clear" w:color="auto" w:fill="F7F9FC"/>
          </w:tcPr>
          <w:p w14:paraId="4BB8AE6B">
            <w:r>
              <w:rPr>
                <w:rFonts w:ascii="Calibri" w:hAnsi="Calibri"/>
                <w:color w:val="2D3748"/>
                <w:sz w:val="18"/>
              </w:rPr>
              <w:t>Solution Architect + Tech Leads</w:t>
            </w:r>
          </w:p>
        </w:tc>
        <w:tc>
          <w:tcPr>
            <w:tcW w:w="4320" w:type="dxa"/>
            <w:shd w:val="clear" w:color="auto" w:fill="F7F9FC"/>
          </w:tcPr>
          <w:p w14:paraId="4298EFA0">
            <w:r>
              <w:rPr>
                <w:rFonts w:ascii="Calibri" w:hAnsi="Calibri"/>
                <w:color w:val="2D3748"/>
                <w:sz w:val="18"/>
              </w:rPr>
              <w:t>Technical design decisions; pattern approvals</w:t>
            </w:r>
          </w:p>
        </w:tc>
      </w:tr>
      <w:tr w14:paraId="167B37B5">
        <w:trPr>
          <w:jc w:val="center"/>
        </w:trPr>
        <w:tc>
          <w:tcPr>
            <w:tcW w:w="2160" w:type="dxa"/>
            <w:shd w:val="clear" w:color="auto" w:fill="FFFFFF"/>
          </w:tcPr>
          <w:p w14:paraId="4FF2E0D5">
            <w:r>
              <w:rPr>
                <w:rFonts w:ascii="Calibri" w:hAnsi="Calibri"/>
                <w:color w:val="2D3748"/>
                <w:sz w:val="18"/>
              </w:rPr>
              <w:t>Change Control Board</w:t>
            </w:r>
          </w:p>
        </w:tc>
        <w:tc>
          <w:tcPr>
            <w:tcW w:w="1440" w:type="dxa"/>
            <w:shd w:val="clear" w:color="auto" w:fill="FFFFFF"/>
          </w:tcPr>
          <w:p w14:paraId="15BCC6EB">
            <w:r>
              <w:rPr>
                <w:rFonts w:ascii="Calibri" w:hAnsi="Calibri"/>
                <w:color w:val="2D3748"/>
                <w:sz w:val="18"/>
              </w:rPr>
              <w:t>As needed</w:t>
            </w:r>
          </w:p>
        </w:tc>
        <w:tc>
          <w:tcPr>
            <w:tcW w:w="2880" w:type="dxa"/>
            <w:shd w:val="clear" w:color="auto" w:fill="FFFFFF"/>
          </w:tcPr>
          <w:p w14:paraId="105BCCBE">
            <w:r>
              <w:rPr>
                <w:rFonts w:ascii="Calibri" w:hAnsi="Calibri"/>
                <w:color w:val="2D3748"/>
                <w:sz w:val="18"/>
              </w:rPr>
              <w:t>Client PM + TGWT PM + Tech Lead</w:t>
            </w:r>
          </w:p>
        </w:tc>
        <w:tc>
          <w:tcPr>
            <w:tcW w:w="4320" w:type="dxa"/>
            <w:shd w:val="clear" w:color="auto" w:fill="FFFFFF"/>
          </w:tcPr>
          <w:p w14:paraId="17F66686">
            <w:r>
              <w:rPr>
                <w:rFonts w:ascii="Calibri" w:hAnsi="Calibri"/>
                <w:color w:val="2D3748"/>
                <w:sz w:val="18"/>
              </w:rPr>
              <w:t>Scope change requests; impact analysis; approval</w:t>
            </w:r>
          </w:p>
        </w:tc>
      </w:tr>
    </w:tbl>
    <w:p w14:paraId="690744C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10.2 TGWT Team Structure (Proposed)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29"/>
        <w:gridCol w:w="761"/>
        <w:gridCol w:w="1146"/>
        <w:gridCol w:w="5310"/>
      </w:tblGrid>
      <w:tr w14:paraId="7783B433">
        <w:trPr>
          <w:jc w:val="center"/>
        </w:trPr>
        <w:tc>
          <w:tcPr>
            <w:tcW w:w="2592" w:type="dxa"/>
            <w:shd w:val="clear" w:color="auto" w:fill="1B3A5C"/>
          </w:tcPr>
          <w:p w14:paraId="2474B80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720" w:type="dxa"/>
            <w:shd w:val="clear" w:color="auto" w:fill="1B3A5C"/>
          </w:tcPr>
          <w:p w14:paraId="21F4973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w="1152" w:type="dxa"/>
            <w:shd w:val="clear" w:color="auto" w:fill="1B3A5C"/>
          </w:tcPr>
          <w:p w14:paraId="1EB7863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Allocation</w:t>
            </w:r>
          </w:p>
        </w:tc>
        <w:tc>
          <w:tcPr>
            <w:tcW w:w="5760" w:type="dxa"/>
            <w:shd w:val="clear" w:color="auto" w:fill="1B3A5C"/>
          </w:tcPr>
          <w:p w14:paraId="4686364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 w14:paraId="1187B857">
        <w:trPr>
          <w:jc w:val="center"/>
        </w:trPr>
        <w:tc>
          <w:tcPr>
            <w:tcW w:w="2592" w:type="dxa"/>
            <w:shd w:val="clear" w:color="auto" w:fill="F7F9FC"/>
          </w:tcPr>
          <w:p w14:paraId="7496E419">
            <w:r>
              <w:rPr>
                <w:rFonts w:ascii="Calibri" w:hAnsi="Calibri"/>
                <w:color w:val="2D3748"/>
                <w:sz w:val="18"/>
              </w:rPr>
              <w:t>Delivery Manager</w:t>
            </w:r>
          </w:p>
        </w:tc>
        <w:tc>
          <w:tcPr>
            <w:tcW w:w="720" w:type="dxa"/>
            <w:shd w:val="clear" w:color="auto" w:fill="F7F9FC"/>
          </w:tcPr>
          <w:p w14:paraId="13EF4786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7F9FC"/>
          </w:tcPr>
          <w:p w14:paraId="7000E638">
            <w:r>
              <w:rPr>
                <w:rFonts w:ascii="Calibri" w:hAnsi="Calibri"/>
                <w:color w:val="2D3748"/>
                <w:sz w:val="18"/>
              </w:rPr>
              <w:t>50%</w:t>
            </w:r>
          </w:p>
        </w:tc>
        <w:tc>
          <w:tcPr>
            <w:tcW w:w="5760" w:type="dxa"/>
            <w:shd w:val="clear" w:color="auto" w:fill="F7F9FC"/>
          </w:tcPr>
          <w:p w14:paraId="1781278F">
            <w:r>
              <w:rPr>
                <w:rFonts w:ascii="Calibri" w:hAnsi="Calibri"/>
                <w:color w:val="2D3748"/>
                <w:sz w:val="18"/>
              </w:rPr>
              <w:t>Overall delivery, client communication, risk management</w:t>
            </w:r>
          </w:p>
        </w:tc>
      </w:tr>
      <w:tr w14:paraId="7D8AA993">
        <w:trPr>
          <w:jc w:val="center"/>
        </w:trPr>
        <w:tc>
          <w:tcPr>
            <w:tcW w:w="2592" w:type="dxa"/>
            <w:shd w:val="clear" w:color="auto" w:fill="FFFFFF"/>
          </w:tcPr>
          <w:p w14:paraId="41D0D970">
            <w:r>
              <w:rPr>
                <w:rFonts w:ascii="Calibri" w:hAnsi="Calibri"/>
                <w:color w:val="2D3748"/>
                <w:sz w:val="18"/>
              </w:rPr>
              <w:t>Solution Architect</w:t>
            </w:r>
          </w:p>
        </w:tc>
        <w:tc>
          <w:tcPr>
            <w:tcW w:w="720" w:type="dxa"/>
            <w:shd w:val="clear" w:color="auto" w:fill="FFFFFF"/>
          </w:tcPr>
          <w:p w14:paraId="17F59DA6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546ADA1D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55DF7A3A">
            <w:r>
              <w:rPr>
                <w:rFonts w:ascii="Calibri" w:hAnsi="Calibri"/>
                <w:color w:val="2D3748"/>
                <w:sz w:val="18"/>
              </w:rPr>
              <w:t>Architecture design, technical decisions, code reviews</w:t>
            </w:r>
          </w:p>
        </w:tc>
      </w:tr>
      <w:tr w14:paraId="20B9F997">
        <w:trPr>
          <w:jc w:val="center"/>
        </w:trPr>
        <w:tc>
          <w:tcPr>
            <w:tcW w:w="2592" w:type="dxa"/>
            <w:shd w:val="clear" w:color="auto" w:fill="F7F9FC"/>
          </w:tcPr>
          <w:p w14:paraId="42562D80">
            <w:r>
              <w:rPr>
                <w:rFonts w:ascii="Calibri" w:hAnsi="Calibri"/>
                <w:color w:val="2D3748"/>
                <w:sz w:val="18"/>
              </w:rPr>
              <w:t>Tech Lead — Backend</w:t>
            </w:r>
          </w:p>
        </w:tc>
        <w:tc>
          <w:tcPr>
            <w:tcW w:w="720" w:type="dxa"/>
            <w:shd w:val="clear" w:color="auto" w:fill="F7F9FC"/>
          </w:tcPr>
          <w:p w14:paraId="2F15FAB9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7F9FC"/>
          </w:tcPr>
          <w:p w14:paraId="3E318D3B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7F9FC"/>
          </w:tcPr>
          <w:p w14:paraId="7CA1AABE">
            <w:r>
              <w:rPr>
                <w:rFonts w:ascii="Calibri" w:hAnsi="Calibri"/>
                <w:color w:val="2D3748"/>
                <w:sz w:val="18"/>
              </w:rPr>
              <w:t>Spring Boot services, Kafka, database design, API contracts</w:t>
            </w:r>
          </w:p>
        </w:tc>
      </w:tr>
      <w:tr w14:paraId="3F7B9336">
        <w:trPr>
          <w:jc w:val="center"/>
        </w:trPr>
        <w:tc>
          <w:tcPr>
            <w:tcW w:w="2592" w:type="dxa"/>
            <w:shd w:val="clear" w:color="auto" w:fill="FFFFFF"/>
          </w:tcPr>
          <w:p w14:paraId="7D590ADD">
            <w:r>
              <w:rPr>
                <w:rFonts w:ascii="Calibri" w:hAnsi="Calibri"/>
                <w:color w:val="2D3748"/>
                <w:sz w:val="18"/>
              </w:rPr>
              <w:t>Tech Lead — Frontend</w:t>
            </w:r>
          </w:p>
        </w:tc>
        <w:tc>
          <w:tcPr>
            <w:tcW w:w="720" w:type="dxa"/>
            <w:shd w:val="clear" w:color="auto" w:fill="FFFFFF"/>
          </w:tcPr>
          <w:p w14:paraId="6931668C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05169720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76D6CA17">
            <w:r>
              <w:rPr>
                <w:rFonts w:ascii="Calibri" w:hAnsi="Calibri"/>
                <w:color w:val="2D3748"/>
                <w:sz w:val="18"/>
              </w:rPr>
              <w:t>React 18, PWA, UI/UX implementation, accessibility</w:t>
            </w:r>
          </w:p>
        </w:tc>
      </w:tr>
      <w:tr w14:paraId="46C5503C">
        <w:trPr>
          <w:jc w:val="center"/>
        </w:trPr>
        <w:tc>
          <w:tcPr>
            <w:tcW w:w="2592" w:type="dxa"/>
            <w:shd w:val="clear" w:color="auto" w:fill="F7F9FC"/>
          </w:tcPr>
          <w:p w14:paraId="143D07AB">
            <w:r>
              <w:rPr>
                <w:rFonts w:ascii="Calibri" w:hAnsi="Calibri"/>
                <w:color w:val="2D3748"/>
                <w:sz w:val="18"/>
              </w:rPr>
              <w:t>Senior Developer — Backend</w:t>
            </w:r>
          </w:p>
        </w:tc>
        <w:tc>
          <w:tcPr>
            <w:tcW w:w="720" w:type="dxa"/>
            <w:shd w:val="clear" w:color="auto" w:fill="F7F9FC"/>
          </w:tcPr>
          <w:p w14:paraId="70345618"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w="1152" w:type="dxa"/>
            <w:shd w:val="clear" w:color="auto" w:fill="F7F9FC"/>
          </w:tcPr>
          <w:p w14:paraId="1EEF9118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7F9FC"/>
          </w:tcPr>
          <w:p w14:paraId="095DA7A3">
            <w:r>
              <w:rPr>
                <w:rFonts w:ascii="Calibri" w:hAnsi="Calibri"/>
                <w:color w:val="2D3748"/>
                <w:sz w:val="18"/>
              </w:rPr>
              <w:t>Module development, integration, unit testing</w:t>
            </w:r>
          </w:p>
        </w:tc>
      </w:tr>
      <w:tr w14:paraId="5DC0D47D">
        <w:trPr>
          <w:jc w:val="center"/>
        </w:trPr>
        <w:tc>
          <w:tcPr>
            <w:tcW w:w="2592" w:type="dxa"/>
            <w:shd w:val="clear" w:color="auto" w:fill="FFFFFF"/>
          </w:tcPr>
          <w:p w14:paraId="23DB2997">
            <w:r>
              <w:rPr>
                <w:rFonts w:ascii="Calibri" w:hAnsi="Calibri"/>
                <w:color w:val="2D3748"/>
                <w:sz w:val="18"/>
              </w:rPr>
              <w:t>Senior Developer — Frontend</w:t>
            </w:r>
          </w:p>
        </w:tc>
        <w:tc>
          <w:tcPr>
            <w:tcW w:w="720" w:type="dxa"/>
            <w:shd w:val="clear" w:color="auto" w:fill="FFFFFF"/>
          </w:tcPr>
          <w:p w14:paraId="575CA83E"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w="1152" w:type="dxa"/>
            <w:shd w:val="clear" w:color="auto" w:fill="FFFFFF"/>
          </w:tcPr>
          <w:p w14:paraId="584882BC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672A1721">
            <w:r>
              <w:rPr>
                <w:rFonts w:ascii="Calibri" w:hAnsi="Calibri"/>
                <w:color w:val="2D3748"/>
                <w:sz w:val="18"/>
              </w:rPr>
              <w:t>Screen development, state management, API integration</w:t>
            </w:r>
          </w:p>
        </w:tc>
      </w:tr>
      <w:tr w14:paraId="723C738A">
        <w:trPr>
          <w:jc w:val="center"/>
        </w:trPr>
        <w:tc>
          <w:tcPr>
            <w:tcW w:w="2592" w:type="dxa"/>
            <w:shd w:val="clear" w:color="auto" w:fill="F7F9FC"/>
          </w:tcPr>
          <w:p w14:paraId="2F13940E">
            <w:r>
              <w:rPr>
                <w:rFonts w:ascii="Calibri" w:hAnsi="Calibri"/>
                <w:color w:val="2D3748"/>
                <w:sz w:val="18"/>
              </w:rPr>
              <w:t>Full Stack Developer</w:t>
            </w:r>
          </w:p>
        </w:tc>
        <w:tc>
          <w:tcPr>
            <w:tcW w:w="720" w:type="dxa"/>
            <w:shd w:val="clear" w:color="auto" w:fill="F7F9FC"/>
          </w:tcPr>
          <w:p w14:paraId="1CAFDF6F"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w="1152" w:type="dxa"/>
            <w:shd w:val="clear" w:color="auto" w:fill="F7F9FC"/>
          </w:tcPr>
          <w:p w14:paraId="1FBEB9C6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7F9FC"/>
          </w:tcPr>
          <w:p w14:paraId="060A991F">
            <w:r>
              <w:rPr>
                <w:rFonts w:ascii="Calibri" w:hAnsi="Calibri"/>
                <w:color w:val="2D3748"/>
                <w:sz w:val="18"/>
              </w:rPr>
              <w:t>Cross-functional development, bug fixes</w:t>
            </w:r>
          </w:p>
        </w:tc>
      </w:tr>
      <w:tr w14:paraId="4F27D8C8">
        <w:trPr>
          <w:jc w:val="center"/>
        </w:trPr>
        <w:tc>
          <w:tcPr>
            <w:tcW w:w="2592" w:type="dxa"/>
            <w:shd w:val="clear" w:color="auto" w:fill="FFFFFF"/>
          </w:tcPr>
          <w:p w14:paraId="06500355">
            <w:r>
              <w:rPr>
                <w:rFonts w:ascii="Calibri" w:hAnsi="Calibri"/>
                <w:color w:val="2D3748"/>
                <w:sz w:val="18"/>
              </w:rPr>
              <w:t>QA Lead</w:t>
            </w:r>
          </w:p>
        </w:tc>
        <w:tc>
          <w:tcPr>
            <w:tcW w:w="720" w:type="dxa"/>
            <w:shd w:val="clear" w:color="auto" w:fill="FFFFFF"/>
          </w:tcPr>
          <w:p w14:paraId="1BF7F551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1D052AEB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738D778B">
            <w:r>
              <w:rPr>
                <w:rFonts w:ascii="Calibri" w:hAnsi="Calibri"/>
                <w:color w:val="2D3748"/>
                <w:sz w:val="18"/>
              </w:rPr>
              <w:t>Test strategy, automation, integration testing, UAT coordination</w:t>
            </w:r>
          </w:p>
        </w:tc>
      </w:tr>
      <w:tr w14:paraId="53C80CEB">
        <w:trPr>
          <w:jc w:val="center"/>
        </w:trPr>
        <w:tc>
          <w:tcPr>
            <w:tcW w:w="2592" w:type="dxa"/>
            <w:shd w:val="clear" w:color="auto" w:fill="F7F9FC"/>
          </w:tcPr>
          <w:p w14:paraId="7C6228E3">
            <w:r>
              <w:rPr>
                <w:rFonts w:ascii="Calibri" w:hAnsi="Calibri"/>
                <w:color w:val="2D3748"/>
                <w:sz w:val="18"/>
              </w:rPr>
              <w:t>QA Engineer</w:t>
            </w:r>
          </w:p>
        </w:tc>
        <w:tc>
          <w:tcPr>
            <w:tcW w:w="720" w:type="dxa"/>
            <w:shd w:val="clear" w:color="auto" w:fill="F7F9FC"/>
          </w:tcPr>
          <w:p w14:paraId="4B29651F"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w="1152" w:type="dxa"/>
            <w:shd w:val="clear" w:color="auto" w:fill="F7F9FC"/>
          </w:tcPr>
          <w:p w14:paraId="77CA2B85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7F9FC"/>
          </w:tcPr>
          <w:p w14:paraId="27ED9777">
            <w:r>
              <w:rPr>
                <w:rFonts w:ascii="Calibri" w:hAnsi="Calibri"/>
                <w:color w:val="2D3748"/>
                <w:sz w:val="18"/>
              </w:rPr>
              <w:t>Test case execution, regression testing, performance testing</w:t>
            </w:r>
          </w:p>
        </w:tc>
      </w:tr>
      <w:tr w14:paraId="11F538D2">
        <w:trPr>
          <w:jc w:val="center"/>
        </w:trPr>
        <w:tc>
          <w:tcPr>
            <w:tcW w:w="2592" w:type="dxa"/>
            <w:shd w:val="clear" w:color="auto" w:fill="FFFFFF"/>
          </w:tcPr>
          <w:p w14:paraId="7111A2BB">
            <w:r>
              <w:rPr>
                <w:rFonts w:ascii="Calibri" w:hAnsi="Calibri"/>
                <w:color w:val="2D3748"/>
                <w:sz w:val="18"/>
              </w:rPr>
              <w:t>DevOps Engineer</w:t>
            </w:r>
          </w:p>
        </w:tc>
        <w:tc>
          <w:tcPr>
            <w:tcW w:w="720" w:type="dxa"/>
            <w:shd w:val="clear" w:color="auto" w:fill="FFFFFF"/>
          </w:tcPr>
          <w:p w14:paraId="423B96AB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54821ABE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671BC5A7">
            <w:r>
              <w:rPr>
                <w:rFonts w:ascii="Calibri" w:hAnsi="Calibri"/>
                <w:color w:val="2D3748"/>
                <w:sz w:val="18"/>
              </w:rPr>
              <w:t>CI/CD, Kubernetes, monitoring, deployment automation</w:t>
            </w:r>
          </w:p>
        </w:tc>
      </w:tr>
      <w:tr w14:paraId="6EFE5FE9">
        <w:trPr>
          <w:jc w:val="center"/>
        </w:trPr>
        <w:tc>
          <w:tcPr>
            <w:tcW w:w="2592" w:type="dxa"/>
            <w:shd w:val="clear" w:color="auto" w:fill="F7F9FC"/>
          </w:tcPr>
          <w:p w14:paraId="5054ADCA">
            <w:r>
              <w:rPr>
                <w:rFonts w:ascii="Calibri" w:hAnsi="Calibri"/>
                <w:color w:val="2D3748"/>
                <w:sz w:val="18"/>
              </w:rPr>
              <w:t>UI/UX Designer</w:t>
            </w:r>
          </w:p>
        </w:tc>
        <w:tc>
          <w:tcPr>
            <w:tcW w:w="720" w:type="dxa"/>
            <w:shd w:val="clear" w:color="auto" w:fill="F7F9FC"/>
          </w:tcPr>
          <w:p w14:paraId="2F9CD3E9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7F9FC"/>
          </w:tcPr>
          <w:p w14:paraId="50CCCB08">
            <w:r>
              <w:rPr>
                <w:rFonts w:ascii="Calibri" w:hAnsi="Calibri"/>
                <w:color w:val="2D3748"/>
                <w:sz w:val="18"/>
              </w:rPr>
              <w:t>50%</w:t>
            </w:r>
          </w:p>
        </w:tc>
        <w:tc>
          <w:tcPr>
            <w:tcW w:w="5760" w:type="dxa"/>
            <w:shd w:val="clear" w:color="auto" w:fill="F7F9FC"/>
          </w:tcPr>
          <w:p w14:paraId="6C762772">
            <w:r>
              <w:rPr>
                <w:rFonts w:ascii="Calibri" w:hAnsi="Calibri"/>
                <w:color w:val="2D3748"/>
                <w:sz w:val="18"/>
              </w:rPr>
              <w:t>Wireframes, design system, usability testing</w:t>
            </w:r>
          </w:p>
        </w:tc>
      </w:tr>
      <w:tr w14:paraId="2CA38055">
        <w:trPr>
          <w:jc w:val="center"/>
        </w:trPr>
        <w:tc>
          <w:tcPr>
            <w:tcW w:w="2592" w:type="dxa"/>
            <w:shd w:val="clear" w:color="auto" w:fill="FFFFFF"/>
          </w:tcPr>
          <w:p w14:paraId="60092FC0">
            <w:r>
              <w:rPr>
                <w:rFonts w:ascii="Calibri" w:hAnsi="Calibri"/>
                <w:color w:val="2D3748"/>
                <w:sz w:val="18"/>
              </w:rPr>
              <w:t>Business Analyst</w:t>
            </w:r>
          </w:p>
        </w:tc>
        <w:tc>
          <w:tcPr>
            <w:tcW w:w="720" w:type="dxa"/>
            <w:shd w:val="clear" w:color="auto" w:fill="FFFFFF"/>
          </w:tcPr>
          <w:p w14:paraId="03E152A7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FFFFF"/>
          </w:tcPr>
          <w:p w14:paraId="597EC8FE">
            <w:r>
              <w:rPr>
                <w:rFonts w:ascii="Calibri" w:hAnsi="Calibri"/>
                <w:color w:val="2D3748"/>
                <w:sz w:val="18"/>
              </w:rPr>
              <w:t>100%</w:t>
            </w:r>
          </w:p>
        </w:tc>
        <w:tc>
          <w:tcPr>
            <w:tcW w:w="5760" w:type="dxa"/>
            <w:shd w:val="clear" w:color="auto" w:fill="FFFFFF"/>
          </w:tcPr>
          <w:p w14:paraId="6B6B92FE">
            <w:r>
              <w:rPr>
                <w:rFonts w:ascii="Calibri" w:hAnsi="Calibri"/>
                <w:color w:val="2D3748"/>
                <w:sz w:val="18"/>
              </w:rPr>
              <w:t>Requirements clarification, user stories, acceptance criteria</w:t>
            </w:r>
          </w:p>
        </w:tc>
      </w:tr>
      <w:tr w14:paraId="6E2C7645">
        <w:trPr>
          <w:jc w:val="center"/>
        </w:trPr>
        <w:tc>
          <w:tcPr>
            <w:tcW w:w="2592" w:type="dxa"/>
            <w:shd w:val="clear" w:color="auto" w:fill="F7F9FC"/>
          </w:tcPr>
          <w:p w14:paraId="6FC4D534">
            <w:r>
              <w:rPr>
                <w:rFonts w:ascii="Calibri" w:hAnsi="Calibri"/>
                <w:color w:val="2D3748"/>
                <w:sz w:val="18"/>
              </w:rPr>
              <w:t>Scrum Master</w:t>
            </w:r>
          </w:p>
        </w:tc>
        <w:tc>
          <w:tcPr>
            <w:tcW w:w="720" w:type="dxa"/>
            <w:shd w:val="clear" w:color="auto" w:fill="F7F9FC"/>
          </w:tcPr>
          <w:p w14:paraId="500CD262"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w="1152" w:type="dxa"/>
            <w:shd w:val="clear" w:color="auto" w:fill="F7F9FC"/>
          </w:tcPr>
          <w:p w14:paraId="30200F72">
            <w:r>
              <w:rPr>
                <w:rFonts w:ascii="Calibri" w:hAnsi="Calibri"/>
                <w:color w:val="2D3748"/>
                <w:sz w:val="18"/>
              </w:rPr>
              <w:t>50%</w:t>
            </w:r>
          </w:p>
        </w:tc>
        <w:tc>
          <w:tcPr>
            <w:tcW w:w="5760" w:type="dxa"/>
            <w:shd w:val="clear" w:color="auto" w:fill="F7F9FC"/>
          </w:tcPr>
          <w:p w14:paraId="68BD2026">
            <w:r>
              <w:rPr>
                <w:rFonts w:ascii="Calibri" w:hAnsi="Calibri"/>
                <w:color w:val="2D3748"/>
                <w:sz w:val="18"/>
              </w:rPr>
              <w:t>Sprint facilitation, impediment removal, process compliance</w:t>
            </w:r>
          </w:p>
        </w:tc>
      </w:tr>
    </w:tbl>
    <w:p w14:paraId="7B71F54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10.3 Client Responsibilities</w:t>
      </w:r>
    </w:p>
    <w:p w14:paraId="3C5AD043">
      <w:pPr>
        <w:pStyle w:val="23"/>
      </w:pPr>
      <w:r>
        <w:rPr>
          <w:rFonts w:ascii="Calibri" w:hAnsi="Calibri"/>
          <w:b/>
          <w:sz w:val="20"/>
        </w:rPr>
        <w:t xml:space="preserve">Dedicated SPOC: </w:t>
      </w:r>
      <w:r>
        <w:rPr>
          <w:rFonts w:ascii="Calibri" w:hAnsi="Calibri"/>
          <w:color w:val="2D3748"/>
          <w:sz w:val="20"/>
        </w:rPr>
        <w:t>Single Point of Contact available for daily queries; authorized for day-to-day decisions</w:t>
      </w:r>
    </w:p>
    <w:p w14:paraId="27C08E95">
      <w:pPr>
        <w:pStyle w:val="23"/>
      </w:pPr>
      <w:r>
        <w:rPr>
          <w:rFonts w:ascii="Calibri" w:hAnsi="Calibri"/>
          <w:b/>
          <w:sz w:val="20"/>
        </w:rPr>
        <w:t xml:space="preserve">UAT Team: </w:t>
      </w:r>
      <w:r>
        <w:rPr>
          <w:rFonts w:ascii="Calibri" w:hAnsi="Calibri"/>
          <w:color w:val="2D3748"/>
          <w:sz w:val="20"/>
        </w:rPr>
        <w:t>Minimum 5 members representing key departments (OPD, Pharmacy, Lab, Finance, HR) for UAT phase</w:t>
      </w:r>
    </w:p>
    <w:p w14:paraId="422CBAFC">
      <w:pPr>
        <w:pStyle w:val="23"/>
      </w:pPr>
      <w:r>
        <w:rPr>
          <w:rFonts w:ascii="Calibri" w:hAnsi="Calibri"/>
          <w:b/>
          <w:sz w:val="20"/>
        </w:rPr>
        <w:t xml:space="preserve">Feedback SLA: </w:t>
      </w:r>
      <w:r>
        <w:rPr>
          <w:rFonts w:ascii="Calibri" w:hAnsi="Calibri"/>
          <w:color w:val="2D3748"/>
          <w:sz w:val="20"/>
        </w:rPr>
        <w:t>5 business days for sprint demo feedback; 10 business days for milestone approvals</w:t>
      </w:r>
    </w:p>
    <w:p w14:paraId="507B22E6">
      <w:pPr>
        <w:pStyle w:val="23"/>
      </w:pPr>
      <w:r>
        <w:rPr>
          <w:rFonts w:ascii="Calibri" w:hAnsi="Calibri"/>
          <w:b/>
          <w:sz w:val="20"/>
        </w:rPr>
        <w:t xml:space="preserve">Infrastructure: </w:t>
      </w:r>
      <w:r>
        <w:rPr>
          <w:rFonts w:ascii="Calibri" w:hAnsi="Calibri"/>
          <w:color w:val="2D3748"/>
          <w:sz w:val="20"/>
        </w:rPr>
        <w:t>Client to provision cloud infrastructure (AWS/Azure) per TGWT specifications; or TGWT manages on client behalf (separate commercial terms)</w:t>
      </w:r>
    </w:p>
    <w:p w14:paraId="2ACD646F">
      <w:pPr>
        <w:pStyle w:val="23"/>
      </w:pPr>
      <w:r>
        <w:rPr>
          <w:rFonts w:ascii="Calibri" w:hAnsi="Calibri"/>
          <w:b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Client to provide master data (drug formulary, employee list, vendor list, branch configuration) in agreed template format</w:t>
      </w:r>
    </w:p>
    <w:p w14:paraId="32E42F24">
      <w:pPr>
        <w:pStyle w:val="23"/>
      </w:pPr>
      <w:r>
        <w:rPr>
          <w:rFonts w:ascii="Calibri" w:hAnsi="Calibri"/>
          <w:b/>
          <w:sz w:val="20"/>
        </w:rPr>
        <w:t xml:space="preserve">Change Requests: </w:t>
      </w:r>
      <w:r>
        <w:rPr>
          <w:rFonts w:ascii="Calibri" w:hAnsi="Calibri"/>
          <w:color w:val="2D3748"/>
          <w:sz w:val="20"/>
        </w:rPr>
        <w:t>Submit via Change Control process; no verbal scope changes honored</w:t>
      </w:r>
    </w:p>
    <w:p w14:paraId="317DC0D3">
      <w:pPr>
        <w:pStyle w:val="23"/>
      </w:pPr>
      <w:r>
        <w:rPr>
          <w:rFonts w:ascii="Calibri" w:hAnsi="Calibri"/>
          <w:b/>
          <w:sz w:val="20"/>
        </w:rPr>
        <w:t xml:space="preserve">Training Participants: </w:t>
      </w:r>
      <w:r>
        <w:rPr>
          <w:rFonts w:ascii="Calibri" w:hAnsi="Calibri"/>
          <w:color w:val="2D3748"/>
          <w:sz w:val="20"/>
        </w:rPr>
        <w:t>Nominate trainers for Train-the-Trainer program; minimum 2 per department</w:t>
      </w:r>
    </w:p>
    <w:p w14:paraId="03AC9489">
      <w:r>
        <w:br w:type="page"/>
      </w:r>
    </w:p>
    <w:p w14:paraId="145CAA7A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11. Risk Management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89"/>
        <w:gridCol w:w="2450"/>
        <w:gridCol w:w="1160"/>
        <w:gridCol w:w="1037"/>
        <w:gridCol w:w="3015"/>
        <w:gridCol w:w="1295"/>
      </w:tblGrid>
      <w:tr w14:paraId="316319B6">
        <w:trPr>
          <w:jc w:val="center"/>
        </w:trPr>
        <w:tc>
          <w:tcPr>
            <w:tcW w:w="720" w:type="dxa"/>
            <w:shd w:val="clear" w:color="auto" w:fill="1B3A5C"/>
          </w:tcPr>
          <w:p w14:paraId="225FBC1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ID</w:t>
            </w:r>
          </w:p>
        </w:tc>
        <w:tc>
          <w:tcPr>
            <w:tcW w:w="2880" w:type="dxa"/>
            <w:shd w:val="clear" w:color="auto" w:fill="1B3A5C"/>
          </w:tcPr>
          <w:p w14:paraId="67F039B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Description</w:t>
            </w:r>
          </w:p>
        </w:tc>
        <w:tc>
          <w:tcPr>
            <w:tcW w:w="1008" w:type="dxa"/>
            <w:shd w:val="clear" w:color="auto" w:fill="1B3A5C"/>
          </w:tcPr>
          <w:p w14:paraId="1105018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Probability</w:t>
            </w:r>
          </w:p>
        </w:tc>
        <w:tc>
          <w:tcPr>
            <w:tcW w:w="864" w:type="dxa"/>
            <w:shd w:val="clear" w:color="auto" w:fill="1B3A5C"/>
          </w:tcPr>
          <w:p w14:paraId="2E1FD41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w="3600" w:type="dxa"/>
            <w:shd w:val="clear" w:color="auto" w:fill="1B3A5C"/>
          </w:tcPr>
          <w:p w14:paraId="3F5F687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 Strategy</w:t>
            </w:r>
          </w:p>
        </w:tc>
        <w:tc>
          <w:tcPr>
            <w:tcW w:w="1440" w:type="dxa"/>
            <w:shd w:val="clear" w:color="auto" w:fill="1B3A5C"/>
          </w:tcPr>
          <w:p w14:paraId="4D4CA18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 w14:paraId="0BEA67D8">
        <w:trPr>
          <w:jc w:val="center"/>
        </w:trPr>
        <w:tc>
          <w:tcPr>
            <w:tcW w:w="720" w:type="dxa"/>
            <w:shd w:val="clear" w:color="auto" w:fill="F7F9FC"/>
          </w:tcPr>
          <w:p w14:paraId="590294CE">
            <w:r>
              <w:rPr>
                <w:rFonts w:ascii="Calibri" w:hAnsi="Calibri"/>
                <w:color w:val="2D3748"/>
                <w:sz w:val="18"/>
              </w:rPr>
              <w:t>R-01</w:t>
            </w:r>
          </w:p>
        </w:tc>
        <w:tc>
          <w:tcPr>
            <w:tcW w:w="2880" w:type="dxa"/>
            <w:shd w:val="clear" w:color="auto" w:fill="F7F9FC"/>
          </w:tcPr>
          <w:p w14:paraId="5F8A93FD">
            <w:r>
              <w:rPr>
                <w:rFonts w:ascii="Calibri" w:hAnsi="Calibri"/>
                <w:color w:val="2D3748"/>
                <w:sz w:val="18"/>
              </w:rPr>
              <w:t>Scope creep due to evolving requirements</w:t>
            </w:r>
          </w:p>
        </w:tc>
        <w:tc>
          <w:tcPr>
            <w:tcW w:w="1008" w:type="dxa"/>
            <w:shd w:val="clear" w:color="auto" w:fill="F7F9FC"/>
          </w:tcPr>
          <w:p w14:paraId="68687CFA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864" w:type="dxa"/>
            <w:shd w:val="clear" w:color="auto" w:fill="F7F9FC"/>
          </w:tcPr>
          <w:p w14:paraId="3C3ED698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3600" w:type="dxa"/>
            <w:shd w:val="clear" w:color="auto" w:fill="F7F9FC"/>
          </w:tcPr>
          <w:p w14:paraId="0A04E261">
            <w:r>
              <w:rPr>
                <w:rFonts w:ascii="Calibri" w:hAnsi="Calibri"/>
                <w:color w:val="2D3748"/>
                <w:sz w:val="18"/>
              </w:rPr>
              <w:t>Strict Change Control Board process; SOW freeze after Phase 1; CR impact analysis mandatory</w:t>
            </w:r>
          </w:p>
        </w:tc>
        <w:tc>
          <w:tcPr>
            <w:tcW w:w="1440" w:type="dxa"/>
            <w:shd w:val="clear" w:color="auto" w:fill="F7F9FC"/>
          </w:tcPr>
          <w:p w14:paraId="3A888EEE">
            <w:r>
              <w:rPr>
                <w:rFonts w:ascii="Calibri" w:hAnsi="Calibri"/>
                <w:color w:val="2D3748"/>
                <w:sz w:val="18"/>
              </w:rPr>
              <w:t>PM (both sides)</w:t>
            </w:r>
          </w:p>
        </w:tc>
      </w:tr>
      <w:tr w14:paraId="6776546D">
        <w:trPr>
          <w:jc w:val="center"/>
        </w:trPr>
        <w:tc>
          <w:tcPr>
            <w:tcW w:w="720" w:type="dxa"/>
            <w:shd w:val="clear" w:color="auto" w:fill="FFFFFF"/>
          </w:tcPr>
          <w:p w14:paraId="63733FDE">
            <w:r>
              <w:rPr>
                <w:rFonts w:ascii="Calibri" w:hAnsi="Calibri"/>
                <w:color w:val="2D3748"/>
                <w:sz w:val="18"/>
              </w:rPr>
              <w:t>R-02</w:t>
            </w:r>
          </w:p>
        </w:tc>
        <w:tc>
          <w:tcPr>
            <w:tcW w:w="2880" w:type="dxa"/>
            <w:shd w:val="clear" w:color="auto" w:fill="FFFFFF"/>
          </w:tcPr>
          <w:p w14:paraId="17860C2A">
            <w:r>
              <w:rPr>
                <w:rFonts w:ascii="Calibri" w:hAnsi="Calibri"/>
                <w:color w:val="2D3748"/>
                <w:sz w:val="18"/>
              </w:rPr>
              <w:t>Kafka event bus complexity causing integration failures</w:t>
            </w:r>
          </w:p>
        </w:tc>
        <w:tc>
          <w:tcPr>
            <w:tcW w:w="1008" w:type="dxa"/>
            <w:shd w:val="clear" w:color="auto" w:fill="FFFFFF"/>
          </w:tcPr>
          <w:p w14:paraId="0FCCB6A2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FFFFF"/>
          </w:tcPr>
          <w:p w14:paraId="20D560B5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3600" w:type="dxa"/>
            <w:shd w:val="clear" w:color="auto" w:fill="FFFFFF"/>
          </w:tcPr>
          <w:p w14:paraId="0D623B89">
            <w:r>
              <w:rPr>
                <w:rFonts w:ascii="Calibri" w:hAnsi="Calibri"/>
                <w:color w:val="2D3748"/>
                <w:sz w:val="18"/>
              </w:rPr>
              <w:t>Idempotent consumers; DLQ with 3 retries; Spring Batch fallback; comprehensive integration testing</w:t>
            </w:r>
          </w:p>
        </w:tc>
        <w:tc>
          <w:tcPr>
            <w:tcW w:w="1440" w:type="dxa"/>
            <w:shd w:val="clear" w:color="auto" w:fill="FFFFFF"/>
          </w:tcPr>
          <w:p w14:paraId="0F6F0C45">
            <w:r>
              <w:rPr>
                <w:rFonts w:ascii="Calibri" w:hAnsi="Calibri"/>
                <w:color w:val="2D3748"/>
                <w:sz w:val="18"/>
              </w:rPr>
              <w:t>Tech Lead</w:t>
            </w:r>
          </w:p>
        </w:tc>
      </w:tr>
      <w:tr w14:paraId="1E859B4C">
        <w:trPr>
          <w:jc w:val="center"/>
        </w:trPr>
        <w:tc>
          <w:tcPr>
            <w:tcW w:w="720" w:type="dxa"/>
            <w:shd w:val="clear" w:color="auto" w:fill="F7F9FC"/>
          </w:tcPr>
          <w:p w14:paraId="04048253">
            <w:r>
              <w:rPr>
                <w:rFonts w:ascii="Calibri" w:hAnsi="Calibri"/>
                <w:color w:val="2D3748"/>
                <w:sz w:val="18"/>
              </w:rPr>
              <w:t>R-03</w:t>
            </w:r>
          </w:p>
        </w:tc>
        <w:tc>
          <w:tcPr>
            <w:tcW w:w="2880" w:type="dxa"/>
            <w:shd w:val="clear" w:color="auto" w:fill="F7F9FC"/>
          </w:tcPr>
          <w:p w14:paraId="4D919909">
            <w:r>
              <w:rPr>
                <w:rFonts w:ascii="Calibri" w:hAnsi="Calibri"/>
                <w:color w:val="2D3748"/>
                <w:sz w:val="18"/>
              </w:rPr>
              <w:t>Third-party API instability (ABDM, Razorpay, Twilio)</w:t>
            </w:r>
          </w:p>
        </w:tc>
        <w:tc>
          <w:tcPr>
            <w:tcW w:w="1008" w:type="dxa"/>
            <w:shd w:val="clear" w:color="auto" w:fill="F7F9FC"/>
          </w:tcPr>
          <w:p w14:paraId="3F17407C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7F9FC"/>
          </w:tcPr>
          <w:p w14:paraId="3E5BB8EF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3600" w:type="dxa"/>
            <w:shd w:val="clear" w:color="auto" w:fill="F7F9FC"/>
          </w:tcPr>
          <w:p w14:paraId="301FD8E0">
            <w:r>
              <w:rPr>
                <w:rFonts w:ascii="Calibri" w:hAnsi="Calibri"/>
                <w:color w:val="2D3748"/>
                <w:sz w:val="18"/>
              </w:rPr>
              <w:t>Circuit breaker pattern; graceful degradation; mock services for testing; SLA monitoring</w:t>
            </w:r>
          </w:p>
        </w:tc>
        <w:tc>
          <w:tcPr>
            <w:tcW w:w="1440" w:type="dxa"/>
            <w:shd w:val="clear" w:color="auto" w:fill="F7F9FC"/>
          </w:tcPr>
          <w:p w14:paraId="4FF5CFA1">
            <w:r>
              <w:rPr>
                <w:rFonts w:ascii="Calibri" w:hAnsi="Calibri"/>
                <w:color w:val="2D3748"/>
                <w:sz w:val="18"/>
              </w:rPr>
              <w:t>Solution Architect</w:t>
            </w:r>
          </w:p>
        </w:tc>
      </w:tr>
      <w:tr w14:paraId="4F5F7357">
        <w:trPr>
          <w:jc w:val="center"/>
        </w:trPr>
        <w:tc>
          <w:tcPr>
            <w:tcW w:w="720" w:type="dxa"/>
            <w:shd w:val="clear" w:color="auto" w:fill="FFFFFF"/>
          </w:tcPr>
          <w:p w14:paraId="35F3C3F9">
            <w:r>
              <w:rPr>
                <w:rFonts w:ascii="Calibri" w:hAnsi="Calibri"/>
                <w:color w:val="2D3748"/>
                <w:sz w:val="18"/>
              </w:rPr>
              <w:t>R-04</w:t>
            </w:r>
          </w:p>
        </w:tc>
        <w:tc>
          <w:tcPr>
            <w:tcW w:w="2880" w:type="dxa"/>
            <w:shd w:val="clear" w:color="auto" w:fill="FFFFFF"/>
          </w:tcPr>
          <w:p w14:paraId="6030E952">
            <w:r>
              <w:rPr>
                <w:rFonts w:ascii="Calibri" w:hAnsi="Calibri"/>
                <w:color w:val="2D3748"/>
                <w:sz w:val="18"/>
              </w:rPr>
              <w:t>Client UAT delays impacting go-live timeline</w:t>
            </w:r>
          </w:p>
        </w:tc>
        <w:tc>
          <w:tcPr>
            <w:tcW w:w="1008" w:type="dxa"/>
            <w:shd w:val="clear" w:color="auto" w:fill="FFFFFF"/>
          </w:tcPr>
          <w:p w14:paraId="7E463E3E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FFFFF"/>
          </w:tcPr>
          <w:p w14:paraId="3DCBCD25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3600" w:type="dxa"/>
            <w:shd w:val="clear" w:color="auto" w:fill="FFFFFF"/>
          </w:tcPr>
          <w:p w14:paraId="0566B9B1">
            <w:r>
              <w:rPr>
                <w:rFonts w:ascii="Calibri" w:hAnsi="Calibri"/>
                <w:color w:val="2D3748"/>
                <w:sz w:val="18"/>
              </w:rPr>
              <w:t>Early UAT engagement from Phase 6; dedicated UAT environment; pre-written test cases</w:t>
            </w:r>
          </w:p>
        </w:tc>
        <w:tc>
          <w:tcPr>
            <w:tcW w:w="1440" w:type="dxa"/>
            <w:shd w:val="clear" w:color="auto" w:fill="FFFFFF"/>
          </w:tcPr>
          <w:p w14:paraId="080554D5">
            <w:r>
              <w:rPr>
                <w:rFonts w:ascii="Calibri" w:hAnsi="Calibri"/>
                <w:color w:val="2D3748"/>
                <w:sz w:val="18"/>
              </w:rPr>
              <w:t>Client PM</w:t>
            </w:r>
          </w:p>
        </w:tc>
      </w:tr>
      <w:tr w14:paraId="48F5FD5C">
        <w:trPr>
          <w:jc w:val="center"/>
        </w:trPr>
        <w:tc>
          <w:tcPr>
            <w:tcW w:w="720" w:type="dxa"/>
            <w:shd w:val="clear" w:color="auto" w:fill="F7F9FC"/>
          </w:tcPr>
          <w:p w14:paraId="0CDF546F">
            <w:r>
              <w:rPr>
                <w:rFonts w:ascii="Calibri" w:hAnsi="Calibri"/>
                <w:color w:val="2D3748"/>
                <w:sz w:val="18"/>
              </w:rPr>
              <w:t>R-05</w:t>
            </w:r>
          </w:p>
        </w:tc>
        <w:tc>
          <w:tcPr>
            <w:tcW w:w="2880" w:type="dxa"/>
            <w:shd w:val="clear" w:color="auto" w:fill="F7F9FC"/>
          </w:tcPr>
          <w:p w14:paraId="143C878A">
            <w:r>
              <w:rPr>
                <w:rFonts w:ascii="Calibri" w:hAnsi="Calibri"/>
                <w:color w:val="2D3748"/>
                <w:sz w:val="18"/>
              </w:rPr>
              <w:t>Data migration complexity from legacy systems</w:t>
            </w:r>
          </w:p>
        </w:tc>
        <w:tc>
          <w:tcPr>
            <w:tcW w:w="1008" w:type="dxa"/>
            <w:shd w:val="clear" w:color="auto" w:fill="F7F9FC"/>
          </w:tcPr>
          <w:p w14:paraId="5FE2A4DF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7F9FC"/>
          </w:tcPr>
          <w:p w14:paraId="1188FB5D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3600" w:type="dxa"/>
            <w:shd w:val="clear" w:color="auto" w:fill="F7F9FC"/>
          </w:tcPr>
          <w:p w14:paraId="4CF9D1EE">
            <w:r>
              <w:rPr>
                <w:rFonts w:ascii="Calibri" w:hAnsi="Calibri"/>
                <w:color w:val="2D3748"/>
                <w:sz w:val="18"/>
              </w:rPr>
              <w:t>Migration assessment in Phase 1; ETL pipeline design; trial migration runs; rollback plan</w:t>
            </w:r>
          </w:p>
        </w:tc>
        <w:tc>
          <w:tcPr>
            <w:tcW w:w="1440" w:type="dxa"/>
            <w:shd w:val="clear" w:color="auto" w:fill="F7F9FC"/>
          </w:tcPr>
          <w:p w14:paraId="31E3666E">
            <w:r>
              <w:rPr>
                <w:rFonts w:ascii="Calibri" w:hAnsi="Calibri"/>
                <w:color w:val="2D3748"/>
                <w:sz w:val="18"/>
              </w:rPr>
              <w:t>BA + Tech Lead</w:t>
            </w:r>
          </w:p>
        </w:tc>
      </w:tr>
      <w:tr w14:paraId="62D052B5">
        <w:trPr>
          <w:jc w:val="center"/>
        </w:trPr>
        <w:tc>
          <w:tcPr>
            <w:tcW w:w="720" w:type="dxa"/>
            <w:shd w:val="clear" w:color="auto" w:fill="FFFFFF"/>
          </w:tcPr>
          <w:p w14:paraId="0A9A6A54">
            <w:r>
              <w:rPr>
                <w:rFonts w:ascii="Calibri" w:hAnsi="Calibri"/>
                <w:color w:val="2D3748"/>
                <w:sz w:val="18"/>
              </w:rPr>
              <w:t>R-06</w:t>
            </w:r>
          </w:p>
        </w:tc>
        <w:tc>
          <w:tcPr>
            <w:tcW w:w="2880" w:type="dxa"/>
            <w:shd w:val="clear" w:color="auto" w:fill="FFFFFF"/>
          </w:tcPr>
          <w:p w14:paraId="663FE7D9">
            <w:r>
              <w:rPr>
                <w:rFonts w:ascii="Calibri" w:hAnsi="Calibri"/>
                <w:color w:val="2D3748"/>
                <w:sz w:val="18"/>
              </w:rPr>
              <w:t>Key resource attrition during project</w:t>
            </w:r>
          </w:p>
        </w:tc>
        <w:tc>
          <w:tcPr>
            <w:tcW w:w="1008" w:type="dxa"/>
            <w:shd w:val="clear" w:color="auto" w:fill="FFFFFF"/>
          </w:tcPr>
          <w:p w14:paraId="5D8F06E9"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  <w:tc>
          <w:tcPr>
            <w:tcW w:w="864" w:type="dxa"/>
            <w:shd w:val="clear" w:color="auto" w:fill="FFFFFF"/>
          </w:tcPr>
          <w:p w14:paraId="296CCD4F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3600" w:type="dxa"/>
            <w:shd w:val="clear" w:color="auto" w:fill="FFFFFF"/>
          </w:tcPr>
          <w:p w14:paraId="2B701CEE">
            <w:r>
              <w:rPr>
                <w:rFonts w:ascii="Calibri" w:hAnsi="Calibri"/>
                <w:color w:val="2D3748"/>
                <w:sz w:val="18"/>
              </w:rPr>
              <w:t>Cross-training within team; documentation-driven development; 30-day notice period clause</w:t>
            </w:r>
          </w:p>
        </w:tc>
        <w:tc>
          <w:tcPr>
            <w:tcW w:w="1440" w:type="dxa"/>
            <w:shd w:val="clear" w:color="auto" w:fill="FFFFFF"/>
          </w:tcPr>
          <w:p w14:paraId="7823B3DA">
            <w:r>
              <w:rPr>
                <w:rFonts w:ascii="Calibri" w:hAnsi="Calibri"/>
                <w:color w:val="2D3748"/>
                <w:sz w:val="18"/>
              </w:rPr>
              <w:t>Delivery Manager</w:t>
            </w:r>
          </w:p>
        </w:tc>
      </w:tr>
      <w:tr w14:paraId="506755DA">
        <w:trPr>
          <w:jc w:val="center"/>
        </w:trPr>
        <w:tc>
          <w:tcPr>
            <w:tcW w:w="720" w:type="dxa"/>
            <w:shd w:val="clear" w:color="auto" w:fill="F7F9FC"/>
          </w:tcPr>
          <w:p w14:paraId="59119BA0">
            <w:r>
              <w:rPr>
                <w:rFonts w:ascii="Calibri" w:hAnsi="Calibri"/>
                <w:color w:val="2D3748"/>
                <w:sz w:val="18"/>
              </w:rPr>
              <w:t>R-07</w:t>
            </w:r>
          </w:p>
        </w:tc>
        <w:tc>
          <w:tcPr>
            <w:tcW w:w="2880" w:type="dxa"/>
            <w:shd w:val="clear" w:color="auto" w:fill="F7F9FC"/>
          </w:tcPr>
          <w:p w14:paraId="4C764F64">
            <w:r>
              <w:rPr>
                <w:rFonts w:ascii="Calibri" w:hAnsi="Calibri"/>
                <w:color w:val="2D3748"/>
                <w:sz w:val="18"/>
              </w:rPr>
              <w:t>Performance degradation under peak load</w:t>
            </w:r>
          </w:p>
        </w:tc>
        <w:tc>
          <w:tcPr>
            <w:tcW w:w="1008" w:type="dxa"/>
            <w:shd w:val="clear" w:color="auto" w:fill="F7F9FC"/>
          </w:tcPr>
          <w:p w14:paraId="0325E01F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7F9FC"/>
          </w:tcPr>
          <w:p w14:paraId="5998DA21">
            <w:r>
              <w:rPr>
                <w:rFonts w:ascii="Calibri" w:hAnsi="Calibri"/>
                <w:color w:val="2D3748"/>
                <w:sz w:val="18"/>
              </w:rPr>
              <w:t>HIGH</w:t>
            </w:r>
          </w:p>
        </w:tc>
        <w:tc>
          <w:tcPr>
            <w:tcW w:w="3600" w:type="dxa"/>
            <w:shd w:val="clear" w:color="auto" w:fill="F7F9FC"/>
          </w:tcPr>
          <w:p w14:paraId="77F6EF2E">
            <w:r>
              <w:rPr>
                <w:rFonts w:ascii="Calibri" w:hAnsi="Calibri"/>
                <w:color w:val="2D3748"/>
                <w:sz w:val="18"/>
              </w:rPr>
              <w:t>Load testing from Phase 9; HPA configured; Redis caching; database query optimization</w:t>
            </w:r>
          </w:p>
        </w:tc>
        <w:tc>
          <w:tcPr>
            <w:tcW w:w="1440" w:type="dxa"/>
            <w:shd w:val="clear" w:color="auto" w:fill="F7F9FC"/>
          </w:tcPr>
          <w:p w14:paraId="15ED2E95">
            <w:r>
              <w:rPr>
                <w:rFonts w:ascii="Calibri" w:hAnsi="Calibri"/>
                <w:color w:val="2D3748"/>
                <w:sz w:val="18"/>
              </w:rPr>
              <w:t>DevOps + Tech Lead</w:t>
            </w:r>
          </w:p>
        </w:tc>
      </w:tr>
      <w:tr w14:paraId="6A591B98">
        <w:trPr>
          <w:jc w:val="center"/>
        </w:trPr>
        <w:tc>
          <w:tcPr>
            <w:tcW w:w="720" w:type="dxa"/>
            <w:shd w:val="clear" w:color="auto" w:fill="FFFFFF"/>
          </w:tcPr>
          <w:p w14:paraId="024C484F">
            <w:r>
              <w:rPr>
                <w:rFonts w:ascii="Calibri" w:hAnsi="Calibri"/>
                <w:color w:val="2D3748"/>
                <w:sz w:val="18"/>
              </w:rPr>
              <w:t>R-08</w:t>
            </w:r>
          </w:p>
        </w:tc>
        <w:tc>
          <w:tcPr>
            <w:tcW w:w="2880" w:type="dxa"/>
            <w:shd w:val="clear" w:color="auto" w:fill="FFFFFF"/>
          </w:tcPr>
          <w:p w14:paraId="35B9B262">
            <w:r>
              <w:rPr>
                <w:rFonts w:ascii="Calibri" w:hAnsi="Calibri"/>
                <w:color w:val="2D3748"/>
                <w:sz w:val="18"/>
              </w:rPr>
              <w:t>Regulatory compliance changes (DISHA/ABDM)</w:t>
            </w:r>
          </w:p>
        </w:tc>
        <w:tc>
          <w:tcPr>
            <w:tcW w:w="1008" w:type="dxa"/>
            <w:shd w:val="clear" w:color="auto" w:fill="FFFFFF"/>
          </w:tcPr>
          <w:p w14:paraId="62906312"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  <w:tc>
          <w:tcPr>
            <w:tcW w:w="864" w:type="dxa"/>
            <w:shd w:val="clear" w:color="auto" w:fill="FFFFFF"/>
          </w:tcPr>
          <w:p w14:paraId="681E2DAF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3600" w:type="dxa"/>
            <w:shd w:val="clear" w:color="auto" w:fill="FFFFFF"/>
          </w:tcPr>
          <w:p w14:paraId="1349FF67">
            <w:r>
              <w:rPr>
                <w:rFonts w:ascii="Calibri" w:hAnsi="Calibri"/>
                <w:color w:val="2D3748"/>
                <w:sz w:val="18"/>
              </w:rPr>
              <w:t>Modular compliance layer; configurable consent framework; regulatory watch process</w:t>
            </w:r>
          </w:p>
        </w:tc>
        <w:tc>
          <w:tcPr>
            <w:tcW w:w="1440" w:type="dxa"/>
            <w:shd w:val="clear" w:color="auto" w:fill="FFFFFF"/>
          </w:tcPr>
          <w:p w14:paraId="0B67614A">
            <w:r>
              <w:rPr>
                <w:rFonts w:ascii="Calibri" w:hAnsi="Calibri"/>
                <w:color w:val="2D3748"/>
                <w:sz w:val="18"/>
              </w:rPr>
              <w:t>BA</w:t>
            </w:r>
          </w:p>
        </w:tc>
      </w:tr>
      <w:tr w14:paraId="4D5A3C8B">
        <w:trPr>
          <w:jc w:val="center"/>
        </w:trPr>
        <w:tc>
          <w:tcPr>
            <w:tcW w:w="720" w:type="dxa"/>
            <w:shd w:val="clear" w:color="auto" w:fill="F7F9FC"/>
          </w:tcPr>
          <w:p w14:paraId="25E4C51B">
            <w:r>
              <w:rPr>
                <w:rFonts w:ascii="Calibri" w:hAnsi="Calibri"/>
                <w:color w:val="2D3748"/>
                <w:sz w:val="18"/>
              </w:rPr>
              <w:t>R-09</w:t>
            </w:r>
          </w:p>
        </w:tc>
        <w:tc>
          <w:tcPr>
            <w:tcW w:w="2880" w:type="dxa"/>
            <w:shd w:val="clear" w:color="auto" w:fill="F7F9FC"/>
          </w:tcPr>
          <w:p w14:paraId="0E780B7F">
            <w:r>
              <w:rPr>
                <w:rFonts w:ascii="Calibri" w:hAnsi="Calibri"/>
                <w:color w:val="2D3748"/>
                <w:sz w:val="18"/>
              </w:rPr>
              <w:t>Multi-tenant data isolation breach</w:t>
            </w:r>
          </w:p>
        </w:tc>
        <w:tc>
          <w:tcPr>
            <w:tcW w:w="1008" w:type="dxa"/>
            <w:shd w:val="clear" w:color="auto" w:fill="F7F9FC"/>
          </w:tcPr>
          <w:p w14:paraId="621FD347"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  <w:tc>
          <w:tcPr>
            <w:tcW w:w="864" w:type="dxa"/>
            <w:shd w:val="clear" w:color="auto" w:fill="F7F9FC"/>
          </w:tcPr>
          <w:p w14:paraId="52A603D4">
            <w:r>
              <w:rPr>
                <w:rFonts w:ascii="Calibri" w:hAnsi="Calibri"/>
                <w:color w:val="2D3748"/>
                <w:sz w:val="18"/>
              </w:rPr>
              <w:t>CRITICAL</w:t>
            </w:r>
          </w:p>
        </w:tc>
        <w:tc>
          <w:tcPr>
            <w:tcW w:w="3600" w:type="dxa"/>
            <w:shd w:val="clear" w:color="auto" w:fill="F7F9FC"/>
          </w:tcPr>
          <w:p w14:paraId="49B04E84">
            <w:r>
              <w:rPr>
                <w:rFonts w:ascii="Calibri" w:hAnsi="Calibri"/>
                <w:color w:val="2D3748"/>
                <w:sz w:val="18"/>
              </w:rPr>
              <w:t>Schema-per-tenant + RLS; automated security testing; penetration testing; code review gates</w:t>
            </w:r>
          </w:p>
        </w:tc>
        <w:tc>
          <w:tcPr>
            <w:tcW w:w="1440" w:type="dxa"/>
            <w:shd w:val="clear" w:color="auto" w:fill="F7F9FC"/>
          </w:tcPr>
          <w:p w14:paraId="23E2FB90">
            <w:r>
              <w:rPr>
                <w:rFonts w:ascii="Calibri" w:hAnsi="Calibri"/>
                <w:color w:val="2D3748"/>
                <w:sz w:val="18"/>
              </w:rPr>
              <w:t>Solution Architect</w:t>
            </w:r>
          </w:p>
        </w:tc>
      </w:tr>
      <w:tr w14:paraId="620D5579">
        <w:trPr>
          <w:jc w:val="center"/>
        </w:trPr>
        <w:tc>
          <w:tcPr>
            <w:tcW w:w="720" w:type="dxa"/>
            <w:shd w:val="clear" w:color="auto" w:fill="FFFFFF"/>
          </w:tcPr>
          <w:p w14:paraId="28C21681">
            <w:r>
              <w:rPr>
                <w:rFonts w:ascii="Calibri" w:hAnsi="Calibri"/>
                <w:color w:val="2D3748"/>
                <w:sz w:val="18"/>
              </w:rPr>
              <w:t>R-10</w:t>
            </w:r>
          </w:p>
        </w:tc>
        <w:tc>
          <w:tcPr>
            <w:tcW w:w="2880" w:type="dxa"/>
            <w:shd w:val="clear" w:color="auto" w:fill="FFFFFF"/>
          </w:tcPr>
          <w:p w14:paraId="12C8EAA8">
            <w:r>
              <w:rPr>
                <w:rFonts w:ascii="Calibri" w:hAnsi="Calibri"/>
                <w:color w:val="2D3748"/>
                <w:sz w:val="18"/>
              </w:rPr>
              <w:t>Biometric device compatibility issues</w:t>
            </w:r>
          </w:p>
        </w:tc>
        <w:tc>
          <w:tcPr>
            <w:tcW w:w="1008" w:type="dxa"/>
            <w:shd w:val="clear" w:color="auto" w:fill="FFFFFF"/>
          </w:tcPr>
          <w:p w14:paraId="4EC0DD0C">
            <w:r>
              <w:rPr>
                <w:rFonts w:ascii="Calibri" w:hAnsi="Calibri"/>
                <w:color w:val="2D3748"/>
                <w:sz w:val="18"/>
              </w:rPr>
              <w:t>MEDIUM</w:t>
            </w:r>
          </w:p>
        </w:tc>
        <w:tc>
          <w:tcPr>
            <w:tcW w:w="864" w:type="dxa"/>
            <w:shd w:val="clear" w:color="auto" w:fill="FFFFFF"/>
          </w:tcPr>
          <w:p w14:paraId="13E063AA">
            <w:r>
              <w:rPr>
                <w:rFonts w:ascii="Calibri" w:hAnsi="Calibri"/>
                <w:color w:val="2D3748"/>
                <w:sz w:val="18"/>
              </w:rPr>
              <w:t>LOW</w:t>
            </w:r>
          </w:p>
        </w:tc>
        <w:tc>
          <w:tcPr>
            <w:tcW w:w="3600" w:type="dxa"/>
            <w:shd w:val="clear" w:color="auto" w:fill="FFFFFF"/>
          </w:tcPr>
          <w:p w14:paraId="71317752">
            <w:r>
              <w:rPr>
                <w:rFonts w:ascii="Calibri" w:hAnsi="Calibri"/>
                <w:color w:val="2D3748"/>
                <w:sz w:val="18"/>
              </w:rPr>
              <w:t>ZKTeco/Suprema API abstraction layer; manual attendance fallback; device certification pre-check</w:t>
            </w:r>
          </w:p>
        </w:tc>
        <w:tc>
          <w:tcPr>
            <w:tcW w:w="1440" w:type="dxa"/>
            <w:shd w:val="clear" w:color="auto" w:fill="FFFFFF"/>
          </w:tcPr>
          <w:p w14:paraId="494D2F63">
            <w:r>
              <w:rPr>
                <w:rFonts w:ascii="Calibri" w:hAnsi="Calibri"/>
                <w:color w:val="2D3748"/>
                <w:sz w:val="18"/>
              </w:rPr>
              <w:t>Tech Lead</w:t>
            </w:r>
          </w:p>
        </w:tc>
      </w:tr>
    </w:tbl>
    <w:p w14:paraId="7E393A19">
      <w:r>
        <w:br w:type="page"/>
      </w:r>
    </w:p>
    <w:p w14:paraId="5E012F94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12. Change Management Process</w:t>
      </w:r>
    </w:p>
    <w:p w14:paraId="2EB6A506">
      <w:r>
        <w:t>All changes to the scope, timeline, or deliverables defined in this SOW must follow the formal Change Management process. Verbal requests or email-only requests are not considered formal Change Requests.</w:t>
      </w:r>
    </w:p>
    <w:p w14:paraId="58946E9B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12.1 Change Request Workflow</w:t>
      </w:r>
    </w:p>
    <w:p w14:paraId="40BD323A">
      <w:r>
        <w:t>Step 1: Requester submits Change Request (CR) form with description, justification, and priority → Step 2: TGWT team performs impact analysis (effort, timeline, cost, risk) within 5 business days → Step 3: Impact analysis presented to Change Control Board (CCB) → Step 4: CCB reviews and decides (Approve / Reject / Defer) → Step 5: If approved, SOW amendment issued and signed → Step 6: CR integrated into sprint backlog per revised timeline</w:t>
      </w:r>
    </w:p>
    <w:p w14:paraId="2AA9BA2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12.2 Change Classification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75"/>
        <w:gridCol w:w="3087"/>
        <w:gridCol w:w="1586"/>
        <w:gridCol w:w="1890"/>
        <w:gridCol w:w="1708"/>
      </w:tblGrid>
      <w:tr w14:paraId="67C62852">
        <w:trPr>
          <w:jc w:val="center"/>
        </w:trPr>
        <w:tc>
          <w:tcPr>
            <w:tcW w:w="1440" w:type="dxa"/>
            <w:shd w:val="clear" w:color="auto" w:fill="1B3A5C"/>
          </w:tcPr>
          <w:p w14:paraId="4D01684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3600" w:type="dxa"/>
            <w:shd w:val="clear" w:color="auto" w:fill="1B3A5C"/>
          </w:tcPr>
          <w:p w14:paraId="7FBF7FF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w="1728" w:type="dxa"/>
            <w:shd w:val="clear" w:color="auto" w:fill="1B3A5C"/>
          </w:tcPr>
          <w:p w14:paraId="3CD3FA1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Timeline Impact</w:t>
            </w:r>
          </w:p>
        </w:tc>
        <w:tc>
          <w:tcPr>
            <w:tcW w:w="2160" w:type="dxa"/>
            <w:shd w:val="clear" w:color="auto" w:fill="1B3A5C"/>
          </w:tcPr>
          <w:p w14:paraId="752D3F6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 Impact</w:t>
            </w:r>
          </w:p>
        </w:tc>
        <w:tc>
          <w:tcPr>
            <w:tcW w:w="1872" w:type="dxa"/>
            <w:shd w:val="clear" w:color="auto" w:fill="1B3A5C"/>
          </w:tcPr>
          <w:p w14:paraId="051C31C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Authority</w:t>
            </w:r>
          </w:p>
        </w:tc>
      </w:tr>
      <w:tr w14:paraId="2D020A70">
        <w:trPr>
          <w:jc w:val="center"/>
        </w:trPr>
        <w:tc>
          <w:tcPr>
            <w:tcW w:w="1440" w:type="dxa"/>
            <w:shd w:val="clear" w:color="auto" w:fill="F7F9FC"/>
          </w:tcPr>
          <w:p w14:paraId="6BA459EE">
            <w:r>
              <w:rPr>
                <w:rFonts w:ascii="Calibri" w:hAnsi="Calibri"/>
                <w:color w:val="2D3748"/>
                <w:sz w:val="18"/>
              </w:rPr>
              <w:t>Minor</w:t>
            </w:r>
          </w:p>
        </w:tc>
        <w:tc>
          <w:tcPr>
            <w:tcW w:w="3600" w:type="dxa"/>
            <w:shd w:val="clear" w:color="auto" w:fill="F7F9FC"/>
          </w:tcPr>
          <w:p w14:paraId="4ABFBC84">
            <w:r>
              <w:rPr>
                <w:rFonts w:ascii="Calibri" w:hAnsi="Calibri"/>
                <w:color w:val="2D3748"/>
                <w:sz w:val="18"/>
              </w:rPr>
              <w:t>UI changes, label text, minor field additions within existing screens</w:t>
            </w:r>
          </w:p>
        </w:tc>
        <w:tc>
          <w:tcPr>
            <w:tcW w:w="1728" w:type="dxa"/>
            <w:shd w:val="clear" w:color="auto" w:fill="F7F9FC"/>
          </w:tcPr>
          <w:p w14:paraId="290A3740">
            <w:r>
              <w:rPr>
                <w:rFonts w:ascii="Calibri" w:hAnsi="Calibri"/>
                <w:color w:val="2D3748"/>
                <w:sz w:val="18"/>
              </w:rPr>
              <w:t>None</w:t>
            </w:r>
          </w:p>
        </w:tc>
        <w:tc>
          <w:tcPr>
            <w:tcW w:w="2160" w:type="dxa"/>
            <w:shd w:val="clear" w:color="auto" w:fill="F7F9FC"/>
          </w:tcPr>
          <w:p w14:paraId="0A4A5C13">
            <w:r>
              <w:rPr>
                <w:rFonts w:ascii="Calibri" w:hAnsi="Calibri"/>
                <w:color w:val="2D374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7F9FC"/>
          </w:tcPr>
          <w:p w14:paraId="37B4D585">
            <w:r>
              <w:rPr>
                <w:rFonts w:ascii="Calibri" w:hAnsi="Calibri"/>
                <w:color w:val="2D3748"/>
                <w:sz w:val="18"/>
              </w:rPr>
              <w:t>Tech Lead</w:t>
            </w:r>
          </w:p>
        </w:tc>
      </w:tr>
      <w:tr w14:paraId="3B314D39">
        <w:trPr>
          <w:jc w:val="center"/>
        </w:trPr>
        <w:tc>
          <w:tcPr>
            <w:tcW w:w="1440" w:type="dxa"/>
            <w:shd w:val="clear" w:color="auto" w:fill="FFFFFF"/>
          </w:tcPr>
          <w:p w14:paraId="3D6B89CE">
            <w:r>
              <w:rPr>
                <w:rFonts w:ascii="Calibri" w:hAnsi="Calibri"/>
                <w:color w:val="2D3748"/>
                <w:sz w:val="18"/>
              </w:rPr>
              <w:t>Moderate</w:t>
            </w:r>
          </w:p>
        </w:tc>
        <w:tc>
          <w:tcPr>
            <w:tcW w:w="3600" w:type="dxa"/>
            <w:shd w:val="clear" w:color="auto" w:fill="FFFFFF"/>
          </w:tcPr>
          <w:p w14:paraId="4E63BF9E">
            <w:r>
              <w:rPr>
                <w:rFonts w:ascii="Calibri" w:hAnsi="Calibri"/>
                <w:color w:val="2D3748"/>
                <w:sz w:val="18"/>
              </w:rPr>
              <w:t>New screen within existing module, workflow modification, new report</w:t>
            </w:r>
          </w:p>
        </w:tc>
        <w:tc>
          <w:tcPr>
            <w:tcW w:w="1728" w:type="dxa"/>
            <w:shd w:val="clear" w:color="auto" w:fill="FFFFFF"/>
          </w:tcPr>
          <w:p w14:paraId="3F54E893">
            <w:r>
              <w:rPr>
                <w:rFonts w:ascii="Calibri" w:hAnsi="Calibri"/>
                <w:color w:val="2D3748"/>
                <w:sz w:val="18"/>
              </w:rPr>
              <w:t>1-2 sprints</w:t>
            </w:r>
          </w:p>
        </w:tc>
        <w:tc>
          <w:tcPr>
            <w:tcW w:w="2160" w:type="dxa"/>
            <w:shd w:val="clear" w:color="auto" w:fill="FFFFFF"/>
          </w:tcPr>
          <w:p w14:paraId="550DF469">
            <w:r>
              <w:rPr>
                <w:rFonts w:ascii="Calibri" w:hAnsi="Calibri"/>
                <w:color w:val="2D3748"/>
                <w:sz w:val="18"/>
              </w:rPr>
              <w:t>Quoted per CR</w:t>
            </w:r>
          </w:p>
        </w:tc>
        <w:tc>
          <w:tcPr>
            <w:tcW w:w="1872" w:type="dxa"/>
            <w:shd w:val="clear" w:color="auto" w:fill="FFFFFF"/>
          </w:tcPr>
          <w:p w14:paraId="60D68FC3">
            <w:r>
              <w:rPr>
                <w:rFonts w:ascii="Calibri" w:hAnsi="Calibri"/>
                <w:color w:val="2D3748"/>
                <w:sz w:val="18"/>
              </w:rPr>
              <w:t>CCB</w:t>
            </w:r>
          </w:p>
        </w:tc>
      </w:tr>
      <w:tr w14:paraId="4177E473">
        <w:trPr>
          <w:jc w:val="center"/>
        </w:trPr>
        <w:tc>
          <w:tcPr>
            <w:tcW w:w="1440" w:type="dxa"/>
            <w:shd w:val="clear" w:color="auto" w:fill="F7F9FC"/>
          </w:tcPr>
          <w:p w14:paraId="12DDB093">
            <w:r>
              <w:rPr>
                <w:rFonts w:ascii="Calibri" w:hAnsi="Calibri"/>
                <w:color w:val="2D3748"/>
                <w:sz w:val="18"/>
              </w:rPr>
              <w:t>Major</w:t>
            </w:r>
          </w:p>
        </w:tc>
        <w:tc>
          <w:tcPr>
            <w:tcW w:w="3600" w:type="dxa"/>
            <w:shd w:val="clear" w:color="auto" w:fill="F7F9FC"/>
          </w:tcPr>
          <w:p w14:paraId="426DAD1C">
            <w:r>
              <w:rPr>
                <w:rFonts w:ascii="Calibri" w:hAnsi="Calibri"/>
                <w:color w:val="2D3748"/>
                <w:sz w:val="18"/>
              </w:rPr>
              <w:t>New module, new integration, architectural change, new user role</w:t>
            </w:r>
          </w:p>
        </w:tc>
        <w:tc>
          <w:tcPr>
            <w:tcW w:w="1728" w:type="dxa"/>
            <w:shd w:val="clear" w:color="auto" w:fill="F7F9FC"/>
          </w:tcPr>
          <w:p w14:paraId="6F2522CB">
            <w:r>
              <w:rPr>
                <w:rFonts w:ascii="Calibri" w:hAnsi="Calibri"/>
                <w:color w:val="2D3748"/>
                <w:sz w:val="18"/>
              </w:rPr>
              <w:t>4+ sprints</w:t>
            </w:r>
          </w:p>
        </w:tc>
        <w:tc>
          <w:tcPr>
            <w:tcW w:w="2160" w:type="dxa"/>
            <w:shd w:val="clear" w:color="auto" w:fill="F7F9FC"/>
          </w:tcPr>
          <w:p w14:paraId="6D667321">
            <w:r>
              <w:rPr>
                <w:rFonts w:ascii="Calibri" w:hAnsi="Calibri"/>
                <w:color w:val="2D3748"/>
                <w:sz w:val="18"/>
              </w:rPr>
              <w:t>Quoted per CR + retesting</w:t>
            </w:r>
          </w:p>
        </w:tc>
        <w:tc>
          <w:tcPr>
            <w:tcW w:w="1872" w:type="dxa"/>
            <w:shd w:val="clear" w:color="auto" w:fill="F7F9FC"/>
          </w:tcPr>
          <w:p w14:paraId="61D36FFD">
            <w:r>
              <w:rPr>
                <w:rFonts w:ascii="Calibri" w:hAnsi="Calibri"/>
                <w:color w:val="2D3748"/>
                <w:sz w:val="18"/>
              </w:rPr>
              <w:t>Steering Committee</w:t>
            </w:r>
          </w:p>
        </w:tc>
      </w:tr>
      <w:tr w14:paraId="47D84832">
        <w:trPr>
          <w:jc w:val="center"/>
        </w:trPr>
        <w:tc>
          <w:tcPr>
            <w:tcW w:w="1440" w:type="dxa"/>
            <w:shd w:val="clear" w:color="auto" w:fill="FFFFFF"/>
          </w:tcPr>
          <w:p w14:paraId="047294AC">
            <w:r>
              <w:rPr>
                <w:rFonts w:ascii="Calibri" w:hAnsi="Calibri"/>
                <w:color w:val="2D3748"/>
                <w:sz w:val="18"/>
              </w:rPr>
              <w:t>Emergency</w:t>
            </w:r>
          </w:p>
        </w:tc>
        <w:tc>
          <w:tcPr>
            <w:tcW w:w="3600" w:type="dxa"/>
            <w:shd w:val="clear" w:color="auto" w:fill="FFFFFF"/>
          </w:tcPr>
          <w:p w14:paraId="4FBCB91E">
            <w:r>
              <w:rPr>
                <w:rFonts w:ascii="Calibri" w:hAnsi="Calibri"/>
                <w:color w:val="2D3748"/>
                <w:sz w:val="18"/>
              </w:rPr>
              <w:t>Critical production fix outside normal process</w:t>
            </w:r>
          </w:p>
        </w:tc>
        <w:tc>
          <w:tcPr>
            <w:tcW w:w="1728" w:type="dxa"/>
            <w:shd w:val="clear" w:color="auto" w:fill="FFFFFF"/>
          </w:tcPr>
          <w:p w14:paraId="5B37B3E8">
            <w:r>
              <w:rPr>
                <w:rFonts w:ascii="Calibri" w:hAnsi="Calibri"/>
                <w:color w:val="2D3748"/>
                <w:sz w:val="18"/>
              </w:rPr>
              <w:t>Immediate</w:t>
            </w:r>
          </w:p>
        </w:tc>
        <w:tc>
          <w:tcPr>
            <w:tcW w:w="2160" w:type="dxa"/>
            <w:shd w:val="clear" w:color="auto" w:fill="FFFFFF"/>
          </w:tcPr>
          <w:p w14:paraId="6D365E8E">
            <w:r>
              <w:rPr>
                <w:rFonts w:ascii="Calibri" w:hAnsi="Calibri"/>
                <w:color w:val="2D3748"/>
                <w:sz w:val="18"/>
              </w:rPr>
              <w:t>Post-facto CR</w:t>
            </w:r>
          </w:p>
        </w:tc>
        <w:tc>
          <w:tcPr>
            <w:tcW w:w="1872" w:type="dxa"/>
            <w:shd w:val="clear" w:color="auto" w:fill="FFFFFF"/>
          </w:tcPr>
          <w:p w14:paraId="1C13A0A6">
            <w:r>
              <w:rPr>
                <w:rFonts w:ascii="Calibri" w:hAnsi="Calibri"/>
                <w:color w:val="2D3748"/>
                <w:sz w:val="18"/>
              </w:rPr>
              <w:t>Delivery Manager</w:t>
            </w:r>
          </w:p>
        </w:tc>
      </w:tr>
    </w:tbl>
    <w:p w14:paraId="7E1C2696">
      <w:r>
        <w:br w:type="page"/>
      </w:r>
    </w:p>
    <w:p w14:paraId="05B602C7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13. Training &amp; Knowledge Transfer</w:t>
      </w:r>
    </w:p>
    <w:p w14:paraId="198B9769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13.1 Training Program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7"/>
        <w:gridCol w:w="2276"/>
        <w:gridCol w:w="1110"/>
        <w:gridCol w:w="1302"/>
        <w:gridCol w:w="2721"/>
      </w:tblGrid>
      <w:tr w14:paraId="5562A42A">
        <w:trPr>
          <w:jc w:val="center"/>
        </w:trPr>
        <w:tc>
          <w:tcPr>
            <w:tcW w:w="2592" w:type="dxa"/>
            <w:shd w:val="clear" w:color="auto" w:fill="1B3A5C"/>
          </w:tcPr>
          <w:p w14:paraId="3D68AC5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Training Track</w:t>
            </w:r>
          </w:p>
        </w:tc>
        <w:tc>
          <w:tcPr>
            <w:tcW w:w="2592" w:type="dxa"/>
            <w:shd w:val="clear" w:color="auto" w:fill="1B3A5C"/>
          </w:tcPr>
          <w:p w14:paraId="4E1766C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w="1152" w:type="dxa"/>
            <w:shd w:val="clear" w:color="auto" w:fill="1B3A5C"/>
          </w:tcPr>
          <w:p w14:paraId="66DCD0E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w="1440" w:type="dxa"/>
            <w:shd w:val="clear" w:color="auto" w:fill="1B3A5C"/>
          </w:tcPr>
          <w:p w14:paraId="71CF1EA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w="3168" w:type="dxa"/>
            <w:shd w:val="clear" w:color="auto" w:fill="1B3A5C"/>
          </w:tcPr>
          <w:p w14:paraId="4043F51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</w:tr>
      <w:tr w14:paraId="420F31AB">
        <w:trPr>
          <w:jc w:val="center"/>
        </w:trPr>
        <w:tc>
          <w:tcPr>
            <w:tcW w:w="2592" w:type="dxa"/>
            <w:shd w:val="clear" w:color="auto" w:fill="F7F9FC"/>
          </w:tcPr>
          <w:p w14:paraId="06F41ABC">
            <w:r>
              <w:rPr>
                <w:rFonts w:ascii="Calibri" w:hAnsi="Calibri"/>
                <w:color w:val="2D3748"/>
                <w:sz w:val="18"/>
              </w:rPr>
              <w:t>System Admin Training</w:t>
            </w:r>
          </w:p>
        </w:tc>
        <w:tc>
          <w:tcPr>
            <w:tcW w:w="2592" w:type="dxa"/>
            <w:shd w:val="clear" w:color="auto" w:fill="F7F9FC"/>
          </w:tcPr>
          <w:p w14:paraId="1E5F59EE">
            <w:r>
              <w:rPr>
                <w:rFonts w:ascii="Calibri" w:hAnsi="Calibri"/>
                <w:color w:val="2D3748"/>
                <w:sz w:val="18"/>
              </w:rPr>
              <w:t>Client IT team (L2-L3 roles)</w:t>
            </w:r>
          </w:p>
        </w:tc>
        <w:tc>
          <w:tcPr>
            <w:tcW w:w="1152" w:type="dxa"/>
            <w:shd w:val="clear" w:color="auto" w:fill="F7F9FC"/>
          </w:tcPr>
          <w:p w14:paraId="27504803">
            <w:r>
              <w:rPr>
                <w:rFonts w:ascii="Calibri" w:hAnsi="Calibri"/>
                <w:color w:val="2D3748"/>
                <w:sz w:val="18"/>
              </w:rPr>
              <w:t>3 days</w:t>
            </w:r>
          </w:p>
        </w:tc>
        <w:tc>
          <w:tcPr>
            <w:tcW w:w="1440" w:type="dxa"/>
            <w:shd w:val="clear" w:color="auto" w:fill="F7F9FC"/>
          </w:tcPr>
          <w:p w14:paraId="7BCB06A0">
            <w:r>
              <w:rPr>
                <w:rFonts w:ascii="Calibri" w:hAnsi="Calibri"/>
                <w:color w:val="2D3748"/>
                <w:sz w:val="18"/>
              </w:rPr>
              <w:t>On-site / Remote</w:t>
            </w:r>
          </w:p>
        </w:tc>
        <w:tc>
          <w:tcPr>
            <w:tcW w:w="3168" w:type="dxa"/>
            <w:shd w:val="clear" w:color="auto" w:fill="F7F9FC"/>
          </w:tcPr>
          <w:p w14:paraId="4881612E">
            <w:r>
              <w:rPr>
                <w:rFonts w:ascii="Calibri" w:hAnsi="Calibri"/>
                <w:color w:val="2D3748"/>
                <w:sz w:val="18"/>
              </w:rPr>
              <w:t>Admin manual, video recordings, lab exercises</w:t>
            </w:r>
          </w:p>
        </w:tc>
      </w:tr>
      <w:tr w14:paraId="2406A030">
        <w:trPr>
          <w:jc w:val="center"/>
        </w:trPr>
        <w:tc>
          <w:tcPr>
            <w:tcW w:w="2592" w:type="dxa"/>
            <w:shd w:val="clear" w:color="auto" w:fill="FFFFFF"/>
          </w:tcPr>
          <w:p w14:paraId="67EB62AD">
            <w:r>
              <w:rPr>
                <w:rFonts w:ascii="Calibri" w:hAnsi="Calibri"/>
                <w:color w:val="2D3748"/>
                <w:sz w:val="18"/>
              </w:rPr>
              <w:t>End-User Training — Clinical</w:t>
            </w:r>
          </w:p>
        </w:tc>
        <w:tc>
          <w:tcPr>
            <w:tcW w:w="2592" w:type="dxa"/>
            <w:shd w:val="clear" w:color="auto" w:fill="FFFFFF"/>
          </w:tcPr>
          <w:p w14:paraId="276A4B2B">
            <w:r>
              <w:rPr>
                <w:rFonts w:ascii="Calibri" w:hAnsi="Calibri"/>
                <w:color w:val="2D3748"/>
                <w:sz w:val="18"/>
              </w:rPr>
              <w:t>Doctors, Nurses, Pharmacists, Lab technicians</w:t>
            </w:r>
          </w:p>
        </w:tc>
        <w:tc>
          <w:tcPr>
            <w:tcW w:w="1152" w:type="dxa"/>
            <w:shd w:val="clear" w:color="auto" w:fill="FFFFFF"/>
          </w:tcPr>
          <w:p w14:paraId="6ACB40ED">
            <w:r>
              <w:rPr>
                <w:rFonts w:ascii="Calibri" w:hAnsi="Calibri"/>
                <w:color w:val="2D3748"/>
                <w:sz w:val="18"/>
              </w:rPr>
              <w:t>2 days per dept</w:t>
            </w:r>
          </w:p>
        </w:tc>
        <w:tc>
          <w:tcPr>
            <w:tcW w:w="1440" w:type="dxa"/>
            <w:shd w:val="clear" w:color="auto" w:fill="FFFFFF"/>
          </w:tcPr>
          <w:p w14:paraId="08BD32C2">
            <w:r>
              <w:rPr>
                <w:rFonts w:ascii="Calibri" w:hAnsi="Calibri"/>
                <w:color w:val="2D3748"/>
                <w:sz w:val="18"/>
              </w:rPr>
              <w:t>On-site</w:t>
            </w:r>
          </w:p>
        </w:tc>
        <w:tc>
          <w:tcPr>
            <w:tcW w:w="3168" w:type="dxa"/>
            <w:shd w:val="clear" w:color="auto" w:fill="FFFFFF"/>
          </w:tcPr>
          <w:p w14:paraId="6353E0DE">
            <w:r>
              <w:rPr>
                <w:rFonts w:ascii="Calibri" w:hAnsi="Calibri"/>
                <w:color w:val="2D3748"/>
                <w:sz w:val="18"/>
              </w:rPr>
              <w:t>Quick-reference cards, module-specific guides, video walkthroughs</w:t>
            </w:r>
          </w:p>
        </w:tc>
      </w:tr>
      <w:tr w14:paraId="0CB87983">
        <w:trPr>
          <w:jc w:val="center"/>
        </w:trPr>
        <w:tc>
          <w:tcPr>
            <w:tcW w:w="2592" w:type="dxa"/>
            <w:shd w:val="clear" w:color="auto" w:fill="F7F9FC"/>
          </w:tcPr>
          <w:p w14:paraId="4F6AF8B2">
            <w:r>
              <w:rPr>
                <w:rFonts w:ascii="Calibri" w:hAnsi="Calibri"/>
                <w:color w:val="2D3748"/>
                <w:sz w:val="18"/>
              </w:rPr>
              <w:t>End-User Training — Admin</w:t>
            </w:r>
          </w:p>
        </w:tc>
        <w:tc>
          <w:tcPr>
            <w:tcW w:w="2592" w:type="dxa"/>
            <w:shd w:val="clear" w:color="auto" w:fill="F7F9FC"/>
          </w:tcPr>
          <w:p w14:paraId="1B2CC966">
            <w:r>
              <w:rPr>
                <w:rFonts w:ascii="Calibri" w:hAnsi="Calibri"/>
                <w:color w:val="2D3748"/>
                <w:sz w:val="18"/>
              </w:rPr>
              <w:t>Finance, HR, Inventory staff</w:t>
            </w:r>
          </w:p>
        </w:tc>
        <w:tc>
          <w:tcPr>
            <w:tcW w:w="1152" w:type="dxa"/>
            <w:shd w:val="clear" w:color="auto" w:fill="F7F9FC"/>
          </w:tcPr>
          <w:p w14:paraId="19EB484E">
            <w:r>
              <w:rPr>
                <w:rFonts w:ascii="Calibri" w:hAnsi="Calibri"/>
                <w:color w:val="2D3748"/>
                <w:sz w:val="18"/>
              </w:rPr>
              <w:t>2 days per dept</w:t>
            </w:r>
          </w:p>
        </w:tc>
        <w:tc>
          <w:tcPr>
            <w:tcW w:w="1440" w:type="dxa"/>
            <w:shd w:val="clear" w:color="auto" w:fill="F7F9FC"/>
          </w:tcPr>
          <w:p w14:paraId="65125E39">
            <w:r>
              <w:rPr>
                <w:rFonts w:ascii="Calibri" w:hAnsi="Calibri"/>
                <w:color w:val="2D3748"/>
                <w:sz w:val="18"/>
              </w:rPr>
              <w:t>On-site</w:t>
            </w:r>
          </w:p>
        </w:tc>
        <w:tc>
          <w:tcPr>
            <w:tcW w:w="3168" w:type="dxa"/>
            <w:shd w:val="clear" w:color="auto" w:fill="F7F9FC"/>
          </w:tcPr>
          <w:p w14:paraId="45E99421">
            <w:r>
              <w:rPr>
                <w:rFonts w:ascii="Calibri" w:hAnsi="Calibri"/>
                <w:color w:val="2D3748"/>
                <w:sz w:val="18"/>
              </w:rPr>
              <w:t>Process guides, cheat sheets, FAQ documents</w:t>
            </w:r>
          </w:p>
        </w:tc>
      </w:tr>
      <w:tr w14:paraId="444B305E">
        <w:trPr>
          <w:jc w:val="center"/>
        </w:trPr>
        <w:tc>
          <w:tcPr>
            <w:tcW w:w="2592" w:type="dxa"/>
            <w:shd w:val="clear" w:color="auto" w:fill="FFFFFF"/>
          </w:tcPr>
          <w:p w14:paraId="526E5682">
            <w:r>
              <w:rPr>
                <w:rFonts w:ascii="Calibri" w:hAnsi="Calibri"/>
                <w:color w:val="2D3748"/>
                <w:sz w:val="18"/>
              </w:rPr>
              <w:t>Train-the-Trainer</w:t>
            </w:r>
          </w:p>
        </w:tc>
        <w:tc>
          <w:tcPr>
            <w:tcW w:w="2592" w:type="dxa"/>
            <w:shd w:val="clear" w:color="auto" w:fill="FFFFFF"/>
          </w:tcPr>
          <w:p w14:paraId="204AD2DC">
            <w:r>
              <w:rPr>
                <w:rFonts w:ascii="Calibri" w:hAnsi="Calibri"/>
                <w:color w:val="2D3748"/>
                <w:sz w:val="18"/>
              </w:rPr>
              <w:t>Client nominated super-users (2 per dept)</w:t>
            </w:r>
          </w:p>
        </w:tc>
        <w:tc>
          <w:tcPr>
            <w:tcW w:w="1152" w:type="dxa"/>
            <w:shd w:val="clear" w:color="auto" w:fill="FFFFFF"/>
          </w:tcPr>
          <w:p w14:paraId="726D3A37">
            <w:r>
              <w:rPr>
                <w:rFonts w:ascii="Calibri" w:hAnsi="Calibri"/>
                <w:color w:val="2D3748"/>
                <w:sz w:val="18"/>
              </w:rPr>
              <w:t>3 days</w:t>
            </w:r>
          </w:p>
        </w:tc>
        <w:tc>
          <w:tcPr>
            <w:tcW w:w="1440" w:type="dxa"/>
            <w:shd w:val="clear" w:color="auto" w:fill="FFFFFF"/>
          </w:tcPr>
          <w:p w14:paraId="0EC80516">
            <w:r>
              <w:rPr>
                <w:rFonts w:ascii="Calibri" w:hAnsi="Calibri"/>
                <w:color w:val="2D3748"/>
                <w:sz w:val="18"/>
              </w:rPr>
              <w:t>On-site</w:t>
            </w:r>
          </w:p>
        </w:tc>
        <w:tc>
          <w:tcPr>
            <w:tcW w:w="3168" w:type="dxa"/>
            <w:shd w:val="clear" w:color="auto" w:fill="FFFFFF"/>
          </w:tcPr>
          <w:p w14:paraId="578AC700">
            <w:r>
              <w:rPr>
                <w:rFonts w:ascii="Calibri" w:hAnsi="Calibri"/>
                <w:color w:val="2D3748"/>
                <w:sz w:val="18"/>
              </w:rPr>
              <w:t>Trainer kit, presentation slides, assessment templates</w:t>
            </w:r>
          </w:p>
        </w:tc>
      </w:tr>
      <w:tr w14:paraId="53373CF0">
        <w:trPr>
          <w:jc w:val="center"/>
        </w:trPr>
        <w:tc>
          <w:tcPr>
            <w:tcW w:w="2592" w:type="dxa"/>
            <w:shd w:val="clear" w:color="auto" w:fill="F7F9FC"/>
          </w:tcPr>
          <w:p w14:paraId="4179E009">
            <w:r>
              <w:rPr>
                <w:rFonts w:ascii="Calibri" w:hAnsi="Calibri"/>
                <w:color w:val="2D3748"/>
                <w:sz w:val="18"/>
              </w:rPr>
              <w:t>Patient Portal Orientation</w:t>
            </w:r>
          </w:p>
        </w:tc>
        <w:tc>
          <w:tcPr>
            <w:tcW w:w="2592" w:type="dxa"/>
            <w:shd w:val="clear" w:color="auto" w:fill="F7F9FC"/>
          </w:tcPr>
          <w:p w14:paraId="276D926E">
            <w:r>
              <w:rPr>
                <w:rFonts w:ascii="Calibri" w:hAnsi="Calibri"/>
                <w:color w:val="2D3748"/>
                <w:sz w:val="18"/>
              </w:rPr>
              <w:t>Front desk staff for patient guidance</w:t>
            </w:r>
          </w:p>
        </w:tc>
        <w:tc>
          <w:tcPr>
            <w:tcW w:w="1152" w:type="dxa"/>
            <w:shd w:val="clear" w:color="auto" w:fill="F7F9FC"/>
          </w:tcPr>
          <w:p w14:paraId="22DE3E5B">
            <w:r>
              <w:rPr>
                <w:rFonts w:ascii="Calibri" w:hAnsi="Calibri"/>
                <w:color w:val="2D3748"/>
                <w:sz w:val="18"/>
              </w:rPr>
              <w:t>1 day</w:t>
            </w:r>
          </w:p>
        </w:tc>
        <w:tc>
          <w:tcPr>
            <w:tcW w:w="1440" w:type="dxa"/>
            <w:shd w:val="clear" w:color="auto" w:fill="F7F9FC"/>
          </w:tcPr>
          <w:p w14:paraId="2A135E01">
            <w:r>
              <w:rPr>
                <w:rFonts w:ascii="Calibri" w:hAnsi="Calibri"/>
                <w:color w:val="2D3748"/>
                <w:sz w:val="18"/>
              </w:rPr>
              <w:t>On-site</w:t>
            </w:r>
          </w:p>
        </w:tc>
        <w:tc>
          <w:tcPr>
            <w:tcW w:w="3168" w:type="dxa"/>
            <w:shd w:val="clear" w:color="auto" w:fill="F7F9FC"/>
          </w:tcPr>
          <w:p w14:paraId="02D9AE21">
            <w:r>
              <w:rPr>
                <w:rFonts w:ascii="Calibri" w:hAnsi="Calibri"/>
                <w:color w:val="2D3748"/>
                <w:sz w:val="18"/>
              </w:rPr>
              <w:t>Patient onboarding script, demo environment access</w:t>
            </w:r>
          </w:p>
        </w:tc>
      </w:tr>
      <w:tr w14:paraId="60A8D60A">
        <w:trPr>
          <w:jc w:val="center"/>
        </w:trPr>
        <w:tc>
          <w:tcPr>
            <w:tcW w:w="2592" w:type="dxa"/>
            <w:shd w:val="clear" w:color="auto" w:fill="FFFFFF"/>
          </w:tcPr>
          <w:p w14:paraId="09B84336">
            <w:r>
              <w:rPr>
                <w:rFonts w:ascii="Calibri" w:hAnsi="Calibri"/>
                <w:color w:val="2D3748"/>
                <w:sz w:val="18"/>
              </w:rPr>
              <w:t>DevOps &amp; Operations</w:t>
            </w:r>
          </w:p>
        </w:tc>
        <w:tc>
          <w:tcPr>
            <w:tcW w:w="2592" w:type="dxa"/>
            <w:shd w:val="clear" w:color="auto" w:fill="FFFFFF"/>
          </w:tcPr>
          <w:p w14:paraId="0E9C4D4E">
            <w:r>
              <w:rPr>
                <w:rFonts w:ascii="Calibri" w:hAnsi="Calibri"/>
                <w:color w:val="2D3748"/>
                <w:sz w:val="18"/>
              </w:rPr>
              <w:t>Client DevOps/IT Ops team</w:t>
            </w:r>
          </w:p>
        </w:tc>
        <w:tc>
          <w:tcPr>
            <w:tcW w:w="1152" w:type="dxa"/>
            <w:shd w:val="clear" w:color="auto" w:fill="FFFFFF"/>
          </w:tcPr>
          <w:p w14:paraId="32AC0C31">
            <w:r>
              <w:rPr>
                <w:rFonts w:ascii="Calibri" w:hAnsi="Calibri"/>
                <w:color w:val="2D3748"/>
                <w:sz w:val="18"/>
              </w:rPr>
              <w:t>2 days</w:t>
            </w:r>
          </w:p>
        </w:tc>
        <w:tc>
          <w:tcPr>
            <w:tcW w:w="1440" w:type="dxa"/>
            <w:shd w:val="clear" w:color="auto" w:fill="FFFFFF"/>
          </w:tcPr>
          <w:p w14:paraId="44F18AD9">
            <w:r>
              <w:rPr>
                <w:rFonts w:ascii="Calibri" w:hAnsi="Calibri"/>
                <w:color w:val="2D3748"/>
                <w:sz w:val="18"/>
              </w:rPr>
              <w:t>Remote</w:t>
            </w:r>
          </w:p>
        </w:tc>
        <w:tc>
          <w:tcPr>
            <w:tcW w:w="3168" w:type="dxa"/>
            <w:shd w:val="clear" w:color="auto" w:fill="FFFFFF"/>
          </w:tcPr>
          <w:p w14:paraId="5550F34F">
            <w:r>
              <w:rPr>
                <w:rFonts w:ascii="Calibri" w:hAnsi="Calibri"/>
                <w:color w:val="2D3748"/>
                <w:sz w:val="18"/>
              </w:rPr>
              <w:t>Runbook, monitoring dashboards, incident playbooks</w:t>
            </w:r>
          </w:p>
        </w:tc>
      </w:tr>
    </w:tbl>
    <w:p w14:paraId="2ACA2E23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13.2 Knowledge Transfer</w:t>
      </w:r>
    </w:p>
    <w:p w14:paraId="7325BA44">
      <w:pPr>
        <w:pStyle w:val="23"/>
      </w:pPr>
      <w:r>
        <w:rPr>
          <w:rFonts w:ascii="Calibri" w:hAnsi="Calibri"/>
          <w:b/>
          <w:sz w:val="20"/>
        </w:rPr>
        <w:t xml:space="preserve">Code Repository Access: </w:t>
      </w:r>
      <w:r>
        <w:rPr>
          <w:rFonts w:ascii="Calibri" w:hAnsi="Calibri"/>
          <w:color w:val="2D3748"/>
          <w:sz w:val="20"/>
        </w:rPr>
        <w:t>Full source code access via private GitHub repository; branch-based development with PR reviews</w:t>
      </w:r>
    </w:p>
    <w:p w14:paraId="644EA1B5">
      <w:pPr>
        <w:pStyle w:val="23"/>
      </w:pPr>
      <w:r>
        <w:rPr>
          <w:rFonts w:ascii="Calibri" w:hAnsi="Calibri"/>
          <w:b/>
          <w:sz w:val="20"/>
        </w:rPr>
        <w:t xml:space="preserve">Documentation: </w:t>
      </w:r>
      <w:r>
        <w:rPr>
          <w:rFonts w:ascii="Calibri" w:hAnsi="Calibri"/>
          <w:color w:val="2D3748"/>
          <w:sz w:val="20"/>
        </w:rPr>
        <w:t>Architecture Design Document, API docs (Swagger), Database schemas, Deployment runbooks, Operations manual</w:t>
      </w:r>
    </w:p>
    <w:p w14:paraId="6BB4310A">
      <w:pPr>
        <w:pStyle w:val="23"/>
      </w:pPr>
      <w:r>
        <w:rPr>
          <w:rFonts w:ascii="Calibri" w:hAnsi="Calibri"/>
          <w:b/>
          <w:sz w:val="20"/>
        </w:rPr>
        <w:t xml:space="preserve">Recorded Sessions: </w:t>
      </w:r>
      <w:r>
        <w:rPr>
          <w:rFonts w:ascii="Calibri" w:hAnsi="Calibri"/>
          <w:color w:val="2D3748"/>
          <w:sz w:val="20"/>
        </w:rPr>
        <w:t>All training sessions and architecture walkthroughs recorded and delivered as video files</w:t>
      </w:r>
    </w:p>
    <w:p w14:paraId="6C7D5ED0">
      <w:pPr>
        <w:pStyle w:val="23"/>
      </w:pPr>
      <w:r>
        <w:rPr>
          <w:rFonts w:ascii="Calibri" w:hAnsi="Calibri"/>
          <w:b/>
          <w:sz w:val="20"/>
        </w:rPr>
        <w:t xml:space="preserve">Handover Period: </w:t>
      </w:r>
      <w:r>
        <w:rPr>
          <w:rFonts w:ascii="Calibri" w:hAnsi="Calibri"/>
          <w:color w:val="2D3748"/>
          <w:sz w:val="20"/>
        </w:rPr>
        <w:t>4 weeks overlap during hypercare for gradual ownership transfer to client IT team</w:t>
      </w:r>
    </w:p>
    <w:p w14:paraId="7A104D27">
      <w:pPr>
        <w:pStyle w:val="23"/>
      </w:pPr>
      <w:r>
        <w:rPr>
          <w:rFonts w:ascii="Calibri" w:hAnsi="Calibri"/>
          <w:b/>
          <w:sz w:val="20"/>
        </w:rPr>
        <w:t xml:space="preserve">Post-Handover Support: </w:t>
      </w:r>
      <w:r>
        <w:rPr>
          <w:rFonts w:ascii="Calibri" w:hAnsi="Calibri"/>
          <w:color w:val="2D3748"/>
          <w:sz w:val="20"/>
        </w:rPr>
        <w:t>Email/Slack support channel available during warranty period for queries</w:t>
      </w:r>
    </w:p>
    <w:p w14:paraId="7ECD6EEC">
      <w:r>
        <w:br w:type="page"/>
      </w:r>
    </w:p>
    <w:p w14:paraId="51049E5B">
      <w:r>
        <w:br w:type="page"/>
      </w:r>
    </w:p>
    <w:p w14:paraId="2D89FC0A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14. Acceptance Criteria &amp; Sign-Off Process</w:t>
      </w:r>
    </w:p>
    <w:p w14:paraId="78E1A00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14.1 Acceptance Framework</w:t>
      </w:r>
    </w:p>
    <w:p w14:paraId="7EBB07C0">
      <w:r>
        <w:t xml:space="preserve">All deliverables shall undergo a formal acceptance process comprising three gates: </w:t>
      </w:r>
      <w:r>
        <w:rPr>
          <w:b/>
        </w:rPr>
        <w:t xml:space="preserve">Technical Verification, Functional Validation, </w:t>
      </w:r>
      <w:r>
        <w:t xml:space="preserve">and </w:t>
      </w:r>
      <w:r>
        <w:rPr>
          <w:b/>
        </w:rPr>
        <w:t>Business Acceptance.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4"/>
        <w:gridCol w:w="1848"/>
        <w:gridCol w:w="2822"/>
        <w:gridCol w:w="1424"/>
        <w:gridCol w:w="1848"/>
      </w:tblGrid>
      <w:tr w14:paraId="76246B2A">
        <w:trPr>
          <w:jc w:val="center"/>
        </w:trPr>
        <w:tc>
          <w:tcPr>
            <w:tcW w:w="1728" w:type="dxa"/>
            <w:shd w:val="clear" w:color="auto" w:fill="1B3A5C"/>
          </w:tcPr>
          <w:p w14:paraId="319FCCE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w="1872" w:type="dxa"/>
            <w:shd w:val="clear" w:color="auto" w:fill="1B3A5C"/>
          </w:tcPr>
          <w:p w14:paraId="1FCDDFA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Conducted By</w:t>
            </w:r>
          </w:p>
        </w:tc>
        <w:tc>
          <w:tcPr>
            <w:tcW w:w="2880" w:type="dxa"/>
            <w:shd w:val="clear" w:color="auto" w:fill="1B3A5C"/>
          </w:tcPr>
          <w:p w14:paraId="072F324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w="1440" w:type="dxa"/>
            <w:shd w:val="clear" w:color="auto" w:fill="1B3A5C"/>
          </w:tcPr>
          <w:p w14:paraId="1AB706E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w="1872" w:type="dxa"/>
            <w:shd w:val="clear" w:color="auto" w:fill="1B3A5C"/>
          </w:tcPr>
          <w:p w14:paraId="7851697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</w:tr>
      <w:tr w14:paraId="5102ADB2">
        <w:trPr>
          <w:jc w:val="center"/>
        </w:trPr>
        <w:tc>
          <w:tcPr>
            <w:tcW w:w="1728" w:type="dxa"/>
            <w:shd w:val="clear" w:color="auto" w:fill="F7F9FC"/>
          </w:tcPr>
          <w:p w14:paraId="7C465C27">
            <w:r>
              <w:rPr>
                <w:rFonts w:ascii="Calibri" w:hAnsi="Calibri"/>
                <w:color w:val="2D3748"/>
                <w:sz w:val="18"/>
              </w:rPr>
              <w:t>Gate 1: Technical</w:t>
            </w:r>
          </w:p>
        </w:tc>
        <w:tc>
          <w:tcPr>
            <w:tcW w:w="1872" w:type="dxa"/>
            <w:shd w:val="clear" w:color="auto" w:fill="F7F9FC"/>
          </w:tcPr>
          <w:p w14:paraId="52A74C3B">
            <w:r>
              <w:rPr>
                <w:rFonts w:ascii="Calibri" w:hAnsi="Calibri"/>
                <w:color w:val="2D3748"/>
                <w:sz w:val="18"/>
              </w:rPr>
              <w:t>TGWT QA + Client IT</w:t>
            </w:r>
          </w:p>
        </w:tc>
        <w:tc>
          <w:tcPr>
            <w:tcW w:w="2880" w:type="dxa"/>
            <w:shd w:val="clear" w:color="auto" w:fill="F7F9FC"/>
          </w:tcPr>
          <w:p w14:paraId="7CED50E3">
            <w:r>
              <w:rPr>
                <w:rFonts w:ascii="Calibri" w:hAnsi="Calibri"/>
                <w:color w:val="2D3748"/>
                <w:sz w:val="18"/>
              </w:rPr>
              <w:t>Code review, security scan, performance benchmarks pass</w:t>
            </w:r>
          </w:p>
        </w:tc>
        <w:tc>
          <w:tcPr>
            <w:tcW w:w="1440" w:type="dxa"/>
            <w:shd w:val="clear" w:color="auto" w:fill="F7F9FC"/>
          </w:tcPr>
          <w:p w14:paraId="611A9590">
            <w:r>
              <w:rPr>
                <w:rFonts w:ascii="Calibri" w:hAnsi="Calibri"/>
                <w:color w:val="2D3748"/>
                <w:sz w:val="18"/>
              </w:rPr>
              <w:t>5 business days</w:t>
            </w:r>
          </w:p>
        </w:tc>
        <w:tc>
          <w:tcPr>
            <w:tcW w:w="1872" w:type="dxa"/>
            <w:shd w:val="clear" w:color="auto" w:fill="F7F9FC"/>
          </w:tcPr>
          <w:p w14:paraId="38D5C24A">
            <w:r>
              <w:rPr>
                <w:rFonts w:ascii="Calibri" w:hAnsi="Calibri"/>
                <w:color w:val="2D3748"/>
                <w:sz w:val="18"/>
              </w:rPr>
              <w:t>Technical Sign-Off Certificate</w:t>
            </w:r>
          </w:p>
        </w:tc>
      </w:tr>
      <w:tr w14:paraId="2F658CD5">
        <w:trPr>
          <w:jc w:val="center"/>
        </w:trPr>
        <w:tc>
          <w:tcPr>
            <w:tcW w:w="1728" w:type="dxa"/>
            <w:shd w:val="clear" w:color="auto" w:fill="FFFFFF"/>
          </w:tcPr>
          <w:p w14:paraId="4395F357">
            <w:r>
              <w:rPr>
                <w:rFonts w:ascii="Calibri" w:hAnsi="Calibri"/>
                <w:color w:val="2D3748"/>
                <w:sz w:val="18"/>
              </w:rPr>
              <w:t>Gate 2: Functional</w:t>
            </w:r>
          </w:p>
        </w:tc>
        <w:tc>
          <w:tcPr>
            <w:tcW w:w="1872" w:type="dxa"/>
            <w:shd w:val="clear" w:color="auto" w:fill="FFFFFF"/>
          </w:tcPr>
          <w:p w14:paraId="77C0A5B4">
            <w:r>
              <w:rPr>
                <w:rFonts w:ascii="Calibri" w:hAnsi="Calibri"/>
                <w:color w:val="2D3748"/>
                <w:sz w:val="18"/>
              </w:rPr>
              <w:t>Client SMEs + Dept Heads</w:t>
            </w:r>
          </w:p>
        </w:tc>
        <w:tc>
          <w:tcPr>
            <w:tcW w:w="2880" w:type="dxa"/>
            <w:shd w:val="clear" w:color="auto" w:fill="FFFFFF"/>
          </w:tcPr>
          <w:p w14:paraId="46111C90">
            <w:r>
              <w:rPr>
                <w:rFonts w:ascii="Calibri" w:hAnsi="Calibri"/>
                <w:color w:val="2D3748"/>
                <w:sz w:val="18"/>
              </w:rPr>
              <w:t>All use cases executed, edge cases validated, UAT scripts pass ≥95%</w:t>
            </w:r>
          </w:p>
        </w:tc>
        <w:tc>
          <w:tcPr>
            <w:tcW w:w="1440" w:type="dxa"/>
            <w:shd w:val="clear" w:color="auto" w:fill="FFFFFF"/>
          </w:tcPr>
          <w:p w14:paraId="0FC36F39">
            <w:r>
              <w:rPr>
                <w:rFonts w:ascii="Calibri" w:hAnsi="Calibri"/>
                <w:color w:val="2D3748"/>
                <w:sz w:val="18"/>
              </w:rPr>
              <w:t>10 business days</w:t>
            </w:r>
          </w:p>
        </w:tc>
        <w:tc>
          <w:tcPr>
            <w:tcW w:w="1872" w:type="dxa"/>
            <w:shd w:val="clear" w:color="auto" w:fill="FFFFFF"/>
          </w:tcPr>
          <w:p w14:paraId="37A39161">
            <w:r>
              <w:rPr>
                <w:rFonts w:ascii="Calibri" w:hAnsi="Calibri"/>
                <w:color w:val="2D3748"/>
                <w:sz w:val="18"/>
              </w:rPr>
              <w:t>UAT Sign-Off Certificate</w:t>
            </w:r>
          </w:p>
        </w:tc>
      </w:tr>
      <w:tr w14:paraId="419A0930">
        <w:trPr>
          <w:jc w:val="center"/>
        </w:trPr>
        <w:tc>
          <w:tcPr>
            <w:tcW w:w="1728" w:type="dxa"/>
            <w:shd w:val="clear" w:color="auto" w:fill="F7F9FC"/>
          </w:tcPr>
          <w:p w14:paraId="5BC72B6C">
            <w:r>
              <w:rPr>
                <w:rFonts w:ascii="Calibri" w:hAnsi="Calibri"/>
                <w:color w:val="2D3748"/>
                <w:sz w:val="18"/>
              </w:rPr>
              <w:t>Gate 3: Business</w:t>
            </w:r>
          </w:p>
        </w:tc>
        <w:tc>
          <w:tcPr>
            <w:tcW w:w="1872" w:type="dxa"/>
            <w:shd w:val="clear" w:color="auto" w:fill="F7F9FC"/>
          </w:tcPr>
          <w:p w14:paraId="24A22B3A">
            <w:r>
              <w:rPr>
                <w:rFonts w:ascii="Calibri" w:hAnsi="Calibri"/>
                <w:color w:val="2D3748"/>
                <w:sz w:val="18"/>
              </w:rPr>
              <w:t>Client CXO / Project Sponsor</w:t>
            </w:r>
          </w:p>
        </w:tc>
        <w:tc>
          <w:tcPr>
            <w:tcW w:w="2880" w:type="dxa"/>
            <w:shd w:val="clear" w:color="auto" w:fill="F7F9FC"/>
          </w:tcPr>
          <w:p w14:paraId="3B148A9B">
            <w:r>
              <w:rPr>
                <w:rFonts w:ascii="Calibri" w:hAnsi="Calibri"/>
                <w:color w:val="2D3748"/>
                <w:sz w:val="18"/>
              </w:rPr>
              <w:t>Business KPIs achievable, workflow alignment confirmed</w:t>
            </w:r>
          </w:p>
        </w:tc>
        <w:tc>
          <w:tcPr>
            <w:tcW w:w="1440" w:type="dxa"/>
            <w:shd w:val="clear" w:color="auto" w:fill="F7F9FC"/>
          </w:tcPr>
          <w:p w14:paraId="71D7D037">
            <w:r>
              <w:rPr>
                <w:rFonts w:ascii="Calibri" w:hAnsi="Calibri"/>
                <w:color w:val="2D3748"/>
                <w:sz w:val="18"/>
              </w:rPr>
              <w:t>5 business days</w:t>
            </w:r>
          </w:p>
        </w:tc>
        <w:tc>
          <w:tcPr>
            <w:tcW w:w="1872" w:type="dxa"/>
            <w:shd w:val="clear" w:color="auto" w:fill="F7F9FC"/>
          </w:tcPr>
          <w:p w14:paraId="47751AC8">
            <w:r>
              <w:rPr>
                <w:rFonts w:ascii="Calibri" w:hAnsi="Calibri"/>
                <w:color w:val="2D3748"/>
                <w:sz w:val="18"/>
              </w:rPr>
              <w:t>Final Acceptance Certificate</w:t>
            </w:r>
          </w:p>
        </w:tc>
      </w:tr>
    </w:tbl>
    <w:p w14:paraId="5B3C77DC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14.2 UAT Criteria by Module</w:t>
      </w:r>
    </w:p>
    <w:p w14:paraId="6B839865">
      <w:r>
        <w:t>Each module must satisfy the following minimum acceptance thresholds: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6"/>
        <w:gridCol w:w="1278"/>
        <w:gridCol w:w="1426"/>
        <w:gridCol w:w="1701"/>
        <w:gridCol w:w="3525"/>
      </w:tblGrid>
      <w:tr w14:paraId="344E5BB5">
        <w:trPr>
          <w:jc w:val="center"/>
        </w:trPr>
        <w:tc>
          <w:tcPr>
            <w:tcW w:w="1728" w:type="dxa"/>
            <w:shd w:val="clear" w:color="auto" w:fill="1B3A5C"/>
          </w:tcPr>
          <w:p w14:paraId="4746988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w="1296" w:type="dxa"/>
            <w:shd w:val="clear" w:color="auto" w:fill="1B3A5C"/>
          </w:tcPr>
          <w:p w14:paraId="36CA8FE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 Test Cases</w:t>
            </w:r>
          </w:p>
        </w:tc>
        <w:tc>
          <w:tcPr>
            <w:tcW w:w="1440" w:type="dxa"/>
            <w:shd w:val="clear" w:color="auto" w:fill="1B3A5C"/>
          </w:tcPr>
          <w:p w14:paraId="558E03D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 Rate Required</w:t>
            </w:r>
          </w:p>
        </w:tc>
        <w:tc>
          <w:tcPr>
            <w:tcW w:w="1728" w:type="dxa"/>
            <w:shd w:val="clear" w:color="auto" w:fill="1B3A5C"/>
          </w:tcPr>
          <w:p w14:paraId="24FC97B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Critical Defects Allowed</w:t>
            </w:r>
          </w:p>
        </w:tc>
        <w:tc>
          <w:tcPr>
            <w:tcW w:w="3600" w:type="dxa"/>
            <w:shd w:val="clear" w:color="auto" w:fill="1B3A5C"/>
          </w:tcPr>
          <w:p w14:paraId="1E1E970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Performance SLA</w:t>
            </w:r>
          </w:p>
        </w:tc>
      </w:tr>
      <w:tr w14:paraId="7B32F202">
        <w:trPr>
          <w:jc w:val="center"/>
        </w:trPr>
        <w:tc>
          <w:tcPr>
            <w:tcW w:w="1728" w:type="dxa"/>
            <w:shd w:val="clear" w:color="auto" w:fill="F7F9FC"/>
          </w:tcPr>
          <w:p w14:paraId="61DB1D12">
            <w:r>
              <w:rPr>
                <w:rFonts w:ascii="Calibri" w:hAnsi="Calibri"/>
                <w:color w:val="2D3748"/>
                <w:sz w:val="18"/>
              </w:rPr>
              <w:t>M01 OPD</w:t>
            </w:r>
          </w:p>
        </w:tc>
        <w:tc>
          <w:tcPr>
            <w:tcW w:w="1296" w:type="dxa"/>
            <w:shd w:val="clear" w:color="auto" w:fill="F7F9FC"/>
          </w:tcPr>
          <w:p w14:paraId="19685229">
            <w:r>
              <w:rPr>
                <w:rFonts w:ascii="Calibri" w:hAnsi="Calibri"/>
                <w:color w:val="2D3748"/>
                <w:sz w:val="18"/>
              </w:rPr>
              <w:t>85</w:t>
            </w:r>
          </w:p>
        </w:tc>
        <w:tc>
          <w:tcPr>
            <w:tcW w:w="1440" w:type="dxa"/>
            <w:shd w:val="clear" w:color="auto" w:fill="F7F9FC"/>
          </w:tcPr>
          <w:p w14:paraId="4C10D606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7F9FC"/>
          </w:tcPr>
          <w:p w14:paraId="72FB1C05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46CE5344">
            <w:r>
              <w:rPr>
                <w:rFonts w:ascii="Calibri" w:hAnsi="Calibri"/>
                <w:color w:val="2D3748"/>
                <w:sz w:val="18"/>
              </w:rPr>
              <w:t>Registration &lt;3s, Queue refresh &lt;1s</w:t>
            </w:r>
          </w:p>
        </w:tc>
      </w:tr>
      <w:tr w14:paraId="1D7CCA3E">
        <w:trPr>
          <w:jc w:val="center"/>
        </w:trPr>
        <w:tc>
          <w:tcPr>
            <w:tcW w:w="1728" w:type="dxa"/>
            <w:shd w:val="clear" w:color="auto" w:fill="FFFFFF"/>
          </w:tcPr>
          <w:p w14:paraId="2C1CF11E">
            <w:r>
              <w:rPr>
                <w:rFonts w:ascii="Calibri" w:hAnsi="Calibri"/>
                <w:color w:val="2D3748"/>
                <w:sz w:val="18"/>
              </w:rPr>
              <w:t>M02 Pharmacy</w:t>
            </w:r>
          </w:p>
        </w:tc>
        <w:tc>
          <w:tcPr>
            <w:tcW w:w="1296" w:type="dxa"/>
            <w:shd w:val="clear" w:color="auto" w:fill="FFFFFF"/>
          </w:tcPr>
          <w:p w14:paraId="06E2A977">
            <w:r>
              <w:rPr>
                <w:rFonts w:ascii="Calibri" w:hAnsi="Calibri"/>
                <w:color w:val="2D3748"/>
                <w:sz w:val="18"/>
              </w:rPr>
              <w:t>70</w:t>
            </w:r>
          </w:p>
        </w:tc>
        <w:tc>
          <w:tcPr>
            <w:tcW w:w="1440" w:type="dxa"/>
            <w:shd w:val="clear" w:color="auto" w:fill="FFFFFF"/>
          </w:tcPr>
          <w:p w14:paraId="460FFE52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FFFFF"/>
          </w:tcPr>
          <w:p w14:paraId="31DC392E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16A71C3D">
            <w:r>
              <w:rPr>
                <w:rFonts w:ascii="Calibri" w:hAnsi="Calibri"/>
                <w:color w:val="2D3748"/>
                <w:sz w:val="18"/>
              </w:rPr>
              <w:t>Dispensing &lt;2s, Stock query &lt;1s</w:t>
            </w:r>
          </w:p>
        </w:tc>
      </w:tr>
      <w:tr w14:paraId="246C7840">
        <w:trPr>
          <w:jc w:val="center"/>
        </w:trPr>
        <w:tc>
          <w:tcPr>
            <w:tcW w:w="1728" w:type="dxa"/>
            <w:shd w:val="clear" w:color="auto" w:fill="F7F9FC"/>
          </w:tcPr>
          <w:p w14:paraId="737CFC92">
            <w:r>
              <w:rPr>
                <w:rFonts w:ascii="Calibri" w:hAnsi="Calibri"/>
                <w:color w:val="2D3748"/>
                <w:sz w:val="18"/>
              </w:rPr>
              <w:t>M03 Laboratory</w:t>
            </w:r>
          </w:p>
        </w:tc>
        <w:tc>
          <w:tcPr>
            <w:tcW w:w="1296" w:type="dxa"/>
            <w:shd w:val="clear" w:color="auto" w:fill="F7F9FC"/>
          </w:tcPr>
          <w:p w14:paraId="35258402">
            <w:r>
              <w:rPr>
                <w:rFonts w:ascii="Calibri" w:hAnsi="Calibri"/>
                <w:color w:val="2D3748"/>
                <w:sz w:val="18"/>
              </w:rPr>
              <w:t>65</w:t>
            </w:r>
          </w:p>
        </w:tc>
        <w:tc>
          <w:tcPr>
            <w:tcW w:w="1440" w:type="dxa"/>
            <w:shd w:val="clear" w:color="auto" w:fill="F7F9FC"/>
          </w:tcPr>
          <w:p w14:paraId="7C25D78D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7F9FC"/>
          </w:tcPr>
          <w:p w14:paraId="14C4D715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0D72935E">
            <w:r>
              <w:rPr>
                <w:rFonts w:ascii="Calibri" w:hAnsi="Calibri"/>
                <w:color w:val="2D3748"/>
                <w:sz w:val="18"/>
              </w:rPr>
              <w:t>Result entry &lt;2s, Report gen &lt;5s</w:t>
            </w:r>
          </w:p>
        </w:tc>
      </w:tr>
      <w:tr w14:paraId="0E0CA24D">
        <w:trPr>
          <w:jc w:val="center"/>
        </w:trPr>
        <w:tc>
          <w:tcPr>
            <w:tcW w:w="1728" w:type="dxa"/>
            <w:shd w:val="clear" w:color="auto" w:fill="FFFFFF"/>
          </w:tcPr>
          <w:p w14:paraId="2C5031A1">
            <w:r>
              <w:rPr>
                <w:rFonts w:ascii="Calibri" w:hAnsi="Calibri"/>
                <w:color w:val="2D3748"/>
                <w:sz w:val="18"/>
              </w:rPr>
              <w:t>M04 Finance</w:t>
            </w:r>
          </w:p>
        </w:tc>
        <w:tc>
          <w:tcPr>
            <w:tcW w:w="1296" w:type="dxa"/>
            <w:shd w:val="clear" w:color="auto" w:fill="FFFFFF"/>
          </w:tcPr>
          <w:p w14:paraId="34BB3E7D">
            <w:r>
              <w:rPr>
                <w:rFonts w:ascii="Calibri" w:hAnsi="Calibri"/>
                <w:color w:val="2D3748"/>
                <w:sz w:val="18"/>
              </w:rPr>
              <w:t>60</w:t>
            </w:r>
          </w:p>
        </w:tc>
        <w:tc>
          <w:tcPr>
            <w:tcW w:w="1440" w:type="dxa"/>
            <w:shd w:val="clear" w:color="auto" w:fill="FFFFFF"/>
          </w:tcPr>
          <w:p w14:paraId="54F81DF6">
            <w:r>
              <w:rPr>
                <w:rFonts w:ascii="Calibri" w:hAnsi="Calibri"/>
                <w:color w:val="2D3748"/>
                <w:sz w:val="18"/>
              </w:rPr>
              <w:t>≥98%</w:t>
            </w:r>
          </w:p>
        </w:tc>
        <w:tc>
          <w:tcPr>
            <w:tcW w:w="1728" w:type="dxa"/>
            <w:shd w:val="clear" w:color="auto" w:fill="FFFFFF"/>
          </w:tcPr>
          <w:p w14:paraId="459396E5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4C08C5B8">
            <w:r>
              <w:rPr>
                <w:rFonts w:ascii="Calibri" w:hAnsi="Calibri"/>
                <w:color w:val="2D3748"/>
                <w:sz w:val="18"/>
              </w:rPr>
              <w:t>Bill generation &lt;3s, Receipt &lt;2s</w:t>
            </w:r>
          </w:p>
        </w:tc>
      </w:tr>
      <w:tr w14:paraId="5046D2D7">
        <w:trPr>
          <w:jc w:val="center"/>
        </w:trPr>
        <w:tc>
          <w:tcPr>
            <w:tcW w:w="1728" w:type="dxa"/>
            <w:shd w:val="clear" w:color="auto" w:fill="F7F9FC"/>
          </w:tcPr>
          <w:p w14:paraId="3C40F2CE">
            <w:r>
              <w:rPr>
                <w:rFonts w:ascii="Calibri" w:hAnsi="Calibri"/>
                <w:color w:val="2D3748"/>
                <w:sz w:val="18"/>
              </w:rPr>
              <w:t>M05 HR &amp; Payroll</w:t>
            </w:r>
          </w:p>
        </w:tc>
        <w:tc>
          <w:tcPr>
            <w:tcW w:w="1296" w:type="dxa"/>
            <w:shd w:val="clear" w:color="auto" w:fill="F7F9FC"/>
          </w:tcPr>
          <w:p w14:paraId="2ACA6832">
            <w:r>
              <w:rPr>
                <w:rFonts w:ascii="Calibri" w:hAnsi="Calibri"/>
                <w:color w:val="2D3748"/>
                <w:sz w:val="18"/>
              </w:rPr>
              <w:t>55</w:t>
            </w:r>
          </w:p>
        </w:tc>
        <w:tc>
          <w:tcPr>
            <w:tcW w:w="1440" w:type="dxa"/>
            <w:shd w:val="clear" w:color="auto" w:fill="F7F9FC"/>
          </w:tcPr>
          <w:p w14:paraId="5C4B35C4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7F9FC"/>
          </w:tcPr>
          <w:p w14:paraId="4C82A380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294DFB12">
            <w:r>
              <w:rPr>
                <w:rFonts w:ascii="Calibri" w:hAnsi="Calibri"/>
                <w:color w:val="2D3748"/>
                <w:sz w:val="18"/>
              </w:rPr>
              <w:t>Payroll run &lt;30s (100 emp)</w:t>
            </w:r>
          </w:p>
        </w:tc>
      </w:tr>
      <w:tr w14:paraId="78640CA7">
        <w:trPr>
          <w:jc w:val="center"/>
        </w:trPr>
        <w:tc>
          <w:tcPr>
            <w:tcW w:w="1728" w:type="dxa"/>
            <w:shd w:val="clear" w:color="auto" w:fill="FFFFFF"/>
          </w:tcPr>
          <w:p w14:paraId="4C8B2BD6">
            <w:r>
              <w:rPr>
                <w:rFonts w:ascii="Calibri" w:hAnsi="Calibri"/>
                <w:color w:val="2D3748"/>
                <w:sz w:val="18"/>
              </w:rPr>
              <w:t>M06 Inventory</w:t>
            </w:r>
          </w:p>
        </w:tc>
        <w:tc>
          <w:tcPr>
            <w:tcW w:w="1296" w:type="dxa"/>
            <w:shd w:val="clear" w:color="auto" w:fill="FFFFFF"/>
          </w:tcPr>
          <w:p w14:paraId="1F4E3C1C">
            <w:r>
              <w:rPr>
                <w:rFonts w:ascii="Calibri" w:hAnsi="Calibri"/>
                <w:color w:val="2D3748"/>
                <w:sz w:val="18"/>
              </w:rPr>
              <w:t>50</w:t>
            </w:r>
          </w:p>
        </w:tc>
        <w:tc>
          <w:tcPr>
            <w:tcW w:w="1440" w:type="dxa"/>
            <w:shd w:val="clear" w:color="auto" w:fill="FFFFFF"/>
          </w:tcPr>
          <w:p w14:paraId="68CBE056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FFFFF"/>
          </w:tcPr>
          <w:p w14:paraId="615E58E1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093D74BF">
            <w:r>
              <w:rPr>
                <w:rFonts w:ascii="Calibri" w:hAnsi="Calibri"/>
                <w:color w:val="2D3748"/>
                <w:sz w:val="18"/>
              </w:rPr>
              <w:t>Stock dashboard &lt;2s</w:t>
            </w:r>
          </w:p>
        </w:tc>
      </w:tr>
      <w:tr w14:paraId="0CA99C45">
        <w:trPr>
          <w:jc w:val="center"/>
        </w:trPr>
        <w:tc>
          <w:tcPr>
            <w:tcW w:w="1728" w:type="dxa"/>
            <w:shd w:val="clear" w:color="auto" w:fill="F7F9FC"/>
          </w:tcPr>
          <w:p w14:paraId="05F6249B">
            <w:r>
              <w:rPr>
                <w:rFonts w:ascii="Calibri" w:hAnsi="Calibri"/>
                <w:color w:val="2D3748"/>
                <w:sz w:val="18"/>
              </w:rPr>
              <w:t>M07 BI &amp; Reports</w:t>
            </w:r>
          </w:p>
        </w:tc>
        <w:tc>
          <w:tcPr>
            <w:tcW w:w="1296" w:type="dxa"/>
            <w:shd w:val="clear" w:color="auto" w:fill="F7F9FC"/>
          </w:tcPr>
          <w:p w14:paraId="2CB087D2">
            <w:r>
              <w:rPr>
                <w:rFonts w:ascii="Calibri" w:hAnsi="Calibri"/>
                <w:color w:val="2D3748"/>
                <w:sz w:val="18"/>
              </w:rPr>
              <w:t>40</w:t>
            </w:r>
          </w:p>
        </w:tc>
        <w:tc>
          <w:tcPr>
            <w:tcW w:w="1440" w:type="dxa"/>
            <w:shd w:val="clear" w:color="auto" w:fill="F7F9FC"/>
          </w:tcPr>
          <w:p w14:paraId="64720DA0">
            <w:r>
              <w:rPr>
                <w:rFonts w:ascii="Calibri" w:hAnsi="Calibri"/>
                <w:color w:val="2D3748"/>
                <w:sz w:val="18"/>
              </w:rPr>
              <w:t>≥90%</w:t>
            </w:r>
          </w:p>
        </w:tc>
        <w:tc>
          <w:tcPr>
            <w:tcW w:w="1728" w:type="dxa"/>
            <w:shd w:val="clear" w:color="auto" w:fill="F7F9FC"/>
          </w:tcPr>
          <w:p w14:paraId="7E661AB5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7E448FB1">
            <w:r>
              <w:rPr>
                <w:rFonts w:ascii="Calibri" w:hAnsi="Calibri"/>
                <w:color w:val="2D3748"/>
                <w:sz w:val="18"/>
              </w:rPr>
              <w:t>Dashboard load &lt;5s, Export &lt;10s</w:t>
            </w:r>
          </w:p>
        </w:tc>
      </w:tr>
      <w:tr w14:paraId="0B94861D">
        <w:trPr>
          <w:jc w:val="center"/>
        </w:trPr>
        <w:tc>
          <w:tcPr>
            <w:tcW w:w="1728" w:type="dxa"/>
            <w:shd w:val="clear" w:color="auto" w:fill="FFFFFF"/>
          </w:tcPr>
          <w:p w14:paraId="3C2C46C5">
            <w:r>
              <w:rPr>
                <w:rFonts w:ascii="Calibri" w:hAnsi="Calibri"/>
                <w:color w:val="2D3748"/>
                <w:sz w:val="18"/>
              </w:rPr>
              <w:t>M08 Patient Portal</w:t>
            </w:r>
          </w:p>
        </w:tc>
        <w:tc>
          <w:tcPr>
            <w:tcW w:w="1296" w:type="dxa"/>
            <w:shd w:val="clear" w:color="auto" w:fill="FFFFFF"/>
          </w:tcPr>
          <w:p w14:paraId="213FA64E">
            <w:r>
              <w:rPr>
                <w:rFonts w:ascii="Calibri" w:hAnsi="Calibri"/>
                <w:color w:val="2D3748"/>
                <w:sz w:val="18"/>
              </w:rPr>
              <w:t>45</w:t>
            </w:r>
          </w:p>
        </w:tc>
        <w:tc>
          <w:tcPr>
            <w:tcW w:w="1440" w:type="dxa"/>
            <w:shd w:val="clear" w:color="auto" w:fill="FFFFFF"/>
          </w:tcPr>
          <w:p w14:paraId="3E49BB47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FFFFF"/>
          </w:tcPr>
          <w:p w14:paraId="0A956EC1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09DB9C4A">
            <w:r>
              <w:rPr>
                <w:rFonts w:ascii="Calibri" w:hAnsi="Calibri"/>
                <w:color w:val="2D3748"/>
                <w:sz w:val="18"/>
              </w:rPr>
              <w:t>Login &lt;2s, Booking &lt;3s</w:t>
            </w:r>
          </w:p>
        </w:tc>
      </w:tr>
      <w:tr w14:paraId="540B0562">
        <w:trPr>
          <w:jc w:val="center"/>
        </w:trPr>
        <w:tc>
          <w:tcPr>
            <w:tcW w:w="1728" w:type="dxa"/>
            <w:shd w:val="clear" w:color="auto" w:fill="F7F9FC"/>
          </w:tcPr>
          <w:p w14:paraId="17D8991C">
            <w:r>
              <w:rPr>
                <w:rFonts w:ascii="Calibri" w:hAnsi="Calibri"/>
                <w:color w:val="2D3748"/>
                <w:sz w:val="18"/>
              </w:rPr>
              <w:t>M09 Audit</w:t>
            </w:r>
          </w:p>
        </w:tc>
        <w:tc>
          <w:tcPr>
            <w:tcW w:w="1296" w:type="dxa"/>
            <w:shd w:val="clear" w:color="auto" w:fill="F7F9FC"/>
          </w:tcPr>
          <w:p w14:paraId="678A7D04">
            <w:r>
              <w:rPr>
                <w:rFonts w:ascii="Calibri" w:hAnsi="Calibri"/>
                <w:color w:val="2D3748"/>
                <w:sz w:val="18"/>
              </w:rPr>
              <w:t>35</w:t>
            </w:r>
          </w:p>
        </w:tc>
        <w:tc>
          <w:tcPr>
            <w:tcW w:w="1440" w:type="dxa"/>
            <w:shd w:val="clear" w:color="auto" w:fill="F7F9FC"/>
          </w:tcPr>
          <w:p w14:paraId="5E4038EA">
            <w:r>
              <w:rPr>
                <w:rFonts w:ascii="Calibri" w:hAnsi="Calibri"/>
                <w:color w:val="2D3748"/>
                <w:sz w:val="18"/>
              </w:rPr>
              <w:t>≥98%</w:t>
            </w:r>
          </w:p>
        </w:tc>
        <w:tc>
          <w:tcPr>
            <w:tcW w:w="1728" w:type="dxa"/>
            <w:shd w:val="clear" w:color="auto" w:fill="F7F9FC"/>
          </w:tcPr>
          <w:p w14:paraId="1CD3C60D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13C52AD1">
            <w:r>
              <w:rPr>
                <w:rFonts w:ascii="Calibri" w:hAnsi="Calibri"/>
                <w:color w:val="2D3748"/>
                <w:sz w:val="18"/>
              </w:rPr>
              <w:t>Log search &lt;3s (1M records)</w:t>
            </w:r>
          </w:p>
        </w:tc>
      </w:tr>
      <w:tr w14:paraId="41F6AF25">
        <w:trPr>
          <w:jc w:val="center"/>
        </w:trPr>
        <w:tc>
          <w:tcPr>
            <w:tcW w:w="1728" w:type="dxa"/>
            <w:shd w:val="clear" w:color="auto" w:fill="FFFFFF"/>
          </w:tcPr>
          <w:p w14:paraId="1E9CBC57">
            <w:r>
              <w:rPr>
                <w:rFonts w:ascii="Calibri" w:hAnsi="Calibri"/>
                <w:color w:val="2D3748"/>
                <w:sz w:val="18"/>
              </w:rPr>
              <w:t>M10 IPD</w:t>
            </w:r>
          </w:p>
        </w:tc>
        <w:tc>
          <w:tcPr>
            <w:tcW w:w="1296" w:type="dxa"/>
            <w:shd w:val="clear" w:color="auto" w:fill="FFFFFF"/>
          </w:tcPr>
          <w:p w14:paraId="38A589BC">
            <w:r>
              <w:rPr>
                <w:rFonts w:ascii="Calibri" w:hAnsi="Calibri"/>
                <w:color w:val="2D3748"/>
                <w:sz w:val="18"/>
              </w:rPr>
              <w:t>60</w:t>
            </w:r>
          </w:p>
        </w:tc>
        <w:tc>
          <w:tcPr>
            <w:tcW w:w="1440" w:type="dxa"/>
            <w:shd w:val="clear" w:color="auto" w:fill="FFFFFF"/>
          </w:tcPr>
          <w:p w14:paraId="30B635A3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FFFFF"/>
          </w:tcPr>
          <w:p w14:paraId="70C2A69D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629C1E01">
            <w:r>
              <w:rPr>
                <w:rFonts w:ascii="Calibri" w:hAnsi="Calibri"/>
                <w:color w:val="2D3748"/>
                <w:sz w:val="18"/>
              </w:rPr>
              <w:t>Bed map &lt;2s, Vitals entry &lt;1s</w:t>
            </w:r>
          </w:p>
        </w:tc>
      </w:tr>
      <w:tr w14:paraId="15D5FD75">
        <w:trPr>
          <w:jc w:val="center"/>
        </w:trPr>
        <w:tc>
          <w:tcPr>
            <w:tcW w:w="1728" w:type="dxa"/>
            <w:shd w:val="clear" w:color="auto" w:fill="F7F9FC"/>
          </w:tcPr>
          <w:p w14:paraId="0D02D6E7">
            <w:r>
              <w:rPr>
                <w:rFonts w:ascii="Calibri" w:hAnsi="Calibri"/>
                <w:color w:val="2D3748"/>
                <w:sz w:val="18"/>
              </w:rPr>
              <w:t>M11 Appointments</w:t>
            </w:r>
          </w:p>
        </w:tc>
        <w:tc>
          <w:tcPr>
            <w:tcW w:w="1296" w:type="dxa"/>
            <w:shd w:val="clear" w:color="auto" w:fill="F7F9FC"/>
          </w:tcPr>
          <w:p w14:paraId="7B897AB8">
            <w:r>
              <w:rPr>
                <w:rFonts w:ascii="Calibri" w:hAnsi="Calibri"/>
                <w:color w:val="2D3748"/>
                <w:sz w:val="18"/>
              </w:rPr>
              <w:t>40</w:t>
            </w:r>
          </w:p>
        </w:tc>
        <w:tc>
          <w:tcPr>
            <w:tcW w:w="1440" w:type="dxa"/>
            <w:shd w:val="clear" w:color="auto" w:fill="F7F9FC"/>
          </w:tcPr>
          <w:p w14:paraId="3E61BB5A">
            <w:r>
              <w:rPr>
                <w:rFonts w:ascii="Calibri" w:hAnsi="Calibri"/>
                <w:color w:val="2D3748"/>
                <w:sz w:val="18"/>
              </w:rPr>
              <w:t>≥95%</w:t>
            </w:r>
          </w:p>
        </w:tc>
        <w:tc>
          <w:tcPr>
            <w:tcW w:w="1728" w:type="dxa"/>
            <w:shd w:val="clear" w:color="auto" w:fill="F7F9FC"/>
          </w:tcPr>
          <w:p w14:paraId="1F2B3B75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7F9FC"/>
          </w:tcPr>
          <w:p w14:paraId="5CB5A034">
            <w:r>
              <w:rPr>
                <w:rFonts w:ascii="Calibri" w:hAnsi="Calibri"/>
                <w:color w:val="2D3748"/>
                <w:sz w:val="18"/>
              </w:rPr>
              <w:t>Slot search &lt;1s, Check-in &lt;2s</w:t>
            </w:r>
          </w:p>
        </w:tc>
      </w:tr>
      <w:tr w14:paraId="5702774D">
        <w:trPr>
          <w:jc w:val="center"/>
        </w:trPr>
        <w:tc>
          <w:tcPr>
            <w:tcW w:w="1728" w:type="dxa"/>
            <w:shd w:val="clear" w:color="auto" w:fill="FFFFFF"/>
          </w:tcPr>
          <w:p w14:paraId="312C7DA0">
            <w:r>
              <w:rPr>
                <w:rFonts w:ascii="Calibri" w:hAnsi="Calibri"/>
                <w:color w:val="2D3748"/>
                <w:sz w:val="18"/>
              </w:rPr>
              <w:t>M12 Platform Admin</w:t>
            </w:r>
          </w:p>
        </w:tc>
        <w:tc>
          <w:tcPr>
            <w:tcW w:w="1296" w:type="dxa"/>
            <w:shd w:val="clear" w:color="auto" w:fill="FFFFFF"/>
          </w:tcPr>
          <w:p w14:paraId="107189F0">
            <w:r>
              <w:rPr>
                <w:rFonts w:ascii="Calibri" w:hAnsi="Calibri"/>
                <w:color w:val="2D3748"/>
                <w:sz w:val="18"/>
              </w:rPr>
              <w:t>30</w:t>
            </w:r>
          </w:p>
        </w:tc>
        <w:tc>
          <w:tcPr>
            <w:tcW w:w="1440" w:type="dxa"/>
            <w:shd w:val="clear" w:color="auto" w:fill="FFFFFF"/>
          </w:tcPr>
          <w:p w14:paraId="4FF36572">
            <w:r>
              <w:rPr>
                <w:rFonts w:ascii="Calibri" w:hAnsi="Calibri"/>
                <w:color w:val="2D3748"/>
                <w:sz w:val="18"/>
              </w:rPr>
              <w:t>≥98%</w:t>
            </w:r>
          </w:p>
        </w:tc>
        <w:tc>
          <w:tcPr>
            <w:tcW w:w="1728" w:type="dxa"/>
            <w:shd w:val="clear" w:color="auto" w:fill="FFFFFF"/>
          </w:tcPr>
          <w:p w14:paraId="288C48BD"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w="3600" w:type="dxa"/>
            <w:shd w:val="clear" w:color="auto" w:fill="FFFFFF"/>
          </w:tcPr>
          <w:p w14:paraId="10B1BC3A">
            <w:r>
              <w:rPr>
                <w:rFonts w:ascii="Calibri" w:hAnsi="Calibri"/>
                <w:color w:val="2D3748"/>
                <w:sz w:val="18"/>
              </w:rPr>
              <w:t>Tenant provision &lt;60s</w:t>
            </w:r>
          </w:p>
        </w:tc>
      </w:tr>
    </w:tbl>
    <w:p w14:paraId="03EB1F5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14.3 Defect Classification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3599"/>
        <w:gridCol w:w="1728"/>
        <w:gridCol w:w="2879"/>
      </w:tblGrid>
      <w:tr w14:paraId="265A2A28">
        <w:trPr>
          <w:jc w:val="center"/>
        </w:trPr>
        <w:tc>
          <w:tcPr>
            <w:tcW w:w="1440" w:type="dxa"/>
            <w:shd w:val="clear" w:color="auto" w:fill="1B3A5C"/>
          </w:tcPr>
          <w:p w14:paraId="6F8C49F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w="3600" w:type="dxa"/>
            <w:shd w:val="clear" w:color="auto" w:fill="1B3A5C"/>
          </w:tcPr>
          <w:p w14:paraId="26AB7A5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w="1728" w:type="dxa"/>
            <w:shd w:val="clear" w:color="auto" w:fill="1B3A5C"/>
          </w:tcPr>
          <w:p w14:paraId="4F10BB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 SLA</w:t>
            </w:r>
          </w:p>
        </w:tc>
        <w:tc>
          <w:tcPr>
            <w:tcW w:w="2880" w:type="dxa"/>
            <w:shd w:val="clear" w:color="auto" w:fill="1B3A5C"/>
          </w:tcPr>
          <w:p w14:paraId="04D937D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 on Acceptance</w:t>
            </w:r>
          </w:p>
        </w:tc>
      </w:tr>
      <w:tr w14:paraId="10A6BD97">
        <w:trPr>
          <w:jc w:val="center"/>
        </w:trPr>
        <w:tc>
          <w:tcPr>
            <w:tcW w:w="1440" w:type="dxa"/>
            <w:shd w:val="clear" w:color="auto" w:fill="F7F9FC"/>
          </w:tcPr>
          <w:p w14:paraId="4305E2F4">
            <w:r>
              <w:rPr>
                <w:rFonts w:ascii="Calibri" w:hAnsi="Calibri"/>
                <w:color w:val="2D3748"/>
                <w:sz w:val="18"/>
              </w:rPr>
              <w:t>S1 — Critical</w:t>
            </w:r>
          </w:p>
        </w:tc>
        <w:tc>
          <w:tcPr>
            <w:tcW w:w="3600" w:type="dxa"/>
            <w:shd w:val="clear" w:color="auto" w:fill="F7F9FC"/>
          </w:tcPr>
          <w:p w14:paraId="273653C4">
            <w:r>
              <w:rPr>
                <w:rFonts w:ascii="Calibri" w:hAnsi="Calibri"/>
                <w:color w:val="2D3748"/>
                <w:sz w:val="18"/>
              </w:rPr>
              <w:t>System crash, data loss, security breach, billing error</w:t>
            </w:r>
          </w:p>
        </w:tc>
        <w:tc>
          <w:tcPr>
            <w:tcW w:w="1728" w:type="dxa"/>
            <w:shd w:val="clear" w:color="auto" w:fill="F7F9FC"/>
          </w:tcPr>
          <w:p w14:paraId="28CA8C77">
            <w:r>
              <w:rPr>
                <w:rFonts w:ascii="Calibri" w:hAnsi="Calibri"/>
                <w:color w:val="2D3748"/>
                <w:sz w:val="18"/>
              </w:rPr>
              <w:t>4 hours</w:t>
            </w:r>
          </w:p>
        </w:tc>
        <w:tc>
          <w:tcPr>
            <w:tcW w:w="2880" w:type="dxa"/>
            <w:shd w:val="clear" w:color="auto" w:fill="F7F9FC"/>
          </w:tcPr>
          <w:p w14:paraId="2C264C2A">
            <w:r>
              <w:rPr>
                <w:rFonts w:ascii="Calibri" w:hAnsi="Calibri"/>
                <w:color w:val="2D3748"/>
                <w:sz w:val="18"/>
              </w:rPr>
              <w:t>Blocks acceptance; must be zero</w:t>
            </w:r>
          </w:p>
        </w:tc>
      </w:tr>
      <w:tr w14:paraId="141FF15C">
        <w:trPr>
          <w:jc w:val="center"/>
        </w:trPr>
        <w:tc>
          <w:tcPr>
            <w:tcW w:w="1440" w:type="dxa"/>
            <w:shd w:val="clear" w:color="auto" w:fill="FFFFFF"/>
          </w:tcPr>
          <w:p w14:paraId="3D7D98F0">
            <w:r>
              <w:rPr>
                <w:rFonts w:ascii="Calibri" w:hAnsi="Calibri"/>
                <w:color w:val="2D3748"/>
                <w:sz w:val="18"/>
              </w:rPr>
              <w:t>S2 — Major</w:t>
            </w:r>
          </w:p>
        </w:tc>
        <w:tc>
          <w:tcPr>
            <w:tcW w:w="3600" w:type="dxa"/>
            <w:shd w:val="clear" w:color="auto" w:fill="FFFFFF"/>
          </w:tcPr>
          <w:p w14:paraId="2AFBCFFD">
            <w:r>
              <w:rPr>
                <w:rFonts w:ascii="Calibri" w:hAnsi="Calibri"/>
                <w:color w:val="2D3748"/>
                <w:sz w:val="18"/>
              </w:rPr>
              <w:t>Feature non-functional, workflow broken, incorrect calculations</w:t>
            </w:r>
          </w:p>
        </w:tc>
        <w:tc>
          <w:tcPr>
            <w:tcW w:w="1728" w:type="dxa"/>
            <w:shd w:val="clear" w:color="auto" w:fill="FFFFFF"/>
          </w:tcPr>
          <w:p w14:paraId="2BB3D166">
            <w:r>
              <w:rPr>
                <w:rFonts w:ascii="Calibri" w:hAnsi="Calibri"/>
                <w:color w:val="2D3748"/>
                <w:sz w:val="18"/>
              </w:rPr>
              <w:t>8 hours</w:t>
            </w:r>
          </w:p>
        </w:tc>
        <w:tc>
          <w:tcPr>
            <w:tcW w:w="2880" w:type="dxa"/>
            <w:shd w:val="clear" w:color="auto" w:fill="FFFFFF"/>
          </w:tcPr>
          <w:p w14:paraId="5EEFD9EE">
            <w:r>
              <w:rPr>
                <w:rFonts w:ascii="Calibri" w:hAnsi="Calibri"/>
                <w:color w:val="2D3748"/>
                <w:sz w:val="18"/>
              </w:rPr>
              <w:t>Must be resolved before sign-off</w:t>
            </w:r>
          </w:p>
        </w:tc>
      </w:tr>
      <w:tr w14:paraId="7EEB5F23">
        <w:trPr>
          <w:jc w:val="center"/>
        </w:trPr>
        <w:tc>
          <w:tcPr>
            <w:tcW w:w="1440" w:type="dxa"/>
            <w:shd w:val="clear" w:color="auto" w:fill="F7F9FC"/>
          </w:tcPr>
          <w:p w14:paraId="44905251">
            <w:r>
              <w:rPr>
                <w:rFonts w:ascii="Calibri" w:hAnsi="Calibri"/>
                <w:color w:val="2D3748"/>
                <w:sz w:val="18"/>
              </w:rPr>
              <w:t>S3 — Minor</w:t>
            </w:r>
          </w:p>
        </w:tc>
        <w:tc>
          <w:tcPr>
            <w:tcW w:w="3600" w:type="dxa"/>
            <w:shd w:val="clear" w:color="auto" w:fill="F7F9FC"/>
          </w:tcPr>
          <w:p w14:paraId="0247925C">
            <w:r>
              <w:rPr>
                <w:rFonts w:ascii="Calibri" w:hAnsi="Calibri"/>
                <w:color w:val="2D3748"/>
                <w:sz w:val="18"/>
              </w:rPr>
              <w:t>UI inconsistency, non-critical validation missing</w:t>
            </w:r>
          </w:p>
        </w:tc>
        <w:tc>
          <w:tcPr>
            <w:tcW w:w="1728" w:type="dxa"/>
            <w:shd w:val="clear" w:color="auto" w:fill="F7F9FC"/>
          </w:tcPr>
          <w:p w14:paraId="742CB29D">
            <w:r>
              <w:rPr>
                <w:rFonts w:ascii="Calibri" w:hAnsi="Calibri"/>
                <w:color w:val="2D3748"/>
                <w:sz w:val="18"/>
              </w:rPr>
              <w:t>3 business days</w:t>
            </w:r>
          </w:p>
        </w:tc>
        <w:tc>
          <w:tcPr>
            <w:tcW w:w="2880" w:type="dxa"/>
            <w:shd w:val="clear" w:color="auto" w:fill="F7F9FC"/>
          </w:tcPr>
          <w:p w14:paraId="1179C91B">
            <w:r>
              <w:rPr>
                <w:rFonts w:ascii="Calibri" w:hAnsi="Calibri"/>
                <w:color w:val="2D3748"/>
                <w:sz w:val="18"/>
              </w:rPr>
              <w:t>≤5 open allowed at sign-off</w:t>
            </w:r>
          </w:p>
        </w:tc>
      </w:tr>
      <w:tr w14:paraId="5EF3C619">
        <w:trPr>
          <w:jc w:val="center"/>
        </w:trPr>
        <w:tc>
          <w:tcPr>
            <w:tcW w:w="1440" w:type="dxa"/>
            <w:shd w:val="clear" w:color="auto" w:fill="FFFFFF"/>
          </w:tcPr>
          <w:p w14:paraId="0531C43F">
            <w:r>
              <w:rPr>
                <w:rFonts w:ascii="Calibri" w:hAnsi="Calibri"/>
                <w:color w:val="2D3748"/>
                <w:sz w:val="18"/>
              </w:rPr>
              <w:t>S4 — Cosmetic</w:t>
            </w:r>
          </w:p>
        </w:tc>
        <w:tc>
          <w:tcPr>
            <w:tcW w:w="3600" w:type="dxa"/>
            <w:shd w:val="clear" w:color="auto" w:fill="FFFFFF"/>
          </w:tcPr>
          <w:p w14:paraId="796B8A6F">
            <w:r>
              <w:rPr>
                <w:rFonts w:ascii="Calibri" w:hAnsi="Calibri"/>
                <w:color w:val="2D3748"/>
                <w:sz w:val="18"/>
              </w:rPr>
              <w:t>Typo, alignment, color deviation</w:t>
            </w:r>
          </w:p>
        </w:tc>
        <w:tc>
          <w:tcPr>
            <w:tcW w:w="1728" w:type="dxa"/>
            <w:shd w:val="clear" w:color="auto" w:fill="FFFFFF"/>
          </w:tcPr>
          <w:p w14:paraId="460D38C0">
            <w:r>
              <w:rPr>
                <w:rFonts w:ascii="Calibri" w:hAnsi="Calibri"/>
                <w:color w:val="2D3748"/>
                <w:sz w:val="18"/>
              </w:rPr>
              <w:t>5 business days</w:t>
            </w:r>
          </w:p>
        </w:tc>
        <w:tc>
          <w:tcPr>
            <w:tcW w:w="2880" w:type="dxa"/>
            <w:shd w:val="clear" w:color="auto" w:fill="FFFFFF"/>
          </w:tcPr>
          <w:p w14:paraId="2A873DDF">
            <w:r>
              <w:rPr>
                <w:rFonts w:ascii="Calibri" w:hAnsi="Calibri"/>
                <w:color w:val="2D3748"/>
                <w:sz w:val="18"/>
              </w:rPr>
              <w:t>Can be deferred to next release</w:t>
            </w:r>
          </w:p>
        </w:tc>
      </w:tr>
    </w:tbl>
    <w:p w14:paraId="17F79B76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14.4 Sign-Off Process</w:t>
      </w:r>
    </w:p>
    <w:p w14:paraId="05BFDAFA">
      <w:pPr>
        <w:pStyle w:val="23"/>
      </w:pPr>
      <w:r>
        <w:rPr>
          <w:rFonts w:ascii="Calibri" w:hAnsi="Calibri"/>
          <w:b/>
          <w:sz w:val="20"/>
        </w:rPr>
        <w:t>Step 1 — Deliverable Submission</w:t>
      </w:r>
      <w:r>
        <w:rPr>
          <w:rFonts w:ascii="Calibri" w:hAnsi="Calibri"/>
          <w:color w:val="2D3748"/>
          <w:sz w:val="20"/>
        </w:rPr>
        <w:t xml:space="preserve"> — TGWT submits deliverable with test evidence, deployment guide, and release notes</w:t>
      </w:r>
    </w:p>
    <w:p w14:paraId="495EE97F">
      <w:pPr>
        <w:pStyle w:val="23"/>
      </w:pPr>
      <w:r>
        <w:rPr>
          <w:rFonts w:ascii="Calibri" w:hAnsi="Calibri"/>
          <w:b/>
          <w:sz w:val="20"/>
        </w:rPr>
        <w:t>Step 2 — Client Review Window</w:t>
      </w:r>
      <w:r>
        <w:rPr>
          <w:rFonts w:ascii="Calibri" w:hAnsi="Calibri"/>
          <w:color w:val="2D3748"/>
          <w:sz w:val="20"/>
        </w:rPr>
        <w:t xml:space="preserve"> — 10 business days for functional validation using provided UAT scripts</w:t>
      </w:r>
    </w:p>
    <w:p w14:paraId="4BE6E267">
      <w:pPr>
        <w:pStyle w:val="23"/>
      </w:pPr>
      <w:r>
        <w:rPr>
          <w:rFonts w:ascii="Calibri" w:hAnsi="Calibri"/>
          <w:b/>
          <w:sz w:val="20"/>
        </w:rPr>
        <w:t>Step 3 — Defect Reporting</w:t>
      </w:r>
      <w:r>
        <w:rPr>
          <w:rFonts w:ascii="Calibri" w:hAnsi="Calibri"/>
          <w:color w:val="2D3748"/>
          <w:sz w:val="20"/>
        </w:rPr>
        <w:t xml:space="preserve"> — Client logs defects in shared JIRA project with severity classification</w:t>
      </w:r>
    </w:p>
    <w:p w14:paraId="71C76F56">
      <w:pPr>
        <w:pStyle w:val="23"/>
      </w:pPr>
      <w:r>
        <w:rPr>
          <w:rFonts w:ascii="Calibri" w:hAnsi="Calibri"/>
          <w:b/>
          <w:sz w:val="20"/>
        </w:rPr>
        <w:t>Step 4 — Defect Resolution</w:t>
      </w:r>
      <w:r>
        <w:rPr>
          <w:rFonts w:ascii="Calibri" w:hAnsi="Calibri"/>
          <w:color w:val="2D3748"/>
          <w:sz w:val="20"/>
        </w:rPr>
        <w:t xml:space="preserve"> — TGWT resolves all S1/S2 defects within SLA; retesting by client</w:t>
      </w:r>
    </w:p>
    <w:p w14:paraId="15900E74">
      <w:pPr>
        <w:pStyle w:val="23"/>
      </w:pPr>
      <w:r>
        <w:rPr>
          <w:rFonts w:ascii="Calibri" w:hAnsi="Calibri"/>
          <w:b/>
          <w:sz w:val="20"/>
        </w:rPr>
        <w:t>Step 5 — Acceptance Decision</w:t>
      </w:r>
      <w:r>
        <w:rPr>
          <w:rFonts w:ascii="Calibri" w:hAnsi="Calibri"/>
          <w:color w:val="2D3748"/>
          <w:sz w:val="20"/>
        </w:rPr>
        <w:t xml:space="preserve"> — Client issues Acceptance Certificate or Conditional Acceptance with punch list</w:t>
      </w:r>
    </w:p>
    <w:p w14:paraId="5171E221">
      <w:pPr>
        <w:pStyle w:val="23"/>
      </w:pPr>
      <w:r>
        <w:rPr>
          <w:rFonts w:ascii="Calibri" w:hAnsi="Calibri"/>
          <w:b/>
          <w:sz w:val="20"/>
        </w:rPr>
        <w:t>Step 6 — Deemed Acceptance</w:t>
      </w:r>
      <w:r>
        <w:rPr>
          <w:rFonts w:ascii="Calibri" w:hAnsi="Calibri"/>
          <w:color w:val="2D3748"/>
          <w:sz w:val="20"/>
        </w:rPr>
        <w:t xml:space="preserve"> — If no response within 15 business days of submission, deliverable is deemed accepted</w:t>
      </w:r>
    </w:p>
    <w:p w14:paraId="3BAE77D5">
      <w:pPr>
        <w:pBdr>
          <w:left w:val="single" w:color="F59E0B" w:sz="24" w:space="8"/>
        </w:pBdr>
        <w:shd w:val="clear" w:fill="FFFBEB"/>
        <w:ind w:left="360" w:right="360"/>
      </w:pPr>
      <w:r>
        <w:rPr>
          <w:b/>
          <w:color w:val="856D0A"/>
          <w:sz w:val="18"/>
        </w:rPr>
        <w:t xml:space="preserve">  NOTE: </w:t>
      </w:r>
      <w:r>
        <w:rPr>
          <w:color w:val="856D0A"/>
          <w:sz w:val="18"/>
        </w:rPr>
        <w:t>Conditional Acceptance allows Go-Live with a documented punch list of ≤5 S3/S4 defects to be resolved within 15 business days post Go-Live.</w:t>
      </w:r>
    </w:p>
    <w:p w14:paraId="7A9A01EF">
      <w:r>
        <w:br w:type="page"/>
      </w:r>
    </w:p>
    <w:p w14:paraId="3D7336A5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15. Assumptions &amp; Dependencies</w:t>
      </w:r>
    </w:p>
    <w:p w14:paraId="25874CDE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15.1 Client-Side Assumptions</w:t>
      </w:r>
    </w:p>
    <w:p w14:paraId="3612AB1E">
      <w:pPr>
        <w:pStyle w:val="23"/>
      </w:pPr>
      <w:r>
        <w:rPr>
          <w:rFonts w:ascii="Calibri" w:hAnsi="Calibri"/>
          <w:b/>
          <w:sz w:val="20"/>
        </w:rPr>
        <w:t>Infrastructure Readiness</w:t>
      </w:r>
      <w:r>
        <w:rPr>
          <w:rFonts w:ascii="Calibri" w:hAnsi="Calibri"/>
          <w:color w:val="2D3748"/>
          <w:sz w:val="20"/>
        </w:rPr>
        <w:t xml:space="preserve"> — Client provides cloud account (AWS/Azure) with admin access within 2 weeks of project kick-off</w:t>
      </w:r>
    </w:p>
    <w:p w14:paraId="66718FAC">
      <w:pPr>
        <w:pStyle w:val="23"/>
      </w:pPr>
      <w:r>
        <w:rPr>
          <w:rFonts w:ascii="Calibri" w:hAnsi="Calibri"/>
          <w:b/>
          <w:sz w:val="20"/>
        </w:rPr>
        <w:t>Network Connectivity</w:t>
      </w:r>
      <w:r>
        <w:rPr>
          <w:rFonts w:ascii="Calibri" w:hAnsi="Calibri"/>
          <w:color w:val="2D3748"/>
          <w:sz w:val="20"/>
        </w:rPr>
        <w:t xml:space="preserve"> — All branch locations have minimum 50 Mbps dedicated internet with VPN capability</w:t>
      </w:r>
    </w:p>
    <w:p w14:paraId="07487592">
      <w:pPr>
        <w:pStyle w:val="23"/>
      </w:pPr>
      <w:r>
        <w:rPr>
          <w:rFonts w:ascii="Calibri" w:hAnsi="Calibri"/>
          <w:b/>
          <w:sz w:val="20"/>
        </w:rPr>
        <w:t>Hardware Availability</w:t>
      </w:r>
      <w:r>
        <w:rPr>
          <w:rFonts w:ascii="Calibri" w:hAnsi="Calibri"/>
          <w:color w:val="2D3748"/>
          <w:sz w:val="20"/>
        </w:rPr>
        <w:t xml:space="preserve"> — Workstations, barcode scanners, label printers, and biometric devices procured by client before Phase 9</w:t>
      </w:r>
    </w:p>
    <w:p w14:paraId="5E4ACDCC">
      <w:pPr>
        <w:pStyle w:val="23"/>
      </w:pPr>
      <w:r>
        <w:rPr>
          <w:rFonts w:ascii="Calibri" w:hAnsi="Calibri"/>
          <w:b/>
          <w:sz w:val="20"/>
        </w:rPr>
        <w:t>Active Directory / SSO</w:t>
      </w:r>
      <w:r>
        <w:rPr>
          <w:rFonts w:ascii="Calibri" w:hAnsi="Calibri"/>
          <w:color w:val="2D3748"/>
          <w:sz w:val="20"/>
        </w:rPr>
        <w:t xml:space="preserve"> — Client provides LDAP/AD integration details if SSO is required; SAML 2.0 IdP available</w:t>
      </w:r>
    </w:p>
    <w:p w14:paraId="3BB25C9B">
      <w:pPr>
        <w:pStyle w:val="23"/>
      </w:pPr>
      <w:r>
        <w:rPr>
          <w:rFonts w:ascii="Calibri" w:hAnsi="Calibri"/>
          <w:b/>
          <w:sz w:val="20"/>
        </w:rPr>
        <w:t>Data Migration</w:t>
      </w:r>
      <w:r>
        <w:rPr>
          <w:rFonts w:ascii="Calibri" w:hAnsi="Calibri"/>
          <w:color w:val="2D3748"/>
          <w:sz w:val="20"/>
        </w:rPr>
        <w:t xml:space="preserve"> — Client provides legacy data in agreed CSV/Excel format with data dictionary within 4 weeks of Phase 7 start</w:t>
      </w:r>
    </w:p>
    <w:p w14:paraId="54321254">
      <w:pPr>
        <w:pStyle w:val="23"/>
      </w:pPr>
      <w:r>
        <w:rPr>
          <w:rFonts w:ascii="Calibri" w:hAnsi="Calibri"/>
          <w:b/>
          <w:sz w:val="20"/>
        </w:rPr>
        <w:t>Subject Matter Experts</w:t>
      </w:r>
      <w:r>
        <w:rPr>
          <w:rFonts w:ascii="Calibri" w:hAnsi="Calibri"/>
          <w:color w:val="2D3748"/>
          <w:sz w:val="20"/>
        </w:rPr>
        <w:t xml:space="preserve"> — Client assigns dedicated SMEs (1 per module) available ≥4 hours/week throughout project</w:t>
      </w:r>
    </w:p>
    <w:p w14:paraId="27495DBC">
      <w:pPr>
        <w:pStyle w:val="23"/>
      </w:pPr>
      <w:r>
        <w:rPr>
          <w:rFonts w:ascii="Calibri" w:hAnsi="Calibri"/>
          <w:b/>
          <w:sz w:val="20"/>
        </w:rPr>
        <w:t>Decision Authority</w:t>
      </w:r>
      <w:r>
        <w:rPr>
          <w:rFonts w:ascii="Calibri" w:hAnsi="Calibri"/>
          <w:color w:val="2D3748"/>
          <w:sz w:val="20"/>
        </w:rPr>
        <w:t xml:space="preserve"> — Client Project Manager has authority to approve designs and UAT within 5 business days</w:t>
      </w:r>
    </w:p>
    <w:p w14:paraId="5B4ACD3B">
      <w:pPr>
        <w:pStyle w:val="23"/>
      </w:pPr>
      <w:r>
        <w:rPr>
          <w:rFonts w:ascii="Calibri" w:hAnsi="Calibri"/>
          <w:b/>
          <w:sz w:val="20"/>
        </w:rPr>
        <w:t>Regulatory Licenses</w:t>
      </w:r>
      <w:r>
        <w:rPr>
          <w:rFonts w:ascii="Calibri" w:hAnsi="Calibri"/>
          <w:color w:val="2D3748"/>
          <w:sz w:val="20"/>
        </w:rPr>
        <w:t xml:space="preserve"> — Client possesses valid hospital licenses, drug licenses, and lab accreditation certificates</w:t>
      </w:r>
    </w:p>
    <w:p w14:paraId="480B4968">
      <w:pPr>
        <w:pStyle w:val="23"/>
      </w:pPr>
      <w:r>
        <w:rPr>
          <w:rFonts w:ascii="Calibri" w:hAnsi="Calibri"/>
          <w:b/>
          <w:sz w:val="20"/>
        </w:rPr>
        <w:t>Email &amp; SMS Gateway</w:t>
      </w:r>
      <w:r>
        <w:rPr>
          <w:rFonts w:ascii="Calibri" w:hAnsi="Calibri"/>
          <w:color w:val="2D3748"/>
          <w:sz w:val="20"/>
        </w:rPr>
        <w:t xml:space="preserve"> — Client provides SMTP credentials and SMS gateway API (MSG91/Twilio) for notifications</w:t>
      </w:r>
    </w:p>
    <w:p w14:paraId="0028078E">
      <w:pPr>
        <w:pStyle w:val="23"/>
      </w:pPr>
      <w:r>
        <w:rPr>
          <w:rFonts w:ascii="Calibri" w:hAnsi="Calibri"/>
          <w:b/>
          <w:sz w:val="20"/>
        </w:rPr>
        <w:t>Payment Gateway</w:t>
      </w:r>
      <w:r>
        <w:rPr>
          <w:rFonts w:ascii="Calibri" w:hAnsi="Calibri"/>
          <w:color w:val="2D3748"/>
          <w:sz w:val="20"/>
        </w:rPr>
        <w:t xml:space="preserve"> — Client onboards with Razorpay/PayU and provides API keys for online payment integration</w:t>
      </w:r>
    </w:p>
    <w:p w14:paraId="7D9E734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15.2 TGWT-Side Assumptions</w:t>
      </w:r>
    </w:p>
    <w:p w14:paraId="4B3785C0">
      <w:pPr>
        <w:pStyle w:val="23"/>
      </w:pPr>
      <w:r>
        <w:rPr>
          <w:rFonts w:ascii="Calibri" w:hAnsi="Calibri"/>
          <w:b/>
          <w:sz w:val="20"/>
        </w:rPr>
        <w:t>Team Availability</w:t>
      </w:r>
      <w:r>
        <w:rPr>
          <w:rFonts w:ascii="Calibri" w:hAnsi="Calibri"/>
          <w:color w:val="2D3748"/>
          <w:sz w:val="20"/>
        </w:rPr>
        <w:t xml:space="preserve"> — TGWT maintains dedicated team of 13 resources as per governance structure throughout project duration</w:t>
      </w:r>
    </w:p>
    <w:p w14:paraId="52079459">
      <w:pPr>
        <w:pStyle w:val="23"/>
      </w:pPr>
      <w:r>
        <w:rPr>
          <w:rFonts w:ascii="Calibri" w:hAnsi="Calibri"/>
          <w:b/>
          <w:sz w:val="20"/>
        </w:rPr>
        <w:t>Technology Stack</w:t>
      </w:r>
      <w:r>
        <w:rPr>
          <w:rFonts w:ascii="Calibri" w:hAnsi="Calibri"/>
          <w:color w:val="2D3748"/>
          <w:sz w:val="20"/>
        </w:rPr>
        <w:t xml:space="preserve"> — No mid-project technology changes unless mutually agreed via Change Request</w:t>
      </w:r>
    </w:p>
    <w:p w14:paraId="3BB83A37">
      <w:pPr>
        <w:pStyle w:val="23"/>
      </w:pPr>
      <w:r>
        <w:rPr>
          <w:rFonts w:ascii="Calibri" w:hAnsi="Calibri"/>
          <w:b/>
          <w:sz w:val="20"/>
        </w:rPr>
        <w:t>Third-Party APIs</w:t>
      </w:r>
      <w:r>
        <w:rPr>
          <w:rFonts w:ascii="Calibri" w:hAnsi="Calibri"/>
          <w:color w:val="2D3748"/>
          <w:sz w:val="20"/>
        </w:rPr>
        <w:t xml:space="preserve"> — ABDM/ABHA sandbox available for development; production credentials provided by client</w:t>
      </w:r>
    </w:p>
    <w:p w14:paraId="11E338AE">
      <w:pPr>
        <w:pStyle w:val="23"/>
      </w:pPr>
      <w:r>
        <w:rPr>
          <w:rFonts w:ascii="Calibri" w:hAnsi="Calibri"/>
          <w:b/>
          <w:sz w:val="20"/>
        </w:rPr>
        <w:t>Development Environment</w:t>
      </w:r>
      <w:r>
        <w:rPr>
          <w:rFonts w:ascii="Calibri" w:hAnsi="Calibri"/>
          <w:color w:val="2D3748"/>
          <w:sz w:val="20"/>
        </w:rPr>
        <w:t xml:space="preserve"> — TGWT provisions own development and staging environments; client provides production</w:t>
      </w:r>
    </w:p>
    <w:p w14:paraId="0B45EAB7">
      <w:pPr>
        <w:pStyle w:val="23"/>
      </w:pPr>
      <w:r>
        <w:rPr>
          <w:rFonts w:ascii="Calibri" w:hAnsi="Calibri"/>
          <w:b/>
          <w:sz w:val="20"/>
        </w:rPr>
        <w:t>Code Repository</w:t>
      </w:r>
      <w:r>
        <w:rPr>
          <w:rFonts w:ascii="Calibri" w:hAnsi="Calibri"/>
          <w:color w:val="2D3748"/>
          <w:sz w:val="20"/>
        </w:rPr>
        <w:t xml:space="preserve"> — TGWT uses private GitHub/GitLab repository; client receives read access and full transfer at project completion</w:t>
      </w:r>
    </w:p>
    <w:p w14:paraId="799455E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15.3 External Dependencies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40"/>
        <w:gridCol w:w="1424"/>
        <w:gridCol w:w="1148"/>
        <w:gridCol w:w="4234"/>
      </w:tblGrid>
      <w:tr w14:paraId="3C8ABBFF">
        <w:trPr>
          <w:jc w:val="center"/>
        </w:trPr>
        <w:tc>
          <w:tcPr>
            <w:tcW w:w="2880" w:type="dxa"/>
            <w:shd w:val="clear" w:color="auto" w:fill="1B3A5C"/>
          </w:tcPr>
          <w:p w14:paraId="0F35475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Dependency</w:t>
            </w:r>
          </w:p>
        </w:tc>
        <w:tc>
          <w:tcPr>
            <w:tcW w:w="1440" w:type="dxa"/>
            <w:shd w:val="clear" w:color="auto" w:fill="1B3A5C"/>
          </w:tcPr>
          <w:p w14:paraId="74D57F7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w="1152" w:type="dxa"/>
            <w:shd w:val="clear" w:color="auto" w:fill="1B3A5C"/>
          </w:tcPr>
          <w:p w14:paraId="1987B5F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By</w:t>
            </w:r>
          </w:p>
        </w:tc>
        <w:tc>
          <w:tcPr>
            <w:tcW w:w="4320" w:type="dxa"/>
            <w:shd w:val="clear" w:color="auto" w:fill="1B3A5C"/>
          </w:tcPr>
          <w:p w14:paraId="0641060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if Delayed</w:t>
            </w:r>
          </w:p>
        </w:tc>
      </w:tr>
      <w:tr w14:paraId="3BFC5B11">
        <w:trPr>
          <w:jc w:val="center"/>
        </w:trPr>
        <w:tc>
          <w:tcPr>
            <w:tcW w:w="2880" w:type="dxa"/>
            <w:shd w:val="clear" w:color="auto" w:fill="F7F9FC"/>
          </w:tcPr>
          <w:p w14:paraId="37CB0208">
            <w:r>
              <w:rPr>
                <w:rFonts w:ascii="Calibri" w:hAnsi="Calibri"/>
                <w:color w:val="2D3748"/>
                <w:sz w:val="18"/>
              </w:rPr>
              <w:t>AWS/Azure account provisioning</w:t>
            </w:r>
          </w:p>
        </w:tc>
        <w:tc>
          <w:tcPr>
            <w:tcW w:w="1440" w:type="dxa"/>
            <w:shd w:val="clear" w:color="auto" w:fill="F7F9FC"/>
          </w:tcPr>
          <w:p w14:paraId="2AE9F2F2">
            <w:r>
              <w:rPr>
                <w:rFonts w:ascii="Calibri" w:hAnsi="Calibri"/>
                <w:color w:val="2D3748"/>
                <w:sz w:val="18"/>
              </w:rPr>
              <w:t>Client IT</w:t>
            </w:r>
          </w:p>
        </w:tc>
        <w:tc>
          <w:tcPr>
            <w:tcW w:w="1152" w:type="dxa"/>
            <w:shd w:val="clear" w:color="auto" w:fill="F7F9FC"/>
          </w:tcPr>
          <w:p w14:paraId="4901CEF4">
            <w:r>
              <w:rPr>
                <w:rFonts w:ascii="Calibri" w:hAnsi="Calibri"/>
                <w:color w:val="2D3748"/>
                <w:sz w:val="18"/>
              </w:rPr>
              <w:t>Week 2</w:t>
            </w:r>
          </w:p>
        </w:tc>
        <w:tc>
          <w:tcPr>
            <w:tcW w:w="4320" w:type="dxa"/>
            <w:shd w:val="clear" w:color="auto" w:fill="F7F9FC"/>
          </w:tcPr>
          <w:p w14:paraId="1C4C8A3D">
            <w:r>
              <w:rPr>
                <w:rFonts w:ascii="Calibri" w:hAnsi="Calibri"/>
                <w:color w:val="2D3748"/>
                <w:sz w:val="18"/>
              </w:rPr>
              <w:t>Blocks infrastructure setup; 2-week delay cascade</w:t>
            </w:r>
          </w:p>
        </w:tc>
      </w:tr>
      <w:tr w14:paraId="57BED67B">
        <w:trPr>
          <w:jc w:val="center"/>
        </w:trPr>
        <w:tc>
          <w:tcPr>
            <w:tcW w:w="2880" w:type="dxa"/>
            <w:shd w:val="clear" w:color="auto" w:fill="FFFFFF"/>
          </w:tcPr>
          <w:p w14:paraId="067809D7">
            <w:r>
              <w:rPr>
                <w:rFonts w:ascii="Calibri" w:hAnsi="Calibri"/>
                <w:color w:val="2D3748"/>
                <w:sz w:val="18"/>
              </w:rPr>
              <w:t>ABDM/ABHA sandbox access</w:t>
            </w:r>
          </w:p>
        </w:tc>
        <w:tc>
          <w:tcPr>
            <w:tcW w:w="1440" w:type="dxa"/>
            <w:shd w:val="clear" w:color="auto" w:fill="FFFFFF"/>
          </w:tcPr>
          <w:p w14:paraId="52FFD3D7">
            <w:r>
              <w:rPr>
                <w:rFonts w:ascii="Calibri" w:hAnsi="Calibri"/>
                <w:color w:val="2D3748"/>
                <w:sz w:val="18"/>
              </w:rPr>
              <w:t>NHA (India)</w:t>
            </w:r>
          </w:p>
        </w:tc>
        <w:tc>
          <w:tcPr>
            <w:tcW w:w="1152" w:type="dxa"/>
            <w:shd w:val="clear" w:color="auto" w:fill="FFFFFF"/>
          </w:tcPr>
          <w:p w14:paraId="5F5CABF4">
            <w:r>
              <w:rPr>
                <w:rFonts w:ascii="Calibri" w:hAnsi="Calibri"/>
                <w:color w:val="2D3748"/>
                <w:sz w:val="18"/>
              </w:rPr>
              <w:t>Week 8</w:t>
            </w:r>
          </w:p>
        </w:tc>
        <w:tc>
          <w:tcPr>
            <w:tcW w:w="4320" w:type="dxa"/>
            <w:shd w:val="clear" w:color="auto" w:fill="FFFFFF"/>
          </w:tcPr>
          <w:p w14:paraId="275AD895">
            <w:r>
              <w:rPr>
                <w:rFonts w:ascii="Calibri" w:hAnsi="Calibri"/>
                <w:color w:val="2D3748"/>
                <w:sz w:val="18"/>
              </w:rPr>
              <w:t>Health ID integration deferred to post-MVP</w:t>
            </w:r>
          </w:p>
        </w:tc>
      </w:tr>
      <w:tr w14:paraId="1BCF9A32">
        <w:trPr>
          <w:jc w:val="center"/>
        </w:trPr>
        <w:tc>
          <w:tcPr>
            <w:tcW w:w="2880" w:type="dxa"/>
            <w:shd w:val="clear" w:color="auto" w:fill="F7F9FC"/>
          </w:tcPr>
          <w:p w14:paraId="06B4D20E">
            <w:r>
              <w:rPr>
                <w:rFonts w:ascii="Calibri" w:hAnsi="Calibri"/>
                <w:color w:val="2D3748"/>
                <w:sz w:val="18"/>
              </w:rPr>
              <w:t>Razorpay/PayU merchant account</w:t>
            </w:r>
          </w:p>
        </w:tc>
        <w:tc>
          <w:tcPr>
            <w:tcW w:w="1440" w:type="dxa"/>
            <w:shd w:val="clear" w:color="auto" w:fill="F7F9FC"/>
          </w:tcPr>
          <w:p w14:paraId="6270C679">
            <w:r>
              <w:rPr>
                <w:rFonts w:ascii="Calibri" w:hAnsi="Calibri"/>
                <w:color w:val="2D3748"/>
                <w:sz w:val="18"/>
              </w:rPr>
              <w:t>Client Finance</w:t>
            </w:r>
          </w:p>
        </w:tc>
        <w:tc>
          <w:tcPr>
            <w:tcW w:w="1152" w:type="dxa"/>
            <w:shd w:val="clear" w:color="auto" w:fill="F7F9FC"/>
          </w:tcPr>
          <w:p w14:paraId="25FFC243">
            <w:r>
              <w:rPr>
                <w:rFonts w:ascii="Calibri" w:hAnsi="Calibri"/>
                <w:color w:val="2D3748"/>
                <w:sz w:val="18"/>
              </w:rPr>
              <w:t>Week 20</w:t>
            </w:r>
          </w:p>
        </w:tc>
        <w:tc>
          <w:tcPr>
            <w:tcW w:w="4320" w:type="dxa"/>
            <w:shd w:val="clear" w:color="auto" w:fill="F7F9FC"/>
          </w:tcPr>
          <w:p w14:paraId="0AC41BAF">
            <w:r>
              <w:rPr>
                <w:rFonts w:ascii="Calibri" w:hAnsi="Calibri"/>
                <w:color w:val="2D3748"/>
                <w:sz w:val="18"/>
              </w:rPr>
              <w:t>Online payments unavailable at Go-Live</w:t>
            </w:r>
          </w:p>
        </w:tc>
      </w:tr>
      <w:tr w14:paraId="7C7C08C3">
        <w:trPr>
          <w:jc w:val="center"/>
        </w:trPr>
        <w:tc>
          <w:tcPr>
            <w:tcW w:w="2880" w:type="dxa"/>
            <w:shd w:val="clear" w:color="auto" w:fill="FFFFFF"/>
          </w:tcPr>
          <w:p w14:paraId="17DEAB1B">
            <w:r>
              <w:rPr>
                <w:rFonts w:ascii="Calibri" w:hAnsi="Calibri"/>
                <w:color w:val="2D3748"/>
                <w:sz w:val="18"/>
              </w:rPr>
              <w:t>Drug Master Database (CDSCO)</w:t>
            </w:r>
          </w:p>
        </w:tc>
        <w:tc>
          <w:tcPr>
            <w:tcW w:w="1440" w:type="dxa"/>
            <w:shd w:val="clear" w:color="auto" w:fill="FFFFFF"/>
          </w:tcPr>
          <w:p w14:paraId="5FDFE828">
            <w:r>
              <w:rPr>
                <w:rFonts w:ascii="Calibri" w:hAnsi="Calibri"/>
                <w:color w:val="2D3748"/>
                <w:sz w:val="18"/>
              </w:rPr>
              <w:t>TGWT</w:t>
            </w:r>
          </w:p>
        </w:tc>
        <w:tc>
          <w:tcPr>
            <w:tcW w:w="1152" w:type="dxa"/>
            <w:shd w:val="clear" w:color="auto" w:fill="FFFFFF"/>
          </w:tcPr>
          <w:p w14:paraId="3A234551">
            <w:r>
              <w:rPr>
                <w:rFonts w:ascii="Calibri" w:hAnsi="Calibri"/>
                <w:color w:val="2D3748"/>
                <w:sz w:val="18"/>
              </w:rPr>
              <w:t>Week 6</w:t>
            </w:r>
          </w:p>
        </w:tc>
        <w:tc>
          <w:tcPr>
            <w:tcW w:w="4320" w:type="dxa"/>
            <w:shd w:val="clear" w:color="auto" w:fill="FFFFFF"/>
          </w:tcPr>
          <w:p w14:paraId="0554ED39">
            <w:r>
              <w:rPr>
                <w:rFonts w:ascii="Calibri" w:hAnsi="Calibri"/>
                <w:color w:val="2D3748"/>
                <w:sz w:val="18"/>
              </w:rPr>
              <w:t>Pharmacy module uses limited drug list</w:t>
            </w:r>
          </w:p>
        </w:tc>
      </w:tr>
      <w:tr w14:paraId="1F9E5FE7">
        <w:trPr>
          <w:jc w:val="center"/>
        </w:trPr>
        <w:tc>
          <w:tcPr>
            <w:tcW w:w="2880" w:type="dxa"/>
            <w:shd w:val="clear" w:color="auto" w:fill="F7F9FC"/>
          </w:tcPr>
          <w:p w14:paraId="505C4F1A">
            <w:r>
              <w:rPr>
                <w:rFonts w:ascii="Calibri" w:hAnsi="Calibri"/>
                <w:color w:val="2D3748"/>
                <w:sz w:val="18"/>
              </w:rPr>
              <w:t>ICD-10/ICD-11 code library</w:t>
            </w:r>
          </w:p>
        </w:tc>
        <w:tc>
          <w:tcPr>
            <w:tcW w:w="1440" w:type="dxa"/>
            <w:shd w:val="clear" w:color="auto" w:fill="F7F9FC"/>
          </w:tcPr>
          <w:p w14:paraId="21059074">
            <w:r>
              <w:rPr>
                <w:rFonts w:ascii="Calibri" w:hAnsi="Calibri"/>
                <w:color w:val="2D3748"/>
                <w:sz w:val="18"/>
              </w:rPr>
              <w:t>TGWT</w:t>
            </w:r>
          </w:p>
        </w:tc>
        <w:tc>
          <w:tcPr>
            <w:tcW w:w="1152" w:type="dxa"/>
            <w:shd w:val="clear" w:color="auto" w:fill="F7F9FC"/>
          </w:tcPr>
          <w:p w14:paraId="1192F3B4">
            <w:r>
              <w:rPr>
                <w:rFonts w:ascii="Calibri" w:hAnsi="Calibri"/>
                <w:color w:val="2D3748"/>
                <w:sz w:val="18"/>
              </w:rPr>
              <w:t>Week 6</w:t>
            </w:r>
          </w:p>
        </w:tc>
        <w:tc>
          <w:tcPr>
            <w:tcW w:w="4320" w:type="dxa"/>
            <w:shd w:val="clear" w:color="auto" w:fill="F7F9FC"/>
          </w:tcPr>
          <w:p w14:paraId="07D48DF3">
            <w:r>
              <w:rPr>
                <w:rFonts w:ascii="Calibri" w:hAnsi="Calibri"/>
                <w:color w:val="2D3748"/>
                <w:sz w:val="18"/>
              </w:rPr>
              <w:t>Diagnosis coding uses free-text fallback</w:t>
            </w:r>
          </w:p>
        </w:tc>
      </w:tr>
      <w:tr w14:paraId="2A4B80C8">
        <w:trPr>
          <w:jc w:val="center"/>
        </w:trPr>
        <w:tc>
          <w:tcPr>
            <w:tcW w:w="2880" w:type="dxa"/>
            <w:shd w:val="clear" w:color="auto" w:fill="FFFFFF"/>
          </w:tcPr>
          <w:p w14:paraId="63C297C3">
            <w:r>
              <w:rPr>
                <w:rFonts w:ascii="Calibri" w:hAnsi="Calibri"/>
                <w:color w:val="2D3748"/>
                <w:sz w:val="18"/>
              </w:rPr>
              <w:t>SSL certificates (wildcard)</w:t>
            </w:r>
          </w:p>
        </w:tc>
        <w:tc>
          <w:tcPr>
            <w:tcW w:w="1440" w:type="dxa"/>
            <w:shd w:val="clear" w:color="auto" w:fill="FFFFFF"/>
          </w:tcPr>
          <w:p w14:paraId="37DD38C0">
            <w:r>
              <w:rPr>
                <w:rFonts w:ascii="Calibri" w:hAnsi="Calibri"/>
                <w:color w:val="2D3748"/>
                <w:sz w:val="18"/>
              </w:rPr>
              <w:t>Client IT</w:t>
            </w:r>
          </w:p>
        </w:tc>
        <w:tc>
          <w:tcPr>
            <w:tcW w:w="1152" w:type="dxa"/>
            <w:shd w:val="clear" w:color="auto" w:fill="FFFFFF"/>
          </w:tcPr>
          <w:p w14:paraId="5ECFC556">
            <w:r>
              <w:rPr>
                <w:rFonts w:ascii="Calibri" w:hAnsi="Calibri"/>
                <w:color w:val="2D3748"/>
                <w:sz w:val="18"/>
              </w:rPr>
              <w:t>Week 24</w:t>
            </w:r>
          </w:p>
        </w:tc>
        <w:tc>
          <w:tcPr>
            <w:tcW w:w="4320" w:type="dxa"/>
            <w:shd w:val="clear" w:color="auto" w:fill="FFFFFF"/>
          </w:tcPr>
          <w:p w14:paraId="1B15F731">
            <w:r>
              <w:rPr>
                <w:rFonts w:ascii="Calibri" w:hAnsi="Calibri"/>
                <w:color w:val="2D3748"/>
                <w:sz w:val="18"/>
              </w:rPr>
              <w:t>Blocks production HTTPS deployment</w:t>
            </w:r>
          </w:p>
        </w:tc>
      </w:tr>
      <w:tr w14:paraId="306F55D6">
        <w:trPr>
          <w:jc w:val="center"/>
        </w:trPr>
        <w:tc>
          <w:tcPr>
            <w:tcW w:w="2880" w:type="dxa"/>
            <w:shd w:val="clear" w:color="auto" w:fill="F7F9FC"/>
          </w:tcPr>
          <w:p w14:paraId="4B91E268">
            <w:r>
              <w:rPr>
                <w:rFonts w:ascii="Calibri" w:hAnsi="Calibri"/>
                <w:color w:val="2D3748"/>
                <w:sz w:val="18"/>
              </w:rPr>
              <w:t>Biometric SDK license</w:t>
            </w:r>
          </w:p>
        </w:tc>
        <w:tc>
          <w:tcPr>
            <w:tcW w:w="1440" w:type="dxa"/>
            <w:shd w:val="clear" w:color="auto" w:fill="F7F9FC"/>
          </w:tcPr>
          <w:p w14:paraId="2AFBB7BE">
            <w:r>
              <w:rPr>
                <w:rFonts w:ascii="Calibri" w:hAnsi="Calibri"/>
                <w:color w:val="2D3748"/>
                <w:sz w:val="18"/>
              </w:rPr>
              <w:t>Client / Vendor</w:t>
            </w:r>
          </w:p>
        </w:tc>
        <w:tc>
          <w:tcPr>
            <w:tcW w:w="1152" w:type="dxa"/>
            <w:shd w:val="clear" w:color="auto" w:fill="F7F9FC"/>
          </w:tcPr>
          <w:p w14:paraId="5E2B0B13">
            <w:r>
              <w:rPr>
                <w:rFonts w:ascii="Calibri" w:hAnsi="Calibri"/>
                <w:color w:val="2D3748"/>
                <w:sz w:val="18"/>
              </w:rPr>
              <w:t>Week 28</w:t>
            </w:r>
          </w:p>
        </w:tc>
        <w:tc>
          <w:tcPr>
            <w:tcW w:w="4320" w:type="dxa"/>
            <w:shd w:val="clear" w:color="auto" w:fill="F7F9FC"/>
          </w:tcPr>
          <w:p w14:paraId="293DAE50">
            <w:r>
              <w:rPr>
                <w:rFonts w:ascii="Calibri" w:hAnsi="Calibri"/>
                <w:color w:val="2D3748"/>
                <w:sz w:val="18"/>
              </w:rPr>
              <w:t>Attendance uses manual punch fallback</w:t>
            </w:r>
          </w:p>
        </w:tc>
      </w:tr>
      <w:tr w14:paraId="3EAF8030">
        <w:trPr>
          <w:jc w:val="center"/>
        </w:trPr>
        <w:tc>
          <w:tcPr>
            <w:tcW w:w="2880" w:type="dxa"/>
            <w:shd w:val="clear" w:color="auto" w:fill="FFFFFF"/>
          </w:tcPr>
          <w:p w14:paraId="3375F818">
            <w:r>
              <w:rPr>
                <w:rFonts w:ascii="Calibri" w:hAnsi="Calibri"/>
                <w:color w:val="2D3748"/>
                <w:sz w:val="18"/>
              </w:rPr>
              <w:t>SMS gateway credits</w:t>
            </w:r>
          </w:p>
        </w:tc>
        <w:tc>
          <w:tcPr>
            <w:tcW w:w="1440" w:type="dxa"/>
            <w:shd w:val="clear" w:color="auto" w:fill="FFFFFF"/>
          </w:tcPr>
          <w:p w14:paraId="7EBD799F">
            <w:r>
              <w:rPr>
                <w:rFonts w:ascii="Calibri" w:hAnsi="Calibri"/>
                <w:color w:val="2D3748"/>
                <w:sz w:val="18"/>
              </w:rPr>
              <w:t>Client</w:t>
            </w:r>
          </w:p>
        </w:tc>
        <w:tc>
          <w:tcPr>
            <w:tcW w:w="1152" w:type="dxa"/>
            <w:shd w:val="clear" w:color="auto" w:fill="FFFFFF"/>
          </w:tcPr>
          <w:p w14:paraId="58EB4FC9">
            <w:r>
              <w:rPr>
                <w:rFonts w:ascii="Calibri" w:hAnsi="Calibri"/>
                <w:color w:val="2D3748"/>
                <w:sz w:val="18"/>
              </w:rPr>
              <w:t>Week 24</w:t>
            </w:r>
          </w:p>
        </w:tc>
        <w:tc>
          <w:tcPr>
            <w:tcW w:w="4320" w:type="dxa"/>
            <w:shd w:val="clear" w:color="auto" w:fill="FFFFFF"/>
          </w:tcPr>
          <w:p w14:paraId="024C2582">
            <w:r>
              <w:rPr>
                <w:rFonts w:ascii="Calibri" w:hAnsi="Calibri"/>
                <w:color w:val="2D3748"/>
                <w:sz w:val="18"/>
              </w:rPr>
              <w:t>OTP and notifications unavailable</w:t>
            </w:r>
          </w:p>
        </w:tc>
      </w:tr>
      <w:tr w14:paraId="1442A0E1">
        <w:trPr>
          <w:jc w:val="center"/>
        </w:trPr>
        <w:tc>
          <w:tcPr>
            <w:tcW w:w="2880" w:type="dxa"/>
            <w:shd w:val="clear" w:color="auto" w:fill="F7F9FC"/>
          </w:tcPr>
          <w:p w14:paraId="3AF3549C">
            <w:r>
              <w:rPr>
                <w:rFonts w:ascii="Calibri" w:hAnsi="Calibri"/>
                <w:color w:val="2D3748"/>
                <w:sz w:val="18"/>
              </w:rPr>
              <w:t>Google Maps API key</w:t>
            </w:r>
          </w:p>
        </w:tc>
        <w:tc>
          <w:tcPr>
            <w:tcW w:w="1440" w:type="dxa"/>
            <w:shd w:val="clear" w:color="auto" w:fill="F7F9FC"/>
          </w:tcPr>
          <w:p w14:paraId="2B1EDA70">
            <w:r>
              <w:rPr>
                <w:rFonts w:ascii="Calibri" w:hAnsi="Calibri"/>
                <w:color w:val="2D3748"/>
                <w:sz w:val="18"/>
              </w:rPr>
              <w:t>Client</w:t>
            </w:r>
          </w:p>
        </w:tc>
        <w:tc>
          <w:tcPr>
            <w:tcW w:w="1152" w:type="dxa"/>
            <w:shd w:val="clear" w:color="auto" w:fill="F7F9FC"/>
          </w:tcPr>
          <w:p w14:paraId="3CE11DA7">
            <w:r>
              <w:rPr>
                <w:rFonts w:ascii="Calibri" w:hAnsi="Calibri"/>
                <w:color w:val="2D3748"/>
                <w:sz w:val="18"/>
              </w:rPr>
              <w:t>Week 20</w:t>
            </w:r>
          </w:p>
        </w:tc>
        <w:tc>
          <w:tcPr>
            <w:tcW w:w="4320" w:type="dxa"/>
            <w:shd w:val="clear" w:color="auto" w:fill="F7F9FC"/>
          </w:tcPr>
          <w:p w14:paraId="7AA18155">
            <w:r>
              <w:rPr>
                <w:rFonts w:ascii="Calibri" w:hAnsi="Calibri"/>
                <w:color w:val="2D3748"/>
                <w:sz w:val="18"/>
              </w:rPr>
              <w:t>Branch locator in Patient Portal disabled</w:t>
            </w:r>
          </w:p>
        </w:tc>
      </w:tr>
      <w:tr w14:paraId="2AAD6155">
        <w:trPr>
          <w:jc w:val="center"/>
        </w:trPr>
        <w:tc>
          <w:tcPr>
            <w:tcW w:w="2880" w:type="dxa"/>
            <w:shd w:val="clear" w:color="auto" w:fill="FFFFFF"/>
          </w:tcPr>
          <w:p w14:paraId="0A642C8C">
            <w:r>
              <w:rPr>
                <w:rFonts w:ascii="Calibri" w:hAnsi="Calibri"/>
                <w:color w:val="2D3748"/>
                <w:sz w:val="18"/>
              </w:rPr>
              <w:t>Penetration testing vendor</w:t>
            </w:r>
          </w:p>
        </w:tc>
        <w:tc>
          <w:tcPr>
            <w:tcW w:w="1440" w:type="dxa"/>
            <w:shd w:val="clear" w:color="auto" w:fill="FFFFFF"/>
          </w:tcPr>
          <w:p w14:paraId="493F7FA4">
            <w:r>
              <w:rPr>
                <w:rFonts w:ascii="Calibri" w:hAnsi="Calibri"/>
                <w:color w:val="2D3748"/>
                <w:sz w:val="18"/>
              </w:rPr>
              <w:t>Client</w:t>
            </w:r>
          </w:p>
        </w:tc>
        <w:tc>
          <w:tcPr>
            <w:tcW w:w="1152" w:type="dxa"/>
            <w:shd w:val="clear" w:color="auto" w:fill="FFFFFF"/>
          </w:tcPr>
          <w:p w14:paraId="4435E5ED">
            <w:r>
              <w:rPr>
                <w:rFonts w:ascii="Calibri" w:hAnsi="Calibri"/>
                <w:color w:val="2D3748"/>
                <w:sz w:val="18"/>
              </w:rPr>
              <w:t>Week 36</w:t>
            </w:r>
          </w:p>
        </w:tc>
        <w:tc>
          <w:tcPr>
            <w:tcW w:w="4320" w:type="dxa"/>
            <w:shd w:val="clear" w:color="auto" w:fill="FFFFFF"/>
          </w:tcPr>
          <w:p w14:paraId="0C94DA19">
            <w:r>
              <w:rPr>
                <w:rFonts w:ascii="Calibri" w:hAnsi="Calibri"/>
                <w:color w:val="2D3748"/>
                <w:sz w:val="18"/>
              </w:rPr>
              <w:t>Security certification delayed</w:t>
            </w:r>
          </w:p>
        </w:tc>
      </w:tr>
    </w:tbl>
    <w:p w14:paraId="46F89A06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15.4 Exclusions</w:t>
      </w:r>
    </w:p>
    <w:p w14:paraId="09E27408">
      <w:r>
        <w:t xml:space="preserve">The following items are </w:t>
      </w:r>
      <w:r>
        <w:rPr>
          <w:b/>
        </w:rPr>
        <w:t xml:space="preserve">explicitly excluded </w:t>
      </w:r>
      <w:r>
        <w:t>from this SOW and may be addressed via separate engagements:</w:t>
      </w:r>
    </w:p>
    <w:p w14:paraId="4AD1F677">
      <w:pPr>
        <w:pStyle w:val="23"/>
      </w:pPr>
      <w:r>
        <w:rPr>
          <w:rFonts w:ascii="Calibri" w:hAnsi="Calibri"/>
          <w:color w:val="2D3748"/>
          <w:sz w:val="20"/>
        </w:rPr>
        <w:t>Radiology module (PACS/RIS integration) — requires separate DICOM infrastructure</w:t>
      </w:r>
    </w:p>
    <w:p w14:paraId="1C23DEC5">
      <w:pPr>
        <w:pStyle w:val="23"/>
      </w:pPr>
      <w:r>
        <w:rPr>
          <w:rFonts w:ascii="Calibri" w:hAnsi="Calibri"/>
          <w:color w:val="2D3748"/>
          <w:sz w:val="20"/>
        </w:rPr>
        <w:t>Blood bank management — regulated separately under Drug &amp; Cosmetics Act</w:t>
      </w:r>
    </w:p>
    <w:p w14:paraId="255B4A7F">
      <w:pPr>
        <w:pStyle w:val="23"/>
      </w:pPr>
      <w:r>
        <w:rPr>
          <w:rFonts w:ascii="Calibri" w:hAnsi="Calibri"/>
          <w:color w:val="2D3748"/>
          <w:sz w:val="20"/>
        </w:rPr>
        <w:t>Telemedicine video consultation — requires separate WebRTC infrastructure and ABDM telemedicine guidelines compliance</w:t>
      </w:r>
    </w:p>
    <w:p w14:paraId="0EA88501">
      <w:pPr>
        <w:pStyle w:val="23"/>
      </w:pPr>
      <w:r>
        <w:rPr>
          <w:rFonts w:ascii="Calibri" w:hAnsi="Calibri"/>
          <w:color w:val="2D3748"/>
          <w:sz w:val="20"/>
        </w:rPr>
        <w:t>Mobile native applications (iOS/Android) — PWA serves as mobile solution; native apps via separate SOW</w:t>
      </w:r>
    </w:p>
    <w:p w14:paraId="047E9407">
      <w:pPr>
        <w:pStyle w:val="23"/>
      </w:pPr>
      <w:r>
        <w:rPr>
          <w:rFonts w:ascii="Calibri" w:hAnsi="Calibri"/>
          <w:color w:val="2D3748"/>
          <w:sz w:val="20"/>
        </w:rPr>
        <w:t>Legacy system data migration beyond agreed formats — complex ETL requires separate assessment</w:t>
      </w:r>
    </w:p>
    <w:p w14:paraId="5D75FFDC">
      <w:pPr>
        <w:pStyle w:val="23"/>
      </w:pPr>
      <w:r>
        <w:rPr>
          <w:rFonts w:ascii="Calibri" w:hAnsi="Calibri"/>
          <w:color w:val="2D3748"/>
          <w:sz w:val="20"/>
        </w:rPr>
        <w:t>Custom hardware procurement, installation, or maintenance</w:t>
      </w:r>
    </w:p>
    <w:p w14:paraId="0D4C0BAA">
      <w:pPr>
        <w:pStyle w:val="23"/>
      </w:pPr>
      <w:r>
        <w:rPr>
          <w:rFonts w:ascii="Calibri" w:hAnsi="Calibri"/>
          <w:color w:val="2D3748"/>
          <w:sz w:val="20"/>
        </w:rPr>
        <w:t>Ongoing content updates (drug database, ICD codes) beyond initial load</w:t>
      </w:r>
    </w:p>
    <w:p w14:paraId="5E15DA83">
      <w:pPr>
        <w:pStyle w:val="23"/>
      </w:pPr>
      <w:r>
        <w:rPr>
          <w:rFonts w:ascii="Calibri" w:hAnsi="Calibri"/>
          <w:color w:val="2D3748"/>
          <w:sz w:val="20"/>
        </w:rPr>
        <w:t>Third-party software licensing costs (AWS, Razorpay, SMS gateway, SSL)</w:t>
      </w:r>
    </w:p>
    <w:p w14:paraId="6C0885C1">
      <w:pPr>
        <w:pStyle w:val="23"/>
      </w:pPr>
      <w:r>
        <w:rPr>
          <w:rFonts w:ascii="Calibri" w:hAnsi="Calibri"/>
          <w:color w:val="2D3748"/>
          <w:sz w:val="20"/>
        </w:rPr>
        <w:t>Regulatory audit preparation or certification filing (NABH, NABL)</w:t>
      </w:r>
    </w:p>
    <w:p w14:paraId="7191B209">
      <w:pPr>
        <w:pStyle w:val="23"/>
      </w:pPr>
      <w:r>
        <w:rPr>
          <w:rFonts w:ascii="Calibri" w:hAnsi="Calibri"/>
          <w:color w:val="2D3748"/>
          <w:sz w:val="20"/>
        </w:rPr>
        <w:t>Multi-language support beyond English and Hindi — additional languages via CR</w:t>
      </w:r>
    </w:p>
    <w:p w14:paraId="79D63245">
      <w:r>
        <w:br w:type="page"/>
      </w:r>
    </w:p>
    <w:p w14:paraId="0D69A911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16. Commercial Terms</w:t>
      </w:r>
    </w:p>
    <w:p w14:paraId="7245F5E0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16.1 Pricing Model</w:t>
      </w:r>
    </w:p>
    <w:p w14:paraId="7B6BE140">
      <w:r>
        <w:t xml:space="preserve">This engagement follows a </w:t>
      </w:r>
      <w:r>
        <w:rPr>
          <w:b/>
        </w:rPr>
        <w:t xml:space="preserve">Fixed-Price model </w:t>
      </w:r>
      <w:r>
        <w:t>with milestone-based billing. The total project value covers all 12 modules, 54 weeks of delivery, 12 weeks of warranty support, and knowledge transfer.</w:t>
      </w:r>
    </w:p>
    <w:p w14:paraId="1472841B">
      <w:pPr>
        <w:pBdr>
          <w:left w:val="single" w:color="F59E0B" w:sz="24" w:space="8"/>
        </w:pBdr>
        <w:shd w:val="clear" w:fill="FFFBEB"/>
        <w:ind w:left="360" w:right="360"/>
      </w:pPr>
      <w:r>
        <w:rPr>
          <w:b/>
          <w:color w:val="856D0A"/>
          <w:sz w:val="18"/>
        </w:rPr>
        <w:t xml:space="preserve">  COMMERCIAL NOTE: </w:t>
      </w:r>
      <w:r>
        <w:rPr>
          <w:color w:val="856D0A"/>
          <w:sz w:val="18"/>
        </w:rPr>
        <w:t>Specific commercial values are captured in a separate Commercial Annexure (Confidential). This section defines the payment structure and terms.</w:t>
      </w:r>
    </w:p>
    <w:p w14:paraId="4D42FC8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16.2 Payment Schedule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1008"/>
        <w:gridCol w:w="1227"/>
        <w:gridCol w:w="2880"/>
        <w:gridCol w:w="1152"/>
      </w:tblGrid>
      <w:tr w14:paraId="3E41625F">
        <w:trPr>
          <w:jc w:val="center"/>
        </w:trPr>
        <w:tc>
          <w:tcPr>
            <w:tcW w:w="2592" w:type="dxa"/>
            <w:shd w:val="clear" w:color="auto" w:fill="1B3A5C"/>
          </w:tcPr>
          <w:p w14:paraId="7059245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w="1008" w:type="dxa"/>
            <w:shd w:val="clear" w:color="auto" w:fill="1B3A5C"/>
          </w:tcPr>
          <w:p w14:paraId="7B1D08E5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1008" w:type="dxa"/>
            <w:shd w:val="clear" w:color="auto" w:fill="1B3A5C"/>
          </w:tcPr>
          <w:p w14:paraId="2E6B55A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w="2880" w:type="dxa"/>
            <w:shd w:val="clear" w:color="auto" w:fill="1B3A5C"/>
          </w:tcPr>
          <w:p w14:paraId="0CF76F3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w="1152" w:type="dxa"/>
            <w:shd w:val="clear" w:color="auto" w:fill="1B3A5C"/>
          </w:tcPr>
          <w:p w14:paraId="7A206B5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Payment Terms</w:t>
            </w:r>
          </w:p>
        </w:tc>
      </w:tr>
      <w:tr w14:paraId="3DA0DF42">
        <w:trPr>
          <w:jc w:val="center"/>
        </w:trPr>
        <w:tc>
          <w:tcPr>
            <w:tcW w:w="2592" w:type="dxa"/>
            <w:shd w:val="clear" w:color="auto" w:fill="F7F9FC"/>
          </w:tcPr>
          <w:p w14:paraId="3D9311C9">
            <w:r>
              <w:rPr>
                <w:rFonts w:ascii="Calibri" w:hAnsi="Calibri"/>
                <w:color w:val="2D3748"/>
                <w:sz w:val="18"/>
              </w:rPr>
              <w:t>M1 — Project Kick-Off</w:t>
            </w:r>
          </w:p>
        </w:tc>
        <w:tc>
          <w:tcPr>
            <w:tcW w:w="1008" w:type="dxa"/>
            <w:shd w:val="clear" w:color="auto" w:fill="F7F9FC"/>
          </w:tcPr>
          <w:p w14:paraId="53EE6E30"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w="1008" w:type="dxa"/>
            <w:shd w:val="clear" w:color="auto" w:fill="F7F9FC"/>
          </w:tcPr>
          <w:p w14:paraId="329915C7">
            <w:r>
              <w:rPr>
                <w:rFonts w:ascii="Calibri" w:hAnsi="Calibri"/>
                <w:color w:val="2D3748"/>
                <w:sz w:val="18"/>
              </w:rPr>
              <w:t>10%</w:t>
            </w:r>
          </w:p>
        </w:tc>
        <w:tc>
          <w:tcPr>
            <w:tcW w:w="2880" w:type="dxa"/>
            <w:shd w:val="clear" w:color="auto" w:fill="F7F9FC"/>
          </w:tcPr>
          <w:p w14:paraId="36D697ED">
            <w:r>
              <w:rPr>
                <w:rFonts w:ascii="Calibri" w:hAnsi="Calibri"/>
                <w:color w:val="2D3748"/>
                <w:sz w:val="18"/>
              </w:rPr>
              <w:t>SOW execution + kick-off completion</w:t>
            </w:r>
          </w:p>
        </w:tc>
        <w:tc>
          <w:tcPr>
            <w:tcW w:w="1152" w:type="dxa"/>
            <w:shd w:val="clear" w:color="auto" w:fill="F7F9FC"/>
          </w:tcPr>
          <w:p w14:paraId="27850855">
            <w:r>
              <w:rPr>
                <w:rFonts w:ascii="Calibri" w:hAnsi="Calibri"/>
                <w:color w:val="2D3748"/>
                <w:sz w:val="18"/>
              </w:rPr>
              <w:t>Due on signing</w:t>
            </w:r>
          </w:p>
        </w:tc>
      </w:tr>
      <w:tr w14:paraId="401F03A9">
        <w:trPr>
          <w:jc w:val="center"/>
        </w:trPr>
        <w:tc>
          <w:tcPr>
            <w:tcW w:w="2592" w:type="dxa"/>
            <w:shd w:val="clear" w:color="auto" w:fill="FFFFFF"/>
          </w:tcPr>
          <w:p w14:paraId="017BE97C">
            <w:r>
              <w:rPr>
                <w:rFonts w:ascii="Calibri" w:hAnsi="Calibri"/>
                <w:color w:val="2D3748"/>
                <w:sz w:val="18"/>
              </w:rPr>
              <w:t>M2 — Architecture Approval</w:t>
            </w:r>
          </w:p>
        </w:tc>
        <w:tc>
          <w:tcPr>
            <w:tcW w:w="1008" w:type="dxa"/>
            <w:shd w:val="clear" w:color="auto" w:fill="FFFFFF"/>
          </w:tcPr>
          <w:p w14:paraId="27DF76BD">
            <w:r>
              <w:rPr>
                <w:rFonts w:ascii="Calibri" w:hAnsi="Calibri"/>
                <w:color w:val="2D3748"/>
                <w:sz w:val="18"/>
              </w:rPr>
              <w:t>Phase 2</w:t>
            </w:r>
          </w:p>
        </w:tc>
        <w:tc>
          <w:tcPr>
            <w:tcW w:w="1008" w:type="dxa"/>
            <w:shd w:val="clear" w:color="auto" w:fill="FFFFFF"/>
          </w:tcPr>
          <w:p w14:paraId="430FF68D">
            <w:r>
              <w:rPr>
                <w:rFonts w:ascii="Calibri" w:hAnsi="Calibri"/>
                <w:color w:val="2D3748"/>
                <w:sz w:val="18"/>
              </w:rPr>
              <w:t>10%</w:t>
            </w:r>
          </w:p>
        </w:tc>
        <w:tc>
          <w:tcPr>
            <w:tcW w:w="2880" w:type="dxa"/>
            <w:shd w:val="clear" w:color="auto" w:fill="FFFFFF"/>
          </w:tcPr>
          <w:p w14:paraId="7FA613C4">
            <w:r>
              <w:rPr>
                <w:rFonts w:ascii="Calibri" w:hAnsi="Calibri"/>
                <w:color w:val="2D3748"/>
                <w:sz w:val="18"/>
              </w:rPr>
              <w:t>HLD/LLD sign-off</w:t>
            </w:r>
          </w:p>
        </w:tc>
        <w:tc>
          <w:tcPr>
            <w:tcW w:w="1152" w:type="dxa"/>
            <w:shd w:val="clear" w:color="auto" w:fill="FFFFFF"/>
          </w:tcPr>
          <w:p w14:paraId="74C5318A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1FE0D0A6">
        <w:trPr>
          <w:jc w:val="center"/>
        </w:trPr>
        <w:tc>
          <w:tcPr>
            <w:tcW w:w="2592" w:type="dxa"/>
            <w:shd w:val="clear" w:color="auto" w:fill="F7F9FC"/>
          </w:tcPr>
          <w:p w14:paraId="6F2F60FF">
            <w:r>
              <w:rPr>
                <w:rFonts w:ascii="Calibri" w:hAnsi="Calibri"/>
                <w:color w:val="2D3748"/>
                <w:sz w:val="18"/>
              </w:rPr>
              <w:t>M3 — Core Modules (OPD+Pharmacy+Lab)</w:t>
            </w:r>
          </w:p>
        </w:tc>
        <w:tc>
          <w:tcPr>
            <w:tcW w:w="1008" w:type="dxa"/>
            <w:shd w:val="clear" w:color="auto" w:fill="F7F9FC"/>
          </w:tcPr>
          <w:p w14:paraId="4340F19A">
            <w:r>
              <w:rPr>
                <w:rFonts w:ascii="Calibri" w:hAnsi="Calibri"/>
                <w:color w:val="2D3748"/>
                <w:sz w:val="18"/>
              </w:rPr>
              <w:t>Phase 3-4</w:t>
            </w:r>
          </w:p>
        </w:tc>
        <w:tc>
          <w:tcPr>
            <w:tcW w:w="1008" w:type="dxa"/>
            <w:shd w:val="clear" w:color="auto" w:fill="F7F9FC"/>
          </w:tcPr>
          <w:p w14:paraId="0873A3B8">
            <w:r>
              <w:rPr>
                <w:rFonts w:ascii="Calibri" w:hAnsi="Calibri"/>
                <w:color w:val="2D3748"/>
                <w:sz w:val="18"/>
              </w:rPr>
              <w:t>20%</w:t>
            </w:r>
          </w:p>
        </w:tc>
        <w:tc>
          <w:tcPr>
            <w:tcW w:w="2880" w:type="dxa"/>
            <w:shd w:val="clear" w:color="auto" w:fill="F7F9FC"/>
          </w:tcPr>
          <w:p w14:paraId="75F57014">
            <w:r>
              <w:rPr>
                <w:rFonts w:ascii="Calibri" w:hAnsi="Calibri"/>
                <w:color w:val="2D3748"/>
                <w:sz w:val="18"/>
              </w:rPr>
              <w:t>SIT completion for M01-M03</w:t>
            </w:r>
          </w:p>
        </w:tc>
        <w:tc>
          <w:tcPr>
            <w:tcW w:w="1152" w:type="dxa"/>
            <w:shd w:val="clear" w:color="auto" w:fill="F7F9FC"/>
          </w:tcPr>
          <w:p w14:paraId="1B3CD103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1C714D51">
        <w:trPr>
          <w:jc w:val="center"/>
        </w:trPr>
        <w:tc>
          <w:tcPr>
            <w:tcW w:w="2592" w:type="dxa"/>
            <w:shd w:val="clear" w:color="auto" w:fill="FFFFFF"/>
          </w:tcPr>
          <w:p w14:paraId="06257D5C">
            <w:r>
              <w:rPr>
                <w:rFonts w:ascii="Calibri" w:hAnsi="Calibri"/>
                <w:color w:val="2D3748"/>
                <w:sz w:val="18"/>
              </w:rPr>
              <w:t>M4 — Finance + HR + Inventory</w:t>
            </w:r>
          </w:p>
        </w:tc>
        <w:tc>
          <w:tcPr>
            <w:tcW w:w="1008" w:type="dxa"/>
            <w:shd w:val="clear" w:color="auto" w:fill="FFFFFF"/>
          </w:tcPr>
          <w:p w14:paraId="41434430">
            <w:r>
              <w:rPr>
                <w:rFonts w:ascii="Calibri" w:hAnsi="Calibri"/>
                <w:color w:val="2D3748"/>
                <w:sz w:val="18"/>
              </w:rPr>
              <w:t>Phase 5-6</w:t>
            </w:r>
          </w:p>
        </w:tc>
        <w:tc>
          <w:tcPr>
            <w:tcW w:w="1008" w:type="dxa"/>
            <w:shd w:val="clear" w:color="auto" w:fill="FFFFFF"/>
          </w:tcPr>
          <w:p w14:paraId="5FA96806">
            <w:r>
              <w:rPr>
                <w:rFonts w:ascii="Calibri" w:hAnsi="Calibri"/>
                <w:color w:val="2D3748"/>
                <w:sz w:val="18"/>
              </w:rPr>
              <w:t>15%</w:t>
            </w:r>
          </w:p>
        </w:tc>
        <w:tc>
          <w:tcPr>
            <w:tcW w:w="2880" w:type="dxa"/>
            <w:shd w:val="clear" w:color="auto" w:fill="FFFFFF"/>
          </w:tcPr>
          <w:p w14:paraId="64278EA0">
            <w:r>
              <w:rPr>
                <w:rFonts w:ascii="Calibri" w:hAnsi="Calibri"/>
                <w:color w:val="2D3748"/>
                <w:sz w:val="18"/>
              </w:rPr>
              <w:t>SIT completion for M04-M06</w:t>
            </w:r>
          </w:p>
        </w:tc>
        <w:tc>
          <w:tcPr>
            <w:tcW w:w="1152" w:type="dxa"/>
            <w:shd w:val="clear" w:color="auto" w:fill="FFFFFF"/>
          </w:tcPr>
          <w:p w14:paraId="7C12F169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61401FEB">
        <w:trPr>
          <w:jc w:val="center"/>
        </w:trPr>
        <w:tc>
          <w:tcPr>
            <w:tcW w:w="2592" w:type="dxa"/>
            <w:shd w:val="clear" w:color="auto" w:fill="F7F9FC"/>
          </w:tcPr>
          <w:p w14:paraId="0B19E4BD">
            <w:r>
              <w:rPr>
                <w:rFonts w:ascii="Calibri" w:hAnsi="Calibri"/>
                <w:color w:val="2D3748"/>
                <w:sz w:val="18"/>
              </w:rPr>
              <w:t>M5 — BI + Portal + Audit + IPD</w:t>
            </w:r>
          </w:p>
        </w:tc>
        <w:tc>
          <w:tcPr>
            <w:tcW w:w="1008" w:type="dxa"/>
            <w:shd w:val="clear" w:color="auto" w:fill="F7F9FC"/>
          </w:tcPr>
          <w:p w14:paraId="3A4E7815">
            <w:r>
              <w:rPr>
                <w:rFonts w:ascii="Calibri" w:hAnsi="Calibri"/>
                <w:color w:val="2D3748"/>
                <w:sz w:val="18"/>
              </w:rPr>
              <w:t>Phase 7-8</w:t>
            </w:r>
          </w:p>
        </w:tc>
        <w:tc>
          <w:tcPr>
            <w:tcW w:w="1008" w:type="dxa"/>
            <w:shd w:val="clear" w:color="auto" w:fill="F7F9FC"/>
          </w:tcPr>
          <w:p w14:paraId="1F842B73">
            <w:r>
              <w:rPr>
                <w:rFonts w:ascii="Calibri" w:hAnsi="Calibri"/>
                <w:color w:val="2D3748"/>
                <w:sz w:val="18"/>
              </w:rPr>
              <w:t>15%</w:t>
            </w:r>
          </w:p>
        </w:tc>
        <w:tc>
          <w:tcPr>
            <w:tcW w:w="2880" w:type="dxa"/>
            <w:shd w:val="clear" w:color="auto" w:fill="F7F9FC"/>
          </w:tcPr>
          <w:p w14:paraId="05B3E37A">
            <w:r>
              <w:rPr>
                <w:rFonts w:ascii="Calibri" w:hAnsi="Calibri"/>
                <w:color w:val="2D3748"/>
                <w:sz w:val="18"/>
              </w:rPr>
              <w:t>SIT completion for M07-M10</w:t>
            </w:r>
          </w:p>
        </w:tc>
        <w:tc>
          <w:tcPr>
            <w:tcW w:w="1152" w:type="dxa"/>
            <w:shd w:val="clear" w:color="auto" w:fill="F7F9FC"/>
          </w:tcPr>
          <w:p w14:paraId="3ABD15FD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71D3DA8A">
        <w:trPr>
          <w:jc w:val="center"/>
        </w:trPr>
        <w:tc>
          <w:tcPr>
            <w:tcW w:w="2592" w:type="dxa"/>
            <w:shd w:val="clear" w:color="auto" w:fill="FFFFFF"/>
          </w:tcPr>
          <w:p w14:paraId="07919A49">
            <w:r>
              <w:rPr>
                <w:rFonts w:ascii="Calibri" w:hAnsi="Calibri"/>
                <w:color w:val="2D3748"/>
                <w:sz w:val="18"/>
              </w:rPr>
              <w:t>M6 — UAT Completion</w:t>
            </w:r>
          </w:p>
        </w:tc>
        <w:tc>
          <w:tcPr>
            <w:tcW w:w="1008" w:type="dxa"/>
            <w:shd w:val="clear" w:color="auto" w:fill="FFFFFF"/>
          </w:tcPr>
          <w:p w14:paraId="0CA68CB5">
            <w:r>
              <w:rPr>
                <w:rFonts w:ascii="Calibri" w:hAnsi="Calibri"/>
                <w:color w:val="2D3748"/>
                <w:sz w:val="18"/>
              </w:rPr>
              <w:t>Phase 10</w:t>
            </w:r>
          </w:p>
        </w:tc>
        <w:tc>
          <w:tcPr>
            <w:tcW w:w="1008" w:type="dxa"/>
            <w:shd w:val="clear" w:color="auto" w:fill="FFFFFF"/>
          </w:tcPr>
          <w:p w14:paraId="5DBAE836">
            <w:r>
              <w:rPr>
                <w:rFonts w:ascii="Calibri" w:hAnsi="Calibri"/>
                <w:color w:val="2D3748"/>
                <w:sz w:val="18"/>
              </w:rPr>
              <w:t>15%</w:t>
            </w:r>
          </w:p>
        </w:tc>
        <w:tc>
          <w:tcPr>
            <w:tcW w:w="2880" w:type="dxa"/>
            <w:shd w:val="clear" w:color="auto" w:fill="FFFFFF"/>
          </w:tcPr>
          <w:p w14:paraId="3927B239">
            <w:r>
              <w:rPr>
                <w:rFonts w:ascii="Calibri" w:hAnsi="Calibri"/>
                <w:color w:val="2D3748"/>
                <w:sz w:val="18"/>
              </w:rPr>
              <w:t>UAT sign-off (≥95% pass rate)</w:t>
            </w:r>
          </w:p>
        </w:tc>
        <w:tc>
          <w:tcPr>
            <w:tcW w:w="1152" w:type="dxa"/>
            <w:shd w:val="clear" w:color="auto" w:fill="FFFFFF"/>
          </w:tcPr>
          <w:p w14:paraId="19D60138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5F278AEB">
        <w:trPr>
          <w:jc w:val="center"/>
        </w:trPr>
        <w:tc>
          <w:tcPr>
            <w:tcW w:w="2592" w:type="dxa"/>
            <w:shd w:val="clear" w:color="auto" w:fill="F7F9FC"/>
          </w:tcPr>
          <w:p w14:paraId="52806099">
            <w:r>
              <w:rPr>
                <w:rFonts w:ascii="Calibri" w:hAnsi="Calibri"/>
                <w:color w:val="2D3748"/>
                <w:sz w:val="18"/>
              </w:rPr>
              <w:t>M7 — Go-Live</w:t>
            </w:r>
          </w:p>
        </w:tc>
        <w:tc>
          <w:tcPr>
            <w:tcW w:w="1008" w:type="dxa"/>
            <w:shd w:val="clear" w:color="auto" w:fill="F7F9FC"/>
          </w:tcPr>
          <w:p w14:paraId="7DE62E5B">
            <w:r>
              <w:rPr>
                <w:rFonts w:ascii="Calibri" w:hAnsi="Calibri"/>
                <w:color w:val="2D3748"/>
                <w:sz w:val="18"/>
              </w:rPr>
              <w:t>Phase 11</w:t>
            </w:r>
          </w:p>
        </w:tc>
        <w:tc>
          <w:tcPr>
            <w:tcW w:w="1008" w:type="dxa"/>
            <w:shd w:val="clear" w:color="auto" w:fill="F7F9FC"/>
          </w:tcPr>
          <w:p w14:paraId="508548CC">
            <w:r>
              <w:rPr>
                <w:rFonts w:ascii="Calibri" w:hAnsi="Calibri"/>
                <w:color w:val="2D3748"/>
                <w:sz w:val="18"/>
              </w:rPr>
              <w:t>10%</w:t>
            </w:r>
          </w:p>
        </w:tc>
        <w:tc>
          <w:tcPr>
            <w:tcW w:w="2880" w:type="dxa"/>
            <w:shd w:val="clear" w:color="auto" w:fill="F7F9FC"/>
          </w:tcPr>
          <w:p w14:paraId="3A67359C">
            <w:r>
              <w:rPr>
                <w:rFonts w:ascii="Calibri" w:hAnsi="Calibri"/>
                <w:color w:val="2D3748"/>
                <w:sz w:val="18"/>
              </w:rPr>
              <w:t>Production deployment + 2 weeks stable</w:t>
            </w:r>
          </w:p>
        </w:tc>
        <w:tc>
          <w:tcPr>
            <w:tcW w:w="1152" w:type="dxa"/>
            <w:shd w:val="clear" w:color="auto" w:fill="F7F9FC"/>
          </w:tcPr>
          <w:p w14:paraId="0F6D222C">
            <w:r>
              <w:rPr>
                <w:rFonts w:ascii="Calibri" w:hAnsi="Calibri"/>
                <w:color w:val="2D3748"/>
                <w:sz w:val="18"/>
              </w:rPr>
              <w:t>Net 15 days</w:t>
            </w:r>
          </w:p>
        </w:tc>
      </w:tr>
      <w:tr w14:paraId="07DADC01">
        <w:trPr>
          <w:jc w:val="center"/>
        </w:trPr>
        <w:tc>
          <w:tcPr>
            <w:tcW w:w="2592" w:type="dxa"/>
            <w:shd w:val="clear" w:color="auto" w:fill="FFFFFF"/>
          </w:tcPr>
          <w:p w14:paraId="242ACA7D">
            <w:r>
              <w:rPr>
                <w:rFonts w:ascii="Calibri" w:hAnsi="Calibri"/>
                <w:color w:val="2D3748"/>
                <w:sz w:val="18"/>
              </w:rPr>
              <w:t>M8 — Warranty Completion</w:t>
            </w:r>
          </w:p>
        </w:tc>
        <w:tc>
          <w:tcPr>
            <w:tcW w:w="1008" w:type="dxa"/>
            <w:shd w:val="clear" w:color="auto" w:fill="FFFFFF"/>
          </w:tcPr>
          <w:p w14:paraId="648E1841">
            <w:r>
              <w:rPr>
                <w:rFonts w:ascii="Calibri" w:hAnsi="Calibri"/>
                <w:color w:val="2D3748"/>
                <w:sz w:val="18"/>
              </w:rPr>
              <w:t>Phase 13</w:t>
            </w:r>
          </w:p>
        </w:tc>
        <w:tc>
          <w:tcPr>
            <w:tcW w:w="1008" w:type="dxa"/>
            <w:shd w:val="clear" w:color="auto" w:fill="FFFFFF"/>
          </w:tcPr>
          <w:p w14:paraId="303657AB">
            <w:r>
              <w:rPr>
                <w:rFonts w:ascii="Calibri" w:hAnsi="Calibri"/>
                <w:color w:val="2D3748"/>
                <w:sz w:val="18"/>
              </w:rPr>
              <w:t>5%</w:t>
            </w:r>
          </w:p>
        </w:tc>
        <w:tc>
          <w:tcPr>
            <w:tcW w:w="2880" w:type="dxa"/>
            <w:shd w:val="clear" w:color="auto" w:fill="FFFFFF"/>
          </w:tcPr>
          <w:p w14:paraId="742C8493">
            <w:r>
              <w:rPr>
                <w:rFonts w:ascii="Calibri" w:hAnsi="Calibri"/>
                <w:color w:val="2D3748"/>
                <w:sz w:val="18"/>
              </w:rPr>
              <w:t>Warranty period end + KT completion</w:t>
            </w:r>
          </w:p>
        </w:tc>
        <w:tc>
          <w:tcPr>
            <w:tcW w:w="1152" w:type="dxa"/>
            <w:shd w:val="clear" w:color="auto" w:fill="FFFFFF"/>
          </w:tcPr>
          <w:p w14:paraId="49532C08">
            <w:r>
              <w:rPr>
                <w:rFonts w:ascii="Calibri" w:hAnsi="Calibri"/>
                <w:color w:val="2D3748"/>
                <w:sz w:val="18"/>
              </w:rPr>
              <w:t>Net 30 days</w:t>
            </w:r>
          </w:p>
        </w:tc>
      </w:tr>
    </w:tbl>
    <w:p w14:paraId="572858C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16.3 Additional Commercial Terms</w:t>
      </w:r>
    </w:p>
    <w:p w14:paraId="431D97C9">
      <w:pPr>
        <w:pStyle w:val="23"/>
      </w:pPr>
      <w:r>
        <w:rPr>
          <w:rFonts w:ascii="Calibri" w:hAnsi="Calibri"/>
          <w:b/>
          <w:sz w:val="20"/>
        </w:rPr>
        <w:t>Currency</w:t>
      </w:r>
      <w:r>
        <w:rPr>
          <w:rFonts w:ascii="Calibri" w:hAnsi="Calibri"/>
          <w:color w:val="2D3748"/>
          <w:sz w:val="20"/>
        </w:rPr>
        <w:t xml:space="preserve"> — All amounts in Indian Rupees (INR) unless otherwise specified</w:t>
      </w:r>
    </w:p>
    <w:p w14:paraId="6A871B24">
      <w:pPr>
        <w:pStyle w:val="23"/>
      </w:pPr>
      <w:r>
        <w:rPr>
          <w:rFonts w:ascii="Calibri" w:hAnsi="Calibri"/>
          <w:b/>
          <w:sz w:val="20"/>
        </w:rPr>
        <w:t>GST</w:t>
      </w:r>
      <w:r>
        <w:rPr>
          <w:rFonts w:ascii="Calibri" w:hAnsi="Calibri"/>
          <w:color w:val="2D3748"/>
          <w:sz w:val="20"/>
        </w:rPr>
        <w:t xml:space="preserve"> — 18% GST applicable on all invoices as per prevailing rates</w:t>
      </w:r>
    </w:p>
    <w:p w14:paraId="05F810DC">
      <w:pPr>
        <w:pStyle w:val="23"/>
      </w:pPr>
      <w:r>
        <w:rPr>
          <w:rFonts w:ascii="Calibri" w:hAnsi="Calibri"/>
          <w:b/>
          <w:sz w:val="20"/>
        </w:rPr>
        <w:t>Late Payment</w:t>
      </w:r>
      <w:r>
        <w:rPr>
          <w:rFonts w:ascii="Calibri" w:hAnsi="Calibri"/>
          <w:color w:val="2D3748"/>
          <w:sz w:val="20"/>
        </w:rPr>
        <w:t xml:space="preserve"> — 1.5% per month interest on overdue amounts beyond payment terms</w:t>
      </w:r>
    </w:p>
    <w:p w14:paraId="1D3C1C47">
      <w:pPr>
        <w:pStyle w:val="23"/>
      </w:pPr>
      <w:r>
        <w:rPr>
          <w:rFonts w:ascii="Calibri" w:hAnsi="Calibri"/>
          <w:b/>
          <w:sz w:val="20"/>
        </w:rPr>
        <w:t>Travel &amp; Expenses</w:t>
      </w:r>
      <w:r>
        <w:rPr>
          <w:rFonts w:ascii="Calibri" w:hAnsi="Calibri"/>
          <w:color w:val="2D3748"/>
          <w:sz w:val="20"/>
        </w:rPr>
        <w:t xml:space="preserve"> — Pre-approved client-site visits billed at actuals with receipts; domestic travel within India</w:t>
      </w:r>
    </w:p>
    <w:p w14:paraId="05B8A51C">
      <w:pPr>
        <w:pStyle w:val="23"/>
      </w:pPr>
      <w:r>
        <w:rPr>
          <w:rFonts w:ascii="Calibri" w:hAnsi="Calibri"/>
          <w:b/>
          <w:sz w:val="20"/>
        </w:rPr>
        <w:t>Change Requests</w:t>
      </w:r>
      <w:r>
        <w:rPr>
          <w:rFonts w:ascii="Calibri" w:hAnsi="Calibri"/>
          <w:color w:val="2D3748"/>
          <w:sz w:val="20"/>
        </w:rPr>
        <w:t xml:space="preserve"> — CRs priced separately based on effort estimation at agreed blended rate</w:t>
      </w:r>
    </w:p>
    <w:p w14:paraId="74D708FA">
      <w:pPr>
        <w:pStyle w:val="23"/>
      </w:pPr>
      <w:r>
        <w:rPr>
          <w:rFonts w:ascii="Calibri" w:hAnsi="Calibri"/>
          <w:b/>
          <w:sz w:val="20"/>
        </w:rPr>
        <w:t>Blended Rate</w:t>
      </w:r>
      <w:r>
        <w:rPr>
          <w:rFonts w:ascii="Calibri" w:hAnsi="Calibri"/>
          <w:color w:val="2D3748"/>
          <w:sz w:val="20"/>
        </w:rPr>
        <w:t xml:space="preserve"> — CR effort billed at mutually agreed blended daily rate defined in Commercial Annexure</w:t>
      </w:r>
    </w:p>
    <w:p w14:paraId="27576CF5">
      <w:pPr>
        <w:pStyle w:val="23"/>
      </w:pPr>
      <w:r>
        <w:rPr>
          <w:rFonts w:ascii="Calibri" w:hAnsi="Calibri"/>
          <w:b/>
          <w:sz w:val="20"/>
        </w:rPr>
        <w:t>Inflation Clause</w:t>
      </w:r>
      <w:r>
        <w:rPr>
          <w:rFonts w:ascii="Calibri" w:hAnsi="Calibri"/>
          <w:color w:val="2D3748"/>
          <w:sz w:val="20"/>
        </w:rPr>
        <w:t xml:space="preserve"> — For engagements extending beyond 12 months, rates subject to annual CPI adjustment (capped at 5%)</w:t>
      </w:r>
    </w:p>
    <w:p w14:paraId="083455F6">
      <w:pPr>
        <w:pStyle w:val="23"/>
      </w:pPr>
      <w:r>
        <w:rPr>
          <w:rFonts w:ascii="Calibri" w:hAnsi="Calibri"/>
          <w:b/>
          <w:sz w:val="20"/>
        </w:rPr>
        <w:t>Escrow</w:t>
      </w:r>
      <w:r>
        <w:rPr>
          <w:rFonts w:ascii="Calibri" w:hAnsi="Calibri"/>
          <w:color w:val="2D3748"/>
          <w:sz w:val="20"/>
        </w:rPr>
        <w:t xml:space="preserve"> — Source code escrowed with agreed third-party agent; released to client upon full payment or TGWT insolvency</w:t>
      </w:r>
    </w:p>
    <w:p w14:paraId="618658F8">
      <w:r>
        <w:br w:type="page"/>
      </w:r>
    </w:p>
    <w:p w14:paraId="284DDD33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17. Warranty &amp; Post-Warranty Support</w:t>
      </w:r>
    </w:p>
    <w:p w14:paraId="73D4B26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17.1 Warranty Period</w:t>
      </w:r>
    </w:p>
    <w:p w14:paraId="4C0F6D71">
      <w:r>
        <w:t xml:space="preserve">TGWT provides a </w:t>
      </w:r>
      <w:r>
        <w:rPr>
          <w:b/>
        </w:rPr>
        <w:t xml:space="preserve">12-week warranty period </w:t>
      </w:r>
      <w:r>
        <w:t>commencing from the date of Go-Live Acceptance Certificate. During warranty:</w:t>
      </w:r>
    </w:p>
    <w:p w14:paraId="5BD64ABB">
      <w:pPr>
        <w:pStyle w:val="23"/>
      </w:pPr>
      <w:r>
        <w:rPr>
          <w:rFonts w:ascii="Calibri" w:hAnsi="Calibri"/>
          <w:color w:val="2D3748"/>
          <w:sz w:val="20"/>
        </w:rPr>
        <w:t>All S1/S2 defects resolved at no additional cost within defined SLAs</w:t>
      </w:r>
    </w:p>
    <w:p w14:paraId="5FE28D6B">
      <w:pPr>
        <w:pStyle w:val="23"/>
      </w:pPr>
      <w:r>
        <w:rPr>
          <w:rFonts w:ascii="Calibri" w:hAnsi="Calibri"/>
          <w:color w:val="2D3748"/>
          <w:sz w:val="20"/>
        </w:rPr>
        <w:t>Up to 3 minor enhancement requests (≤2 person-days each) included</w:t>
      </w:r>
    </w:p>
    <w:p w14:paraId="5C65982E">
      <w:pPr>
        <w:pStyle w:val="23"/>
      </w:pPr>
      <w:r>
        <w:rPr>
          <w:rFonts w:ascii="Calibri" w:hAnsi="Calibri"/>
          <w:color w:val="2D3748"/>
          <w:sz w:val="20"/>
        </w:rPr>
        <w:t>Dedicated support engineer available during business hours (9 AM — 7 PM IST)</w:t>
      </w:r>
    </w:p>
    <w:p w14:paraId="04BB36EA">
      <w:pPr>
        <w:pStyle w:val="23"/>
      </w:pPr>
      <w:r>
        <w:rPr>
          <w:rFonts w:ascii="Calibri" w:hAnsi="Calibri"/>
          <w:color w:val="2D3748"/>
          <w:sz w:val="20"/>
        </w:rPr>
        <w:t>24/7 on-call support for S1 (Critical) incidents</w:t>
      </w:r>
    </w:p>
    <w:p w14:paraId="0BA73B5C">
      <w:pPr>
        <w:pStyle w:val="23"/>
      </w:pPr>
      <w:r>
        <w:rPr>
          <w:rFonts w:ascii="Calibri" w:hAnsi="Calibri"/>
          <w:color w:val="2D3748"/>
          <w:sz w:val="20"/>
        </w:rPr>
        <w:t>Weekly status calls with client IT team</w:t>
      </w:r>
    </w:p>
    <w:p w14:paraId="0B6DD474">
      <w:pPr>
        <w:pStyle w:val="23"/>
      </w:pPr>
      <w:r>
        <w:rPr>
          <w:rFonts w:ascii="Calibri" w:hAnsi="Calibri"/>
          <w:color w:val="2D3748"/>
          <w:sz w:val="20"/>
        </w:rPr>
        <w:t>Monthly health check reports covering system performance and usage metrics</w:t>
      </w:r>
    </w:p>
    <w:p w14:paraId="222D6D21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17.2 Warranty Exclusions</w:t>
      </w:r>
    </w:p>
    <w:p w14:paraId="46CE407C">
      <w:pPr>
        <w:pStyle w:val="23"/>
      </w:pPr>
      <w:r>
        <w:rPr>
          <w:rFonts w:ascii="Calibri" w:hAnsi="Calibri"/>
          <w:color w:val="2D3748"/>
          <w:sz w:val="20"/>
        </w:rPr>
        <w:t>Defects caused by client modifications to source code without TGWT approval</w:t>
      </w:r>
    </w:p>
    <w:p w14:paraId="3586BA82">
      <w:pPr>
        <w:pStyle w:val="23"/>
      </w:pPr>
      <w:r>
        <w:rPr>
          <w:rFonts w:ascii="Calibri" w:hAnsi="Calibri"/>
          <w:color w:val="2D3748"/>
          <w:sz w:val="20"/>
        </w:rPr>
        <w:t>Issues arising from infrastructure changes not communicated to TGWT</w:t>
      </w:r>
    </w:p>
    <w:p w14:paraId="120D8848">
      <w:pPr>
        <w:pStyle w:val="23"/>
      </w:pPr>
      <w:r>
        <w:rPr>
          <w:rFonts w:ascii="Calibri" w:hAnsi="Calibri"/>
          <w:color w:val="2D3748"/>
          <w:sz w:val="20"/>
        </w:rPr>
        <w:t>Third-party service outages (AWS, payment gateways, SMS providers)</w:t>
      </w:r>
    </w:p>
    <w:p w14:paraId="02072C35">
      <w:pPr>
        <w:pStyle w:val="23"/>
      </w:pPr>
      <w:r>
        <w:rPr>
          <w:rFonts w:ascii="Calibri" w:hAnsi="Calibri"/>
          <w:color w:val="2D3748"/>
          <w:sz w:val="20"/>
        </w:rPr>
        <w:t>Data corruption caused by unauthorized direct database access</w:t>
      </w:r>
    </w:p>
    <w:p w14:paraId="55727177">
      <w:pPr>
        <w:pStyle w:val="23"/>
      </w:pPr>
      <w:r>
        <w:rPr>
          <w:rFonts w:ascii="Calibri" w:hAnsi="Calibri"/>
          <w:color w:val="2D3748"/>
          <w:sz w:val="20"/>
        </w:rPr>
        <w:t>Performance degradation due to client exceeding agreed concurrent user limits</w:t>
      </w:r>
    </w:p>
    <w:p w14:paraId="76355FBA">
      <w:pPr>
        <w:pStyle w:val="23"/>
      </w:pPr>
      <w:r>
        <w:rPr>
          <w:rFonts w:ascii="Calibri" w:hAnsi="Calibri"/>
          <w:color w:val="2D3748"/>
          <w:sz w:val="20"/>
        </w:rPr>
        <w:t>Compatibility issues from client-initiated OS/browser/JDK version upgrades</w:t>
      </w:r>
    </w:p>
    <w:p w14:paraId="54B12E8C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17.3 Post-Warranty AMC Options</w:t>
      </w:r>
    </w:p>
    <w:p w14:paraId="24D4A73E">
      <w:r>
        <w:t>Upon warranty expiry, client may opt for Annual Maintenance Contract (AMC):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2"/>
        <w:gridCol w:w="2879"/>
        <w:gridCol w:w="1727"/>
        <w:gridCol w:w="1728"/>
        <w:gridCol w:w="2160"/>
      </w:tblGrid>
      <w:tr w14:paraId="20632FBB">
        <w:trPr>
          <w:jc w:val="center"/>
        </w:trPr>
        <w:tc>
          <w:tcPr>
            <w:tcW w:w="1152" w:type="dxa"/>
            <w:shd w:val="clear" w:color="auto" w:fill="1B3A5C"/>
          </w:tcPr>
          <w:p w14:paraId="1CCF264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AMC Tier</w:t>
            </w:r>
          </w:p>
        </w:tc>
        <w:tc>
          <w:tcPr>
            <w:tcW w:w="2880" w:type="dxa"/>
            <w:shd w:val="clear" w:color="auto" w:fill="1B3A5C"/>
          </w:tcPr>
          <w:p w14:paraId="3681C38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  <w:tc>
          <w:tcPr>
            <w:tcW w:w="1728" w:type="dxa"/>
            <w:shd w:val="clear" w:color="auto" w:fill="1B3A5C"/>
          </w:tcPr>
          <w:p w14:paraId="20A22A3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SLA</w:t>
            </w:r>
          </w:p>
        </w:tc>
        <w:tc>
          <w:tcPr>
            <w:tcW w:w="1728" w:type="dxa"/>
            <w:shd w:val="clear" w:color="auto" w:fill="1B3A5C"/>
          </w:tcPr>
          <w:p w14:paraId="39F27F4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Included Hours/Month</w:t>
            </w:r>
          </w:p>
        </w:tc>
        <w:tc>
          <w:tcPr>
            <w:tcW w:w="2160" w:type="dxa"/>
            <w:shd w:val="clear" w:color="auto" w:fill="1B3A5C"/>
          </w:tcPr>
          <w:p w14:paraId="21A4444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Pricing Basis</w:t>
            </w:r>
          </w:p>
        </w:tc>
      </w:tr>
      <w:tr w14:paraId="1DAF3F28">
        <w:trPr>
          <w:jc w:val="center"/>
        </w:trPr>
        <w:tc>
          <w:tcPr>
            <w:tcW w:w="1152" w:type="dxa"/>
            <w:shd w:val="clear" w:color="auto" w:fill="F7F9FC"/>
          </w:tcPr>
          <w:p w14:paraId="0B81A972">
            <w:r>
              <w:rPr>
                <w:rFonts w:ascii="Calibri" w:hAnsi="Calibri"/>
                <w:color w:val="2D3748"/>
                <w:sz w:val="18"/>
              </w:rPr>
              <w:t>Bronze</w:t>
            </w:r>
          </w:p>
        </w:tc>
        <w:tc>
          <w:tcPr>
            <w:tcW w:w="2880" w:type="dxa"/>
            <w:shd w:val="clear" w:color="auto" w:fill="F7F9FC"/>
          </w:tcPr>
          <w:p w14:paraId="28EC17A5">
            <w:r>
              <w:rPr>
                <w:rFonts w:ascii="Calibri" w:hAnsi="Calibri"/>
                <w:color w:val="2D3748"/>
                <w:sz w:val="18"/>
              </w:rPr>
              <w:t>Bug fixes + security patches</w:t>
            </w:r>
          </w:p>
        </w:tc>
        <w:tc>
          <w:tcPr>
            <w:tcW w:w="1728" w:type="dxa"/>
            <w:shd w:val="clear" w:color="auto" w:fill="F7F9FC"/>
          </w:tcPr>
          <w:p w14:paraId="6AE218B1">
            <w:r>
              <w:rPr>
                <w:rFonts w:ascii="Calibri" w:hAnsi="Calibri"/>
                <w:color w:val="2D3748"/>
                <w:sz w:val="18"/>
              </w:rPr>
              <w:t>S1: 8h, S2: 24h</w:t>
            </w:r>
          </w:p>
        </w:tc>
        <w:tc>
          <w:tcPr>
            <w:tcW w:w="1728" w:type="dxa"/>
            <w:shd w:val="clear" w:color="auto" w:fill="F7F9FC"/>
          </w:tcPr>
          <w:p w14:paraId="52753EDC">
            <w:r>
              <w:rPr>
                <w:rFonts w:ascii="Calibri" w:hAnsi="Calibri"/>
                <w:color w:val="2D3748"/>
                <w:sz w:val="18"/>
              </w:rPr>
              <w:t>10 hours</w:t>
            </w:r>
          </w:p>
        </w:tc>
        <w:tc>
          <w:tcPr>
            <w:tcW w:w="2160" w:type="dxa"/>
            <w:shd w:val="clear" w:color="auto" w:fill="F7F9FC"/>
          </w:tcPr>
          <w:p w14:paraId="1035C85F">
            <w:r>
              <w:rPr>
                <w:rFonts w:ascii="Calibri" w:hAnsi="Calibri"/>
                <w:color w:val="2D3748"/>
                <w:sz w:val="18"/>
              </w:rPr>
              <w:t>12% of project value/year</w:t>
            </w:r>
          </w:p>
        </w:tc>
      </w:tr>
      <w:tr w14:paraId="0C63914C">
        <w:trPr>
          <w:jc w:val="center"/>
        </w:trPr>
        <w:tc>
          <w:tcPr>
            <w:tcW w:w="1152" w:type="dxa"/>
            <w:shd w:val="clear" w:color="auto" w:fill="FFFFFF"/>
          </w:tcPr>
          <w:p w14:paraId="15A5232E">
            <w:r>
              <w:rPr>
                <w:rFonts w:ascii="Calibri" w:hAnsi="Calibri"/>
                <w:color w:val="2D3748"/>
                <w:sz w:val="18"/>
              </w:rPr>
              <w:t>Silver</w:t>
            </w:r>
          </w:p>
        </w:tc>
        <w:tc>
          <w:tcPr>
            <w:tcW w:w="2880" w:type="dxa"/>
            <w:shd w:val="clear" w:color="auto" w:fill="FFFFFF"/>
          </w:tcPr>
          <w:p w14:paraId="555E0A3E">
            <w:r>
              <w:rPr>
                <w:rFonts w:ascii="Calibri" w:hAnsi="Calibri"/>
                <w:color w:val="2D3748"/>
                <w:sz w:val="18"/>
              </w:rPr>
              <w:t>Bronze + minor enhancements</w:t>
            </w:r>
          </w:p>
        </w:tc>
        <w:tc>
          <w:tcPr>
            <w:tcW w:w="1728" w:type="dxa"/>
            <w:shd w:val="clear" w:color="auto" w:fill="FFFFFF"/>
          </w:tcPr>
          <w:p w14:paraId="4FE76E4B">
            <w:r>
              <w:rPr>
                <w:rFonts w:ascii="Calibri" w:hAnsi="Calibri"/>
                <w:color w:val="2D3748"/>
                <w:sz w:val="18"/>
              </w:rPr>
              <w:t>S1: 4h, S2: 12h</w:t>
            </w:r>
          </w:p>
        </w:tc>
        <w:tc>
          <w:tcPr>
            <w:tcW w:w="1728" w:type="dxa"/>
            <w:shd w:val="clear" w:color="auto" w:fill="FFFFFF"/>
          </w:tcPr>
          <w:p w14:paraId="19118908">
            <w:r>
              <w:rPr>
                <w:rFonts w:ascii="Calibri" w:hAnsi="Calibri"/>
                <w:color w:val="2D3748"/>
                <w:sz w:val="18"/>
              </w:rPr>
              <w:t>20 hours</w:t>
            </w:r>
          </w:p>
        </w:tc>
        <w:tc>
          <w:tcPr>
            <w:tcW w:w="2160" w:type="dxa"/>
            <w:shd w:val="clear" w:color="auto" w:fill="FFFFFF"/>
          </w:tcPr>
          <w:p w14:paraId="0774BFFC">
            <w:r>
              <w:rPr>
                <w:rFonts w:ascii="Calibri" w:hAnsi="Calibri"/>
                <w:color w:val="2D3748"/>
                <w:sz w:val="18"/>
              </w:rPr>
              <w:t>18% of project value/year</w:t>
            </w:r>
          </w:p>
        </w:tc>
      </w:tr>
      <w:tr w14:paraId="366A9719">
        <w:trPr>
          <w:jc w:val="center"/>
        </w:trPr>
        <w:tc>
          <w:tcPr>
            <w:tcW w:w="1152" w:type="dxa"/>
            <w:shd w:val="clear" w:color="auto" w:fill="F7F9FC"/>
          </w:tcPr>
          <w:p w14:paraId="2EE936B6">
            <w:r>
              <w:rPr>
                <w:rFonts w:ascii="Calibri" w:hAnsi="Calibri"/>
                <w:color w:val="2D3748"/>
                <w:sz w:val="18"/>
              </w:rPr>
              <w:t>Gold</w:t>
            </w:r>
          </w:p>
        </w:tc>
        <w:tc>
          <w:tcPr>
            <w:tcW w:w="2880" w:type="dxa"/>
            <w:shd w:val="clear" w:color="auto" w:fill="F7F9FC"/>
          </w:tcPr>
          <w:p w14:paraId="7AFC2384">
            <w:r>
              <w:rPr>
                <w:rFonts w:ascii="Calibri" w:hAnsi="Calibri"/>
                <w:color w:val="2D3748"/>
                <w:sz w:val="18"/>
              </w:rPr>
              <w:t>Silver + dedicated resource + proactive monitoring</w:t>
            </w:r>
          </w:p>
        </w:tc>
        <w:tc>
          <w:tcPr>
            <w:tcW w:w="1728" w:type="dxa"/>
            <w:shd w:val="clear" w:color="auto" w:fill="F7F9FC"/>
          </w:tcPr>
          <w:p w14:paraId="5234CC50">
            <w:r>
              <w:rPr>
                <w:rFonts w:ascii="Calibri" w:hAnsi="Calibri"/>
                <w:color w:val="2D3748"/>
                <w:sz w:val="18"/>
              </w:rPr>
              <w:t>S1: 2h, S2: 8h</w:t>
            </w:r>
          </w:p>
        </w:tc>
        <w:tc>
          <w:tcPr>
            <w:tcW w:w="1728" w:type="dxa"/>
            <w:shd w:val="clear" w:color="auto" w:fill="F7F9FC"/>
          </w:tcPr>
          <w:p w14:paraId="68FC236B">
            <w:r>
              <w:rPr>
                <w:rFonts w:ascii="Calibri" w:hAnsi="Calibri"/>
                <w:color w:val="2D3748"/>
                <w:sz w:val="18"/>
              </w:rPr>
              <w:t>40 hours</w:t>
            </w:r>
          </w:p>
        </w:tc>
        <w:tc>
          <w:tcPr>
            <w:tcW w:w="2160" w:type="dxa"/>
            <w:shd w:val="clear" w:color="auto" w:fill="F7F9FC"/>
          </w:tcPr>
          <w:p w14:paraId="1A2A5D9E">
            <w:r>
              <w:rPr>
                <w:rFonts w:ascii="Calibri" w:hAnsi="Calibri"/>
                <w:color w:val="2D3748"/>
                <w:sz w:val="18"/>
              </w:rPr>
              <w:t>25% of project value/year</w:t>
            </w:r>
          </w:p>
        </w:tc>
      </w:tr>
      <w:tr w14:paraId="1745F0B5">
        <w:trPr>
          <w:jc w:val="center"/>
        </w:trPr>
        <w:tc>
          <w:tcPr>
            <w:tcW w:w="1152" w:type="dxa"/>
            <w:shd w:val="clear" w:color="auto" w:fill="FFFFFF"/>
          </w:tcPr>
          <w:p w14:paraId="2901F7E0">
            <w:r>
              <w:rPr>
                <w:rFonts w:ascii="Calibri" w:hAnsi="Calibri"/>
                <w:color w:val="2D3748"/>
                <w:sz w:val="18"/>
              </w:rPr>
              <w:t>Platinum</w:t>
            </w:r>
          </w:p>
        </w:tc>
        <w:tc>
          <w:tcPr>
            <w:tcW w:w="2880" w:type="dxa"/>
            <w:shd w:val="clear" w:color="auto" w:fill="FFFFFF"/>
          </w:tcPr>
          <w:p w14:paraId="435F97E2">
            <w:r>
              <w:rPr>
                <w:rFonts w:ascii="Calibri" w:hAnsi="Calibri"/>
                <w:color w:val="2D3748"/>
                <w:sz w:val="18"/>
              </w:rPr>
              <w:t>Gold + 24/7 support + guaranteed SLA penalties</w:t>
            </w:r>
          </w:p>
        </w:tc>
        <w:tc>
          <w:tcPr>
            <w:tcW w:w="1728" w:type="dxa"/>
            <w:shd w:val="clear" w:color="auto" w:fill="FFFFFF"/>
          </w:tcPr>
          <w:p w14:paraId="5EDEB720">
            <w:r>
              <w:rPr>
                <w:rFonts w:ascii="Calibri" w:hAnsi="Calibri"/>
                <w:color w:val="2D3748"/>
                <w:sz w:val="18"/>
              </w:rPr>
              <w:t>S1: 1h, S2: 4h</w:t>
            </w:r>
          </w:p>
        </w:tc>
        <w:tc>
          <w:tcPr>
            <w:tcW w:w="1728" w:type="dxa"/>
            <w:shd w:val="clear" w:color="auto" w:fill="FFFFFF"/>
          </w:tcPr>
          <w:p w14:paraId="3EB8A101">
            <w:r>
              <w:rPr>
                <w:rFonts w:ascii="Calibri" w:hAnsi="Calibri"/>
                <w:color w:val="2D3748"/>
                <w:sz w:val="18"/>
              </w:rPr>
              <w:t>Unlimited</w:t>
            </w:r>
          </w:p>
        </w:tc>
        <w:tc>
          <w:tcPr>
            <w:tcW w:w="2160" w:type="dxa"/>
            <w:shd w:val="clear" w:color="auto" w:fill="FFFFFF"/>
          </w:tcPr>
          <w:p w14:paraId="0D294089">
            <w:r>
              <w:rPr>
                <w:rFonts w:ascii="Calibri" w:hAnsi="Calibri"/>
                <w:color w:val="2D3748"/>
                <w:sz w:val="18"/>
              </w:rPr>
              <w:t>Custom quote</w:t>
            </w:r>
          </w:p>
        </w:tc>
      </w:tr>
    </w:tbl>
    <w:p w14:paraId="7F85E354">
      <w:pPr>
        <w:pBdr>
          <w:left w:val="single" w:color="F59E0B" w:sz="24" w:space="8"/>
        </w:pBdr>
        <w:shd w:val="clear" w:fill="FFFBEB"/>
        <w:ind w:left="360" w:right="360"/>
      </w:pPr>
      <w:r>
        <w:rPr>
          <w:b/>
          <w:color w:val="856D0A"/>
          <w:sz w:val="18"/>
        </w:rPr>
        <w:t xml:space="preserve">  NOTE: </w:t>
      </w:r>
      <w:r>
        <w:rPr>
          <w:color w:val="856D0A"/>
          <w:sz w:val="18"/>
        </w:rPr>
        <w:t>AMC pricing is indicative and subject to negotiation. Detailed AMC terms are defined in a separate AMC agreement.</w:t>
      </w:r>
    </w:p>
    <w:p w14:paraId="794FDD89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17.4 Knowledge Transfer for Independence</w:t>
      </w:r>
    </w:p>
    <w:p w14:paraId="168DD2C8">
      <w:r>
        <w:t>To ensure client self-sufficiency, TGWT delivers:</w:t>
      </w:r>
    </w:p>
    <w:p w14:paraId="5DDA0C26">
      <w:pPr>
        <w:pStyle w:val="23"/>
      </w:pPr>
      <w:r>
        <w:rPr>
          <w:rFonts w:ascii="Calibri" w:hAnsi="Calibri"/>
          <w:b/>
          <w:sz w:val="20"/>
        </w:rPr>
        <w:t>Source Code</w:t>
      </w:r>
      <w:r>
        <w:rPr>
          <w:rFonts w:ascii="Calibri" w:hAnsi="Calibri"/>
          <w:color w:val="2D3748"/>
          <w:sz w:val="20"/>
        </w:rPr>
        <w:t xml:space="preserve"> — Complete source code with build scripts, Docker files, and CI/CD pipelines</w:t>
      </w:r>
    </w:p>
    <w:p w14:paraId="3B523E49">
      <w:pPr>
        <w:pStyle w:val="23"/>
      </w:pPr>
      <w:r>
        <w:rPr>
          <w:rFonts w:ascii="Calibri" w:hAnsi="Calibri"/>
          <w:b/>
          <w:sz w:val="20"/>
        </w:rPr>
        <w:t>Documentation</w:t>
      </w:r>
      <w:r>
        <w:rPr>
          <w:rFonts w:ascii="Calibri" w:hAnsi="Calibri"/>
          <w:color w:val="2D3748"/>
          <w:sz w:val="20"/>
        </w:rPr>
        <w:t xml:space="preserve"> — API docs (Swagger), database ERD, architecture decision records, runbooks</w:t>
      </w:r>
    </w:p>
    <w:p w14:paraId="4B3DBB2A">
      <w:pPr>
        <w:pStyle w:val="23"/>
      </w:pPr>
      <w:r>
        <w:rPr>
          <w:rFonts w:ascii="Calibri" w:hAnsi="Calibri"/>
          <w:b/>
          <w:sz w:val="20"/>
        </w:rPr>
        <w:t>Admin Training</w:t>
      </w:r>
      <w:r>
        <w:rPr>
          <w:rFonts w:ascii="Calibri" w:hAnsi="Calibri"/>
          <w:color w:val="2D3748"/>
          <w:sz w:val="20"/>
        </w:rPr>
        <w:t xml:space="preserve"> — Client IT team trained on deployment, monitoring, backup/restore, and scaling</w:t>
      </w:r>
    </w:p>
    <w:p w14:paraId="286BC3ED">
      <w:pPr>
        <w:pStyle w:val="23"/>
      </w:pPr>
      <w:r>
        <w:rPr>
          <w:rFonts w:ascii="Calibri" w:hAnsi="Calibri"/>
          <w:b/>
          <w:sz w:val="20"/>
        </w:rPr>
        <w:t>Developer Handoff</w:t>
      </w:r>
      <w:r>
        <w:rPr>
          <w:rFonts w:ascii="Calibri" w:hAnsi="Calibri"/>
          <w:color w:val="2D3748"/>
          <w:sz w:val="20"/>
        </w:rPr>
        <w:t xml:space="preserve"> — Optional 4-week developer shadowing program for client engineering team</w:t>
      </w:r>
    </w:p>
    <w:p w14:paraId="5576769A">
      <w:pPr>
        <w:pStyle w:val="23"/>
      </w:pPr>
      <w:r>
        <w:rPr>
          <w:rFonts w:ascii="Calibri" w:hAnsi="Calibri"/>
          <w:b/>
          <w:sz w:val="20"/>
        </w:rPr>
        <w:t>Operational Runbooks</w:t>
      </w:r>
      <w:r>
        <w:rPr>
          <w:rFonts w:ascii="Calibri" w:hAnsi="Calibri"/>
          <w:color w:val="2D3748"/>
          <w:sz w:val="20"/>
        </w:rPr>
        <w:t xml:space="preserve"> — Step-by-step guides for 25+ operational scenarios (failover, scaling, data recovery)</w:t>
      </w:r>
    </w:p>
    <w:p w14:paraId="2D98FF89">
      <w:r>
        <w:br w:type="page"/>
      </w:r>
    </w:p>
    <w:p w14:paraId="0B39772B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18. Annexures</w:t>
      </w:r>
    </w:p>
    <w:p w14:paraId="741649CF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Annexure A — Glossary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8"/>
        <w:gridCol w:w="7918"/>
      </w:tblGrid>
      <w:tr w14:paraId="13D09B64">
        <w:trPr>
          <w:jc w:val="center"/>
        </w:trPr>
        <w:tc>
          <w:tcPr>
            <w:tcW w:w="1728" w:type="dxa"/>
            <w:shd w:val="clear" w:color="auto" w:fill="1B3A5C"/>
          </w:tcPr>
          <w:p w14:paraId="46A70CF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w="7920" w:type="dxa"/>
            <w:shd w:val="clear" w:color="auto" w:fill="1B3A5C"/>
          </w:tcPr>
          <w:p w14:paraId="373F8A4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 w14:paraId="34F62827">
        <w:trPr>
          <w:jc w:val="center"/>
        </w:trPr>
        <w:tc>
          <w:tcPr>
            <w:tcW w:w="1728" w:type="dxa"/>
            <w:shd w:val="clear" w:color="auto" w:fill="F7F9FC"/>
          </w:tcPr>
          <w:p w14:paraId="54CE699C">
            <w:r>
              <w:rPr>
                <w:rFonts w:ascii="Calibri" w:hAnsi="Calibri"/>
                <w:color w:val="2D3748"/>
                <w:sz w:val="18"/>
              </w:rPr>
              <w:t>ABDM</w:t>
            </w:r>
          </w:p>
        </w:tc>
        <w:tc>
          <w:tcPr>
            <w:tcW w:w="7920" w:type="dxa"/>
            <w:shd w:val="clear" w:color="auto" w:fill="F7F9FC"/>
          </w:tcPr>
          <w:p w14:paraId="0877967C">
            <w:r>
              <w:rPr>
                <w:rFonts w:ascii="Calibri" w:hAnsi="Calibri"/>
                <w:color w:val="2D3748"/>
                <w:sz w:val="18"/>
              </w:rPr>
              <w:t>Ayushman Bharat Digital Mission — India's national digital health ecosystem</w:t>
            </w:r>
          </w:p>
        </w:tc>
      </w:tr>
      <w:tr w14:paraId="02D76482">
        <w:trPr>
          <w:jc w:val="center"/>
        </w:trPr>
        <w:tc>
          <w:tcPr>
            <w:tcW w:w="1728" w:type="dxa"/>
            <w:shd w:val="clear" w:color="auto" w:fill="FFFFFF"/>
          </w:tcPr>
          <w:p w14:paraId="61082FFD">
            <w:r>
              <w:rPr>
                <w:rFonts w:ascii="Calibri" w:hAnsi="Calibri"/>
                <w:color w:val="2D3748"/>
                <w:sz w:val="18"/>
              </w:rPr>
              <w:t>ABHA</w:t>
            </w:r>
          </w:p>
        </w:tc>
        <w:tc>
          <w:tcPr>
            <w:tcW w:w="7920" w:type="dxa"/>
            <w:shd w:val="clear" w:color="auto" w:fill="FFFFFF"/>
          </w:tcPr>
          <w:p w14:paraId="1361107E">
            <w:r>
              <w:rPr>
                <w:rFonts w:ascii="Calibri" w:hAnsi="Calibri"/>
                <w:color w:val="2D3748"/>
                <w:sz w:val="18"/>
              </w:rPr>
              <w:t>Ayushman Bharat Health Account — 14-digit unique health identifier</w:t>
            </w:r>
          </w:p>
        </w:tc>
      </w:tr>
      <w:tr w14:paraId="4D1B0548">
        <w:trPr>
          <w:jc w:val="center"/>
        </w:trPr>
        <w:tc>
          <w:tcPr>
            <w:tcW w:w="1728" w:type="dxa"/>
            <w:shd w:val="clear" w:color="auto" w:fill="F7F9FC"/>
          </w:tcPr>
          <w:p w14:paraId="0C43CCAD">
            <w:r>
              <w:rPr>
                <w:rFonts w:ascii="Calibri" w:hAnsi="Calibri"/>
                <w:color w:val="2D3748"/>
                <w:sz w:val="18"/>
              </w:rPr>
              <w:t>AMC</w:t>
            </w:r>
          </w:p>
        </w:tc>
        <w:tc>
          <w:tcPr>
            <w:tcW w:w="7920" w:type="dxa"/>
            <w:shd w:val="clear" w:color="auto" w:fill="F7F9FC"/>
          </w:tcPr>
          <w:p w14:paraId="524C78B9">
            <w:r>
              <w:rPr>
                <w:rFonts w:ascii="Calibri" w:hAnsi="Calibri"/>
                <w:color w:val="2D3748"/>
                <w:sz w:val="18"/>
              </w:rPr>
              <w:t>Annual Maintenance Contract — post-warranty support agreement</w:t>
            </w:r>
          </w:p>
        </w:tc>
      </w:tr>
      <w:tr w14:paraId="429C4370">
        <w:trPr>
          <w:jc w:val="center"/>
        </w:trPr>
        <w:tc>
          <w:tcPr>
            <w:tcW w:w="1728" w:type="dxa"/>
            <w:shd w:val="clear" w:color="auto" w:fill="FFFFFF"/>
          </w:tcPr>
          <w:p w14:paraId="478CB456">
            <w:r>
              <w:rPr>
                <w:rFonts w:ascii="Calibri" w:hAnsi="Calibri"/>
                <w:color w:val="2D3748"/>
                <w:sz w:val="18"/>
              </w:rPr>
              <w:t>CGST/SGST</w:t>
            </w:r>
          </w:p>
        </w:tc>
        <w:tc>
          <w:tcPr>
            <w:tcW w:w="7920" w:type="dxa"/>
            <w:shd w:val="clear" w:color="auto" w:fill="FFFFFF"/>
          </w:tcPr>
          <w:p w14:paraId="5653ED65">
            <w:r>
              <w:rPr>
                <w:rFonts w:ascii="Calibri" w:hAnsi="Calibri"/>
                <w:color w:val="2D3748"/>
                <w:sz w:val="18"/>
              </w:rPr>
              <w:t>Central/State Goods &amp; Services Tax — dual GST structure in India</w:t>
            </w:r>
          </w:p>
        </w:tc>
      </w:tr>
      <w:tr w14:paraId="0321548A">
        <w:trPr>
          <w:jc w:val="center"/>
        </w:trPr>
        <w:tc>
          <w:tcPr>
            <w:tcW w:w="1728" w:type="dxa"/>
            <w:shd w:val="clear" w:color="auto" w:fill="F7F9FC"/>
          </w:tcPr>
          <w:p w14:paraId="2596F737">
            <w:r>
              <w:rPr>
                <w:rFonts w:ascii="Calibri" w:hAnsi="Calibri"/>
                <w:color w:val="2D3748"/>
                <w:sz w:val="18"/>
              </w:rPr>
              <w:t>CR</w:t>
            </w:r>
          </w:p>
        </w:tc>
        <w:tc>
          <w:tcPr>
            <w:tcW w:w="7920" w:type="dxa"/>
            <w:shd w:val="clear" w:color="auto" w:fill="F7F9FC"/>
          </w:tcPr>
          <w:p w14:paraId="7F142967">
            <w:r>
              <w:rPr>
                <w:rFonts w:ascii="Calibri" w:hAnsi="Calibri"/>
                <w:color w:val="2D3748"/>
                <w:sz w:val="18"/>
              </w:rPr>
              <w:t>Change Request — formal request for scope modification</w:t>
            </w:r>
          </w:p>
        </w:tc>
      </w:tr>
      <w:tr w14:paraId="5BF1A898">
        <w:trPr>
          <w:jc w:val="center"/>
        </w:trPr>
        <w:tc>
          <w:tcPr>
            <w:tcW w:w="1728" w:type="dxa"/>
            <w:shd w:val="clear" w:color="auto" w:fill="FFFFFF"/>
          </w:tcPr>
          <w:p w14:paraId="154C222A">
            <w:r>
              <w:rPr>
                <w:rFonts w:ascii="Calibri" w:hAnsi="Calibri"/>
                <w:color w:val="2D3748"/>
                <w:sz w:val="18"/>
              </w:rPr>
              <w:t>DISHA</w:t>
            </w:r>
          </w:p>
        </w:tc>
        <w:tc>
          <w:tcPr>
            <w:tcW w:w="7920" w:type="dxa"/>
            <w:shd w:val="clear" w:color="auto" w:fill="FFFFFF"/>
          </w:tcPr>
          <w:p w14:paraId="49859074">
            <w:r>
              <w:rPr>
                <w:rFonts w:ascii="Calibri" w:hAnsi="Calibri"/>
                <w:color w:val="2D3748"/>
                <w:sz w:val="18"/>
              </w:rPr>
              <w:t>Digital Information Security in Healthcare Act — India's health data protection law</w:t>
            </w:r>
          </w:p>
        </w:tc>
      </w:tr>
      <w:tr w14:paraId="132B95E6">
        <w:trPr>
          <w:jc w:val="center"/>
        </w:trPr>
        <w:tc>
          <w:tcPr>
            <w:tcW w:w="1728" w:type="dxa"/>
            <w:shd w:val="clear" w:color="auto" w:fill="F7F9FC"/>
          </w:tcPr>
          <w:p w14:paraId="46D6AA78">
            <w:r>
              <w:rPr>
                <w:rFonts w:ascii="Calibri" w:hAnsi="Calibri"/>
                <w:color w:val="2D3748"/>
                <w:sz w:val="18"/>
              </w:rPr>
              <w:t>DLQ</w:t>
            </w:r>
          </w:p>
        </w:tc>
        <w:tc>
          <w:tcPr>
            <w:tcW w:w="7920" w:type="dxa"/>
            <w:shd w:val="clear" w:color="auto" w:fill="F7F9FC"/>
          </w:tcPr>
          <w:p w14:paraId="6B059A5F">
            <w:r>
              <w:rPr>
                <w:rFonts w:ascii="Calibri" w:hAnsi="Calibri"/>
                <w:color w:val="2D3748"/>
                <w:sz w:val="18"/>
              </w:rPr>
              <w:t>Dead Letter Queue — Kafka queue for failed message processing</w:t>
            </w:r>
          </w:p>
        </w:tc>
      </w:tr>
      <w:tr w14:paraId="0A9AD826">
        <w:trPr>
          <w:jc w:val="center"/>
        </w:trPr>
        <w:tc>
          <w:tcPr>
            <w:tcW w:w="1728" w:type="dxa"/>
            <w:shd w:val="clear" w:color="auto" w:fill="FFFFFF"/>
          </w:tcPr>
          <w:p w14:paraId="67C0DA34">
            <w:r>
              <w:rPr>
                <w:rFonts w:ascii="Calibri" w:hAnsi="Calibri"/>
                <w:color w:val="2D3748"/>
                <w:sz w:val="18"/>
              </w:rPr>
              <w:t>EMR</w:t>
            </w:r>
          </w:p>
        </w:tc>
        <w:tc>
          <w:tcPr>
            <w:tcW w:w="7920" w:type="dxa"/>
            <w:shd w:val="clear" w:color="auto" w:fill="FFFFFF"/>
          </w:tcPr>
          <w:p w14:paraId="6553BB4A">
            <w:r>
              <w:rPr>
                <w:rFonts w:ascii="Calibri" w:hAnsi="Calibri"/>
                <w:color w:val="2D3748"/>
                <w:sz w:val="18"/>
              </w:rPr>
              <w:t>Electronic Medical Record — digital patient health records</w:t>
            </w:r>
          </w:p>
        </w:tc>
      </w:tr>
      <w:tr w14:paraId="13936BCB">
        <w:trPr>
          <w:jc w:val="center"/>
        </w:trPr>
        <w:tc>
          <w:tcPr>
            <w:tcW w:w="1728" w:type="dxa"/>
            <w:shd w:val="clear" w:color="auto" w:fill="F7F9FC"/>
          </w:tcPr>
          <w:p w14:paraId="4C52ED4D">
            <w:r>
              <w:rPr>
                <w:rFonts w:ascii="Calibri" w:hAnsi="Calibri"/>
                <w:color w:val="2D3748"/>
                <w:sz w:val="18"/>
              </w:rPr>
              <w:t>ESIC</w:t>
            </w:r>
          </w:p>
        </w:tc>
        <w:tc>
          <w:tcPr>
            <w:tcW w:w="7920" w:type="dxa"/>
            <w:shd w:val="clear" w:color="auto" w:fill="F7F9FC"/>
          </w:tcPr>
          <w:p w14:paraId="42256BF3">
            <w:r>
              <w:rPr>
                <w:rFonts w:ascii="Calibri" w:hAnsi="Calibri"/>
                <w:color w:val="2D3748"/>
                <w:sz w:val="18"/>
              </w:rPr>
              <w:t>Employees' State Insurance Corporation — social security for Indian workers</w:t>
            </w:r>
          </w:p>
        </w:tc>
      </w:tr>
      <w:tr w14:paraId="4263A5C9">
        <w:trPr>
          <w:jc w:val="center"/>
        </w:trPr>
        <w:tc>
          <w:tcPr>
            <w:tcW w:w="1728" w:type="dxa"/>
            <w:shd w:val="clear" w:color="auto" w:fill="FFFFFF"/>
          </w:tcPr>
          <w:p w14:paraId="22BDFB64">
            <w:r>
              <w:rPr>
                <w:rFonts w:ascii="Calibri" w:hAnsi="Calibri"/>
                <w:color w:val="2D3748"/>
                <w:sz w:val="18"/>
              </w:rPr>
              <w:t>FIFO</w:t>
            </w:r>
          </w:p>
        </w:tc>
        <w:tc>
          <w:tcPr>
            <w:tcW w:w="7920" w:type="dxa"/>
            <w:shd w:val="clear" w:color="auto" w:fill="FFFFFF"/>
          </w:tcPr>
          <w:p w14:paraId="240E698F">
            <w:r>
              <w:rPr>
                <w:rFonts w:ascii="Calibri" w:hAnsi="Calibri"/>
                <w:color w:val="2D3748"/>
                <w:sz w:val="18"/>
              </w:rPr>
              <w:t>First In First Out — inventory valuation and dispensing method</w:t>
            </w:r>
          </w:p>
        </w:tc>
      </w:tr>
      <w:tr w14:paraId="1DA79DDB">
        <w:trPr>
          <w:jc w:val="center"/>
        </w:trPr>
        <w:tc>
          <w:tcPr>
            <w:tcW w:w="1728" w:type="dxa"/>
            <w:shd w:val="clear" w:color="auto" w:fill="F7F9FC"/>
          </w:tcPr>
          <w:p w14:paraId="65430911">
            <w:r>
              <w:rPr>
                <w:rFonts w:ascii="Calibri" w:hAnsi="Calibri"/>
                <w:color w:val="2D3748"/>
                <w:sz w:val="18"/>
              </w:rPr>
              <w:t>GRN</w:t>
            </w:r>
          </w:p>
        </w:tc>
        <w:tc>
          <w:tcPr>
            <w:tcW w:w="7920" w:type="dxa"/>
            <w:shd w:val="clear" w:color="auto" w:fill="F7F9FC"/>
          </w:tcPr>
          <w:p w14:paraId="151B9571">
            <w:r>
              <w:rPr>
                <w:rFonts w:ascii="Calibri" w:hAnsi="Calibri"/>
                <w:color w:val="2D3748"/>
                <w:sz w:val="18"/>
              </w:rPr>
              <w:t>Goods Receipt Note — document confirming receipt of purchased goods</w:t>
            </w:r>
          </w:p>
        </w:tc>
      </w:tr>
      <w:tr w14:paraId="4AE9DE61">
        <w:trPr>
          <w:jc w:val="center"/>
        </w:trPr>
        <w:tc>
          <w:tcPr>
            <w:tcW w:w="1728" w:type="dxa"/>
            <w:shd w:val="clear" w:color="auto" w:fill="FFFFFF"/>
          </w:tcPr>
          <w:p w14:paraId="5E8C1D3B">
            <w:r>
              <w:rPr>
                <w:rFonts w:ascii="Calibri" w:hAnsi="Calibri"/>
                <w:color w:val="2D3748"/>
                <w:sz w:val="18"/>
              </w:rPr>
              <w:t>HLD/LLD</w:t>
            </w:r>
          </w:p>
        </w:tc>
        <w:tc>
          <w:tcPr>
            <w:tcW w:w="7920" w:type="dxa"/>
            <w:shd w:val="clear" w:color="auto" w:fill="FFFFFF"/>
          </w:tcPr>
          <w:p w14:paraId="46E2F422">
            <w:r>
              <w:rPr>
                <w:rFonts w:ascii="Calibri" w:hAnsi="Calibri"/>
                <w:color w:val="2D3748"/>
                <w:sz w:val="18"/>
              </w:rPr>
              <w:t>High-Level Design / Low-Level Design — architecture documentation</w:t>
            </w:r>
          </w:p>
        </w:tc>
      </w:tr>
      <w:tr w14:paraId="2C95B1A4">
        <w:trPr>
          <w:jc w:val="center"/>
        </w:trPr>
        <w:tc>
          <w:tcPr>
            <w:tcW w:w="1728" w:type="dxa"/>
            <w:shd w:val="clear" w:color="auto" w:fill="F7F9FC"/>
          </w:tcPr>
          <w:p w14:paraId="273A61E4">
            <w:r>
              <w:rPr>
                <w:rFonts w:ascii="Calibri" w:hAnsi="Calibri"/>
                <w:color w:val="2D3748"/>
                <w:sz w:val="18"/>
              </w:rPr>
              <w:t>ICD-10</w:t>
            </w:r>
          </w:p>
        </w:tc>
        <w:tc>
          <w:tcPr>
            <w:tcW w:w="7920" w:type="dxa"/>
            <w:shd w:val="clear" w:color="auto" w:fill="F7F9FC"/>
          </w:tcPr>
          <w:p w14:paraId="20C157A8">
            <w:r>
              <w:rPr>
                <w:rFonts w:ascii="Calibri" w:hAnsi="Calibri"/>
                <w:color w:val="2D3748"/>
                <w:sz w:val="18"/>
              </w:rPr>
              <w:t>International Classification of Diseases, 10th Revision — WHO diagnosis coding standard</w:t>
            </w:r>
          </w:p>
        </w:tc>
      </w:tr>
      <w:tr w14:paraId="566C420D">
        <w:trPr>
          <w:jc w:val="center"/>
        </w:trPr>
        <w:tc>
          <w:tcPr>
            <w:tcW w:w="1728" w:type="dxa"/>
            <w:shd w:val="clear" w:color="auto" w:fill="FFFFFF"/>
          </w:tcPr>
          <w:p w14:paraId="3CB12504">
            <w:r>
              <w:rPr>
                <w:rFonts w:ascii="Calibri" w:hAnsi="Calibri"/>
                <w:color w:val="2D3748"/>
                <w:sz w:val="18"/>
              </w:rPr>
              <w:t>K8s</w:t>
            </w:r>
          </w:p>
        </w:tc>
        <w:tc>
          <w:tcPr>
            <w:tcW w:w="7920" w:type="dxa"/>
            <w:shd w:val="clear" w:color="auto" w:fill="FFFFFF"/>
          </w:tcPr>
          <w:p w14:paraId="7A10B4FA">
            <w:r>
              <w:rPr>
                <w:rFonts w:ascii="Calibri" w:hAnsi="Calibri"/>
                <w:color w:val="2D3748"/>
                <w:sz w:val="18"/>
              </w:rPr>
              <w:t>Kubernetes — container orchestration platform</w:t>
            </w:r>
          </w:p>
        </w:tc>
      </w:tr>
      <w:tr w14:paraId="4D41BB0A">
        <w:trPr>
          <w:jc w:val="center"/>
        </w:trPr>
        <w:tc>
          <w:tcPr>
            <w:tcW w:w="1728" w:type="dxa"/>
            <w:shd w:val="clear" w:color="auto" w:fill="F7F9FC"/>
          </w:tcPr>
          <w:p w14:paraId="14F23C0A">
            <w:r>
              <w:rPr>
                <w:rFonts w:ascii="Calibri" w:hAnsi="Calibri"/>
                <w:color w:val="2D3748"/>
                <w:sz w:val="18"/>
              </w:rPr>
              <w:t>MAR</w:t>
            </w:r>
          </w:p>
        </w:tc>
        <w:tc>
          <w:tcPr>
            <w:tcW w:w="7920" w:type="dxa"/>
            <w:shd w:val="clear" w:color="auto" w:fill="F7F9FC"/>
          </w:tcPr>
          <w:p w14:paraId="4B1927A7">
            <w:r>
              <w:rPr>
                <w:rFonts w:ascii="Calibri" w:hAnsi="Calibri"/>
                <w:color w:val="2D3748"/>
                <w:sz w:val="18"/>
              </w:rPr>
              <w:t>Medication Administration Record — nursing documentation for drug administration</w:t>
            </w:r>
          </w:p>
        </w:tc>
      </w:tr>
      <w:tr w14:paraId="4A2F11F4">
        <w:trPr>
          <w:jc w:val="center"/>
        </w:trPr>
        <w:tc>
          <w:tcPr>
            <w:tcW w:w="1728" w:type="dxa"/>
            <w:shd w:val="clear" w:color="auto" w:fill="FFFFFF"/>
          </w:tcPr>
          <w:p w14:paraId="1059A5BD">
            <w:r>
              <w:rPr>
                <w:rFonts w:ascii="Calibri" w:hAnsi="Calibri"/>
                <w:color w:val="2D3748"/>
                <w:sz w:val="18"/>
              </w:rPr>
              <w:t>NABH</w:t>
            </w:r>
          </w:p>
        </w:tc>
        <w:tc>
          <w:tcPr>
            <w:tcW w:w="7920" w:type="dxa"/>
            <w:shd w:val="clear" w:color="auto" w:fill="FFFFFF"/>
          </w:tcPr>
          <w:p w14:paraId="3FF72EF8">
            <w:r>
              <w:rPr>
                <w:rFonts w:ascii="Calibri" w:hAnsi="Calibri"/>
                <w:color w:val="2D3748"/>
                <w:sz w:val="18"/>
              </w:rPr>
              <w:t>National Accreditation Board for Hospitals — Indian hospital quality standard</w:t>
            </w:r>
          </w:p>
        </w:tc>
      </w:tr>
      <w:tr w14:paraId="55A157D7">
        <w:trPr>
          <w:jc w:val="center"/>
        </w:trPr>
        <w:tc>
          <w:tcPr>
            <w:tcW w:w="1728" w:type="dxa"/>
            <w:shd w:val="clear" w:color="auto" w:fill="F7F9FC"/>
          </w:tcPr>
          <w:p w14:paraId="75CFAE69">
            <w:r>
              <w:rPr>
                <w:rFonts w:ascii="Calibri" w:hAnsi="Calibri"/>
                <w:color w:val="2D3748"/>
                <w:sz w:val="18"/>
              </w:rPr>
              <w:t>NABL</w:t>
            </w:r>
          </w:p>
        </w:tc>
        <w:tc>
          <w:tcPr>
            <w:tcW w:w="7920" w:type="dxa"/>
            <w:shd w:val="clear" w:color="auto" w:fill="F7F9FC"/>
          </w:tcPr>
          <w:p w14:paraId="2FC93486">
            <w:r>
              <w:rPr>
                <w:rFonts w:ascii="Calibri" w:hAnsi="Calibri"/>
                <w:color w:val="2D3748"/>
                <w:sz w:val="18"/>
              </w:rPr>
              <w:t>National Accreditation Board for Testing and Calibration Laboratories</w:t>
            </w:r>
          </w:p>
        </w:tc>
      </w:tr>
      <w:tr w14:paraId="4C425C71">
        <w:trPr>
          <w:jc w:val="center"/>
        </w:trPr>
        <w:tc>
          <w:tcPr>
            <w:tcW w:w="1728" w:type="dxa"/>
            <w:shd w:val="clear" w:color="auto" w:fill="FFFFFF"/>
          </w:tcPr>
          <w:p w14:paraId="7CBD77B0">
            <w:r>
              <w:rPr>
                <w:rFonts w:ascii="Calibri" w:hAnsi="Calibri"/>
                <w:color w:val="2D3748"/>
                <w:sz w:val="18"/>
              </w:rPr>
              <w:t>PF</w:t>
            </w:r>
          </w:p>
        </w:tc>
        <w:tc>
          <w:tcPr>
            <w:tcW w:w="7920" w:type="dxa"/>
            <w:shd w:val="clear" w:color="auto" w:fill="FFFFFF"/>
          </w:tcPr>
          <w:p w14:paraId="3252EB28">
            <w:r>
              <w:rPr>
                <w:rFonts w:ascii="Calibri" w:hAnsi="Calibri"/>
                <w:color w:val="2D3748"/>
                <w:sz w:val="18"/>
              </w:rPr>
              <w:t>Provident Fund — mandatory employee retirement savings in India</w:t>
            </w:r>
          </w:p>
        </w:tc>
      </w:tr>
      <w:tr w14:paraId="63307139">
        <w:trPr>
          <w:jc w:val="center"/>
        </w:trPr>
        <w:tc>
          <w:tcPr>
            <w:tcW w:w="1728" w:type="dxa"/>
            <w:shd w:val="clear" w:color="auto" w:fill="F7F9FC"/>
          </w:tcPr>
          <w:p w14:paraId="5C925E46">
            <w:r>
              <w:rPr>
                <w:rFonts w:ascii="Calibri" w:hAnsi="Calibri"/>
                <w:color w:val="2D3748"/>
                <w:sz w:val="18"/>
              </w:rPr>
              <w:t>PITR</w:t>
            </w:r>
          </w:p>
        </w:tc>
        <w:tc>
          <w:tcPr>
            <w:tcW w:w="7920" w:type="dxa"/>
            <w:shd w:val="clear" w:color="auto" w:fill="F7F9FC"/>
          </w:tcPr>
          <w:p w14:paraId="0BFB70D0">
            <w:r>
              <w:rPr>
                <w:rFonts w:ascii="Calibri" w:hAnsi="Calibri"/>
                <w:color w:val="2D3748"/>
                <w:sz w:val="18"/>
              </w:rPr>
              <w:t>Point-In-Time Recovery — database restore to any point within retention period</w:t>
            </w:r>
          </w:p>
        </w:tc>
      </w:tr>
      <w:tr w14:paraId="7E9C19EC">
        <w:trPr>
          <w:jc w:val="center"/>
        </w:trPr>
        <w:tc>
          <w:tcPr>
            <w:tcW w:w="1728" w:type="dxa"/>
            <w:shd w:val="clear" w:color="auto" w:fill="FFFFFF"/>
          </w:tcPr>
          <w:p w14:paraId="402AAB15">
            <w:r>
              <w:rPr>
                <w:rFonts w:ascii="Calibri" w:hAnsi="Calibri"/>
                <w:color w:val="2D3748"/>
                <w:sz w:val="18"/>
              </w:rPr>
              <w:t>POC</w:t>
            </w:r>
          </w:p>
        </w:tc>
        <w:tc>
          <w:tcPr>
            <w:tcW w:w="7920" w:type="dxa"/>
            <w:shd w:val="clear" w:color="auto" w:fill="FFFFFF"/>
          </w:tcPr>
          <w:p w14:paraId="5435222F">
            <w:r>
              <w:rPr>
                <w:rFonts w:ascii="Calibri" w:hAnsi="Calibri"/>
                <w:color w:val="2D3748"/>
                <w:sz w:val="18"/>
              </w:rPr>
              <w:t>Proof of Concept — preliminary implementation to validate approach</w:t>
            </w:r>
          </w:p>
        </w:tc>
      </w:tr>
      <w:tr w14:paraId="31D6511B">
        <w:trPr>
          <w:jc w:val="center"/>
        </w:trPr>
        <w:tc>
          <w:tcPr>
            <w:tcW w:w="1728" w:type="dxa"/>
            <w:shd w:val="clear" w:color="auto" w:fill="F7F9FC"/>
          </w:tcPr>
          <w:p w14:paraId="0FC829D1">
            <w:r>
              <w:rPr>
                <w:rFonts w:ascii="Calibri" w:hAnsi="Calibri"/>
                <w:color w:val="2D3748"/>
                <w:sz w:val="18"/>
              </w:rPr>
              <w:t>PT</w:t>
            </w:r>
          </w:p>
        </w:tc>
        <w:tc>
          <w:tcPr>
            <w:tcW w:w="7920" w:type="dxa"/>
            <w:shd w:val="clear" w:color="auto" w:fill="F7F9FC"/>
          </w:tcPr>
          <w:p w14:paraId="00F2B50E">
            <w:r>
              <w:rPr>
                <w:rFonts w:ascii="Calibri" w:hAnsi="Calibri"/>
                <w:color w:val="2D3748"/>
                <w:sz w:val="18"/>
              </w:rPr>
              <w:t>Professional Tax — state-level employment tax in India</w:t>
            </w:r>
          </w:p>
        </w:tc>
      </w:tr>
      <w:tr w14:paraId="5B3C246C">
        <w:trPr>
          <w:jc w:val="center"/>
        </w:trPr>
        <w:tc>
          <w:tcPr>
            <w:tcW w:w="1728" w:type="dxa"/>
            <w:shd w:val="clear" w:color="auto" w:fill="FFFFFF"/>
          </w:tcPr>
          <w:p w14:paraId="010CD5F8">
            <w:r>
              <w:rPr>
                <w:rFonts w:ascii="Calibri" w:hAnsi="Calibri"/>
                <w:color w:val="2D3748"/>
                <w:sz w:val="18"/>
              </w:rPr>
              <w:t>RBAC</w:t>
            </w:r>
          </w:p>
        </w:tc>
        <w:tc>
          <w:tcPr>
            <w:tcW w:w="7920" w:type="dxa"/>
            <w:shd w:val="clear" w:color="auto" w:fill="FFFFFF"/>
          </w:tcPr>
          <w:p w14:paraId="2672D7F0">
            <w:r>
              <w:rPr>
                <w:rFonts w:ascii="Calibri" w:hAnsi="Calibri"/>
                <w:color w:val="2D3748"/>
                <w:sz w:val="18"/>
              </w:rPr>
              <w:t>Role-Based Access Control — permission management by user roles</w:t>
            </w:r>
          </w:p>
        </w:tc>
      </w:tr>
      <w:tr w14:paraId="0F603B47">
        <w:trPr>
          <w:jc w:val="center"/>
        </w:trPr>
        <w:tc>
          <w:tcPr>
            <w:tcW w:w="1728" w:type="dxa"/>
            <w:shd w:val="clear" w:color="auto" w:fill="F7F9FC"/>
          </w:tcPr>
          <w:p w14:paraId="0E733CD5">
            <w:r>
              <w:rPr>
                <w:rFonts w:ascii="Calibri" w:hAnsi="Calibri"/>
                <w:color w:val="2D3748"/>
                <w:sz w:val="18"/>
              </w:rPr>
              <w:t>RTO/RPO</w:t>
            </w:r>
          </w:p>
        </w:tc>
        <w:tc>
          <w:tcPr>
            <w:tcW w:w="7920" w:type="dxa"/>
            <w:shd w:val="clear" w:color="auto" w:fill="F7F9FC"/>
          </w:tcPr>
          <w:p w14:paraId="282374DA">
            <w:r>
              <w:rPr>
                <w:rFonts w:ascii="Calibri" w:hAnsi="Calibri"/>
                <w:color w:val="2D3748"/>
                <w:sz w:val="18"/>
              </w:rPr>
              <w:t>Recovery Time Objective / Recovery Point Objective — disaster recovery metrics</w:t>
            </w:r>
          </w:p>
        </w:tc>
      </w:tr>
      <w:tr w14:paraId="22D857BF">
        <w:trPr>
          <w:jc w:val="center"/>
        </w:trPr>
        <w:tc>
          <w:tcPr>
            <w:tcW w:w="1728" w:type="dxa"/>
            <w:shd w:val="clear" w:color="auto" w:fill="FFFFFF"/>
          </w:tcPr>
          <w:p w14:paraId="008FD2C6">
            <w:r>
              <w:rPr>
                <w:rFonts w:ascii="Calibri" w:hAnsi="Calibri"/>
                <w:color w:val="2D3748"/>
                <w:sz w:val="18"/>
              </w:rPr>
              <w:t>SIT</w:t>
            </w:r>
          </w:p>
        </w:tc>
        <w:tc>
          <w:tcPr>
            <w:tcW w:w="7920" w:type="dxa"/>
            <w:shd w:val="clear" w:color="auto" w:fill="FFFFFF"/>
          </w:tcPr>
          <w:p w14:paraId="479B9BE5">
            <w:r>
              <w:rPr>
                <w:rFonts w:ascii="Calibri" w:hAnsi="Calibri"/>
                <w:color w:val="2D3748"/>
                <w:sz w:val="18"/>
              </w:rPr>
              <w:t>System Integration Testing — testing of integrated modules</w:t>
            </w:r>
          </w:p>
        </w:tc>
      </w:tr>
      <w:tr w14:paraId="3939C54D">
        <w:trPr>
          <w:jc w:val="center"/>
        </w:trPr>
        <w:tc>
          <w:tcPr>
            <w:tcW w:w="1728" w:type="dxa"/>
            <w:shd w:val="clear" w:color="auto" w:fill="F7F9FC"/>
          </w:tcPr>
          <w:p w14:paraId="634D1CAE">
            <w:r>
              <w:rPr>
                <w:rFonts w:ascii="Calibri" w:hAnsi="Calibri"/>
                <w:color w:val="2D3748"/>
                <w:sz w:val="18"/>
              </w:rPr>
              <w:t>SLA</w:t>
            </w:r>
          </w:p>
        </w:tc>
        <w:tc>
          <w:tcPr>
            <w:tcW w:w="7920" w:type="dxa"/>
            <w:shd w:val="clear" w:color="auto" w:fill="F7F9FC"/>
          </w:tcPr>
          <w:p w14:paraId="092E7DAF">
            <w:r>
              <w:rPr>
                <w:rFonts w:ascii="Calibri" w:hAnsi="Calibri"/>
                <w:color w:val="2D3748"/>
                <w:sz w:val="18"/>
              </w:rPr>
              <w:t>Service Level Agreement — defined performance and availability targets</w:t>
            </w:r>
          </w:p>
        </w:tc>
      </w:tr>
      <w:tr w14:paraId="525D027A">
        <w:trPr>
          <w:jc w:val="center"/>
        </w:trPr>
        <w:tc>
          <w:tcPr>
            <w:tcW w:w="1728" w:type="dxa"/>
            <w:shd w:val="clear" w:color="auto" w:fill="FFFFFF"/>
          </w:tcPr>
          <w:p w14:paraId="29D44F1A">
            <w:r>
              <w:rPr>
                <w:rFonts w:ascii="Calibri" w:hAnsi="Calibri"/>
                <w:color w:val="2D3748"/>
                <w:sz w:val="18"/>
              </w:rPr>
              <w:t>SOAP</w:t>
            </w:r>
          </w:p>
        </w:tc>
        <w:tc>
          <w:tcPr>
            <w:tcW w:w="7920" w:type="dxa"/>
            <w:shd w:val="clear" w:color="auto" w:fill="FFFFFF"/>
          </w:tcPr>
          <w:p w14:paraId="005491EF">
            <w:r>
              <w:rPr>
                <w:rFonts w:ascii="Calibri" w:hAnsi="Calibri"/>
                <w:color w:val="2D3748"/>
                <w:sz w:val="18"/>
              </w:rPr>
              <w:t>Subjective, Objective, Assessment, Plan — clinical documentation format</w:t>
            </w:r>
          </w:p>
        </w:tc>
      </w:tr>
      <w:tr w14:paraId="19005262">
        <w:trPr>
          <w:jc w:val="center"/>
        </w:trPr>
        <w:tc>
          <w:tcPr>
            <w:tcW w:w="1728" w:type="dxa"/>
            <w:shd w:val="clear" w:color="auto" w:fill="F7F9FC"/>
          </w:tcPr>
          <w:p w14:paraId="014ED6E1">
            <w:r>
              <w:rPr>
                <w:rFonts w:ascii="Calibri" w:hAnsi="Calibri"/>
                <w:color w:val="2D3748"/>
                <w:sz w:val="18"/>
              </w:rPr>
              <w:t>TAT</w:t>
            </w:r>
          </w:p>
        </w:tc>
        <w:tc>
          <w:tcPr>
            <w:tcW w:w="7920" w:type="dxa"/>
            <w:shd w:val="clear" w:color="auto" w:fill="F7F9FC"/>
          </w:tcPr>
          <w:p w14:paraId="4432B63F">
            <w:r>
              <w:rPr>
                <w:rFonts w:ascii="Calibri" w:hAnsi="Calibri"/>
                <w:color w:val="2D3748"/>
                <w:sz w:val="18"/>
              </w:rPr>
              <w:t>Turnaround Time — time from order placement to result delivery</w:t>
            </w:r>
          </w:p>
        </w:tc>
      </w:tr>
      <w:tr w14:paraId="12FA6167">
        <w:trPr>
          <w:jc w:val="center"/>
        </w:trPr>
        <w:tc>
          <w:tcPr>
            <w:tcW w:w="1728" w:type="dxa"/>
            <w:shd w:val="clear" w:color="auto" w:fill="FFFFFF"/>
          </w:tcPr>
          <w:p w14:paraId="79AB25BF">
            <w:r>
              <w:rPr>
                <w:rFonts w:ascii="Calibri" w:hAnsi="Calibri"/>
                <w:color w:val="2D3748"/>
                <w:sz w:val="18"/>
              </w:rPr>
              <w:t>TDS</w:t>
            </w:r>
          </w:p>
        </w:tc>
        <w:tc>
          <w:tcPr>
            <w:tcW w:w="7920" w:type="dxa"/>
            <w:shd w:val="clear" w:color="auto" w:fill="FFFFFF"/>
          </w:tcPr>
          <w:p w14:paraId="19407371">
            <w:r>
              <w:rPr>
                <w:rFonts w:ascii="Calibri" w:hAnsi="Calibri"/>
                <w:color w:val="2D3748"/>
                <w:sz w:val="18"/>
              </w:rPr>
              <w:t>Tax Deducted at Source — Indian income tax withholding</w:t>
            </w:r>
          </w:p>
        </w:tc>
      </w:tr>
      <w:tr w14:paraId="70A2E0B5">
        <w:trPr>
          <w:jc w:val="center"/>
        </w:trPr>
        <w:tc>
          <w:tcPr>
            <w:tcW w:w="1728" w:type="dxa"/>
            <w:shd w:val="clear" w:color="auto" w:fill="F7F9FC"/>
          </w:tcPr>
          <w:p w14:paraId="6B0399FE">
            <w:r>
              <w:rPr>
                <w:rFonts w:ascii="Calibri" w:hAnsi="Calibri"/>
                <w:color w:val="2D3748"/>
                <w:sz w:val="18"/>
              </w:rPr>
              <w:t>TPA</w:t>
            </w:r>
          </w:p>
        </w:tc>
        <w:tc>
          <w:tcPr>
            <w:tcW w:w="7920" w:type="dxa"/>
            <w:shd w:val="clear" w:color="auto" w:fill="F7F9FC"/>
          </w:tcPr>
          <w:p w14:paraId="2BAC1086">
            <w:r>
              <w:rPr>
                <w:rFonts w:ascii="Calibri" w:hAnsi="Calibri"/>
                <w:color w:val="2D3748"/>
                <w:sz w:val="18"/>
              </w:rPr>
              <w:t>Third Party Administrator — insurance claim processing intermediary</w:t>
            </w:r>
          </w:p>
        </w:tc>
      </w:tr>
      <w:tr w14:paraId="135B3C1B">
        <w:trPr>
          <w:jc w:val="center"/>
        </w:trPr>
        <w:tc>
          <w:tcPr>
            <w:tcW w:w="1728" w:type="dxa"/>
            <w:shd w:val="clear" w:color="auto" w:fill="FFFFFF"/>
          </w:tcPr>
          <w:p w14:paraId="3FE3BE5D">
            <w:r>
              <w:rPr>
                <w:rFonts w:ascii="Calibri" w:hAnsi="Calibri"/>
                <w:color w:val="2D3748"/>
                <w:sz w:val="18"/>
              </w:rPr>
              <w:t>UAT</w:t>
            </w:r>
          </w:p>
        </w:tc>
        <w:tc>
          <w:tcPr>
            <w:tcW w:w="7920" w:type="dxa"/>
            <w:shd w:val="clear" w:color="auto" w:fill="FFFFFF"/>
          </w:tcPr>
          <w:p w14:paraId="6C13642A">
            <w:r>
              <w:rPr>
                <w:rFonts w:ascii="Calibri" w:hAnsi="Calibri"/>
                <w:color w:val="2D3748"/>
                <w:sz w:val="18"/>
              </w:rPr>
              <w:t>User Acceptance Testing — client validation of delivered functionality</w:t>
            </w:r>
          </w:p>
        </w:tc>
      </w:tr>
      <w:tr w14:paraId="6A1A57ED">
        <w:trPr>
          <w:jc w:val="center"/>
        </w:trPr>
        <w:tc>
          <w:tcPr>
            <w:tcW w:w="1728" w:type="dxa"/>
            <w:shd w:val="clear" w:color="auto" w:fill="F7F9FC"/>
          </w:tcPr>
          <w:p w14:paraId="1371AF68">
            <w:r>
              <w:rPr>
                <w:rFonts w:ascii="Calibri" w:hAnsi="Calibri"/>
                <w:color w:val="2D3748"/>
                <w:sz w:val="18"/>
              </w:rPr>
              <w:t>UHID</w:t>
            </w:r>
          </w:p>
        </w:tc>
        <w:tc>
          <w:tcPr>
            <w:tcW w:w="7920" w:type="dxa"/>
            <w:shd w:val="clear" w:color="auto" w:fill="F7F9FC"/>
          </w:tcPr>
          <w:p w14:paraId="2ACCF8A0">
            <w:r>
              <w:rPr>
                <w:rFonts w:ascii="Calibri" w:hAnsi="Calibri"/>
                <w:color w:val="2D3748"/>
                <w:sz w:val="18"/>
              </w:rPr>
              <w:t>Unique Hospital Identification — patient identifier within hospital system</w:t>
            </w:r>
          </w:p>
        </w:tc>
      </w:tr>
      <w:tr w14:paraId="5AE0259E">
        <w:trPr>
          <w:jc w:val="center"/>
        </w:trPr>
        <w:tc>
          <w:tcPr>
            <w:tcW w:w="1728" w:type="dxa"/>
            <w:shd w:val="clear" w:color="auto" w:fill="FFFFFF"/>
          </w:tcPr>
          <w:p w14:paraId="02317D71">
            <w:r>
              <w:rPr>
                <w:rFonts w:ascii="Calibri" w:hAnsi="Calibri"/>
                <w:color w:val="2D3748"/>
                <w:sz w:val="18"/>
              </w:rPr>
              <w:t>UPI</w:t>
            </w:r>
          </w:p>
        </w:tc>
        <w:tc>
          <w:tcPr>
            <w:tcW w:w="7920" w:type="dxa"/>
            <w:shd w:val="clear" w:color="auto" w:fill="FFFFFF"/>
          </w:tcPr>
          <w:p w14:paraId="03E99935">
            <w:r>
              <w:rPr>
                <w:rFonts w:ascii="Calibri" w:hAnsi="Calibri"/>
                <w:color w:val="2D3748"/>
                <w:sz w:val="18"/>
              </w:rPr>
              <w:t>Unified Payments Interface — India's real-time inter-bank payment system</w:t>
            </w:r>
          </w:p>
        </w:tc>
      </w:tr>
    </w:tbl>
    <w:p w14:paraId="6248A15D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Annexure B — Referenced Standards &amp; Regulations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4320"/>
        <w:gridCol w:w="2160"/>
      </w:tblGrid>
      <w:tr w14:paraId="45B6BD01">
        <w:trPr>
          <w:jc w:val="center"/>
        </w:trPr>
        <w:tc>
          <w:tcPr>
            <w:tcW w:w="2592" w:type="dxa"/>
            <w:shd w:val="clear" w:color="auto" w:fill="1B3A5C"/>
          </w:tcPr>
          <w:p w14:paraId="583D4D1A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Standard / Regulation</w:t>
            </w:r>
          </w:p>
        </w:tc>
        <w:tc>
          <w:tcPr>
            <w:tcW w:w="4320" w:type="dxa"/>
            <w:shd w:val="clear" w:color="auto" w:fill="1B3A5C"/>
          </w:tcPr>
          <w:p w14:paraId="2CA0781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Applicability</w:t>
            </w:r>
          </w:p>
        </w:tc>
        <w:tc>
          <w:tcPr>
            <w:tcW w:w="2160" w:type="dxa"/>
            <w:shd w:val="clear" w:color="auto" w:fill="1B3A5C"/>
          </w:tcPr>
          <w:p w14:paraId="40ADECF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Compliance Level</w:t>
            </w:r>
          </w:p>
        </w:tc>
      </w:tr>
      <w:tr w14:paraId="05332515">
        <w:trPr>
          <w:jc w:val="center"/>
        </w:trPr>
        <w:tc>
          <w:tcPr>
            <w:tcW w:w="2592" w:type="dxa"/>
            <w:shd w:val="clear" w:color="auto" w:fill="F7F9FC"/>
          </w:tcPr>
          <w:p w14:paraId="651C4184">
            <w:r>
              <w:rPr>
                <w:rFonts w:ascii="Calibri" w:hAnsi="Calibri"/>
                <w:color w:val="2D3748"/>
                <w:sz w:val="18"/>
              </w:rPr>
              <w:t>DISHA Act (India)</w:t>
            </w:r>
          </w:p>
        </w:tc>
        <w:tc>
          <w:tcPr>
            <w:tcW w:w="4320" w:type="dxa"/>
            <w:shd w:val="clear" w:color="auto" w:fill="F7F9FC"/>
          </w:tcPr>
          <w:p w14:paraId="7D2C87F8">
            <w:r>
              <w:rPr>
                <w:rFonts w:ascii="Calibri" w:hAnsi="Calibri"/>
                <w:color w:val="2D3748"/>
                <w:sz w:val="18"/>
              </w:rPr>
              <w:t>Health data privacy, patient consent, data localization</w:t>
            </w:r>
          </w:p>
        </w:tc>
        <w:tc>
          <w:tcPr>
            <w:tcW w:w="2160" w:type="dxa"/>
            <w:shd w:val="clear" w:color="auto" w:fill="F7F9FC"/>
          </w:tcPr>
          <w:p w14:paraId="104BBD09">
            <w:r>
              <w:rPr>
                <w:rFonts w:ascii="Calibri" w:hAnsi="Calibri"/>
                <w:color w:val="2D3748"/>
                <w:sz w:val="18"/>
              </w:rPr>
              <w:t>Full compliance</w:t>
            </w:r>
          </w:p>
        </w:tc>
      </w:tr>
      <w:tr w14:paraId="53E23DB2">
        <w:trPr>
          <w:jc w:val="center"/>
        </w:trPr>
        <w:tc>
          <w:tcPr>
            <w:tcW w:w="2592" w:type="dxa"/>
            <w:shd w:val="clear" w:color="auto" w:fill="FFFFFF"/>
          </w:tcPr>
          <w:p w14:paraId="755AE738">
            <w:r>
              <w:rPr>
                <w:rFonts w:ascii="Calibri" w:hAnsi="Calibri"/>
                <w:color w:val="2D3748"/>
                <w:sz w:val="18"/>
              </w:rPr>
              <w:t>ABDM Guidelines</w:t>
            </w:r>
          </w:p>
        </w:tc>
        <w:tc>
          <w:tcPr>
            <w:tcW w:w="4320" w:type="dxa"/>
            <w:shd w:val="clear" w:color="auto" w:fill="FFFFFF"/>
          </w:tcPr>
          <w:p w14:paraId="0DB64AD5">
            <w:r>
              <w:rPr>
                <w:rFonts w:ascii="Calibri" w:hAnsi="Calibri"/>
                <w:color w:val="2D3748"/>
                <w:sz w:val="18"/>
              </w:rPr>
              <w:t>Health ID (ABHA), health records interoperability</w:t>
            </w:r>
          </w:p>
        </w:tc>
        <w:tc>
          <w:tcPr>
            <w:tcW w:w="2160" w:type="dxa"/>
            <w:shd w:val="clear" w:color="auto" w:fill="FFFFFF"/>
          </w:tcPr>
          <w:p w14:paraId="20F52563">
            <w:r>
              <w:rPr>
                <w:rFonts w:ascii="Calibri" w:hAnsi="Calibri"/>
                <w:color w:val="2D3748"/>
                <w:sz w:val="18"/>
              </w:rPr>
              <w:t>Integration ready</w:t>
            </w:r>
          </w:p>
        </w:tc>
      </w:tr>
      <w:tr w14:paraId="346D2EE0">
        <w:trPr>
          <w:jc w:val="center"/>
        </w:trPr>
        <w:tc>
          <w:tcPr>
            <w:tcW w:w="2592" w:type="dxa"/>
            <w:shd w:val="clear" w:color="auto" w:fill="F7F9FC"/>
          </w:tcPr>
          <w:p w14:paraId="1F56A028">
            <w:r>
              <w:rPr>
                <w:rFonts w:ascii="Calibri" w:hAnsi="Calibri"/>
                <w:color w:val="2D3748"/>
                <w:sz w:val="18"/>
              </w:rPr>
              <w:t>NABH Standards (5th Ed.)</w:t>
            </w:r>
          </w:p>
        </w:tc>
        <w:tc>
          <w:tcPr>
            <w:tcW w:w="4320" w:type="dxa"/>
            <w:shd w:val="clear" w:color="auto" w:fill="F7F9FC"/>
          </w:tcPr>
          <w:p w14:paraId="6C2C02D8">
            <w:r>
              <w:rPr>
                <w:rFonts w:ascii="Calibri" w:hAnsi="Calibri"/>
                <w:color w:val="2D3748"/>
                <w:sz w:val="18"/>
              </w:rPr>
              <w:t>Hospital quality management, patient safety</w:t>
            </w:r>
          </w:p>
        </w:tc>
        <w:tc>
          <w:tcPr>
            <w:tcW w:w="2160" w:type="dxa"/>
            <w:shd w:val="clear" w:color="auto" w:fill="F7F9FC"/>
          </w:tcPr>
          <w:p w14:paraId="233DCC23">
            <w:r>
              <w:rPr>
                <w:rFonts w:ascii="Calibri" w:hAnsi="Calibri"/>
                <w:color w:val="2D3748"/>
                <w:sz w:val="18"/>
              </w:rPr>
              <w:t>Process alignment</w:t>
            </w:r>
          </w:p>
        </w:tc>
      </w:tr>
      <w:tr w14:paraId="1035C310">
        <w:trPr>
          <w:jc w:val="center"/>
        </w:trPr>
        <w:tc>
          <w:tcPr>
            <w:tcW w:w="2592" w:type="dxa"/>
            <w:shd w:val="clear" w:color="auto" w:fill="FFFFFF"/>
          </w:tcPr>
          <w:p w14:paraId="3C1E6F38">
            <w:r>
              <w:rPr>
                <w:rFonts w:ascii="Calibri" w:hAnsi="Calibri"/>
                <w:color w:val="2D3748"/>
                <w:sz w:val="18"/>
              </w:rPr>
              <w:t>NABL ISO 15189:2022</w:t>
            </w:r>
          </w:p>
        </w:tc>
        <w:tc>
          <w:tcPr>
            <w:tcW w:w="4320" w:type="dxa"/>
            <w:shd w:val="clear" w:color="auto" w:fill="FFFFFF"/>
          </w:tcPr>
          <w:p w14:paraId="58B3E577">
            <w:r>
              <w:rPr>
                <w:rFonts w:ascii="Calibri" w:hAnsi="Calibri"/>
                <w:color w:val="2D3748"/>
                <w:sz w:val="18"/>
              </w:rPr>
              <w:t>Medical laboratory quality and competence</w:t>
            </w:r>
          </w:p>
        </w:tc>
        <w:tc>
          <w:tcPr>
            <w:tcW w:w="2160" w:type="dxa"/>
            <w:shd w:val="clear" w:color="auto" w:fill="FFFFFF"/>
          </w:tcPr>
          <w:p w14:paraId="609A925C">
            <w:r>
              <w:rPr>
                <w:rFonts w:ascii="Calibri" w:hAnsi="Calibri"/>
                <w:color w:val="2D3748"/>
                <w:sz w:val="18"/>
              </w:rPr>
              <w:t>Report format compliance</w:t>
            </w:r>
          </w:p>
        </w:tc>
      </w:tr>
      <w:tr w14:paraId="4A9314A0">
        <w:trPr>
          <w:jc w:val="center"/>
        </w:trPr>
        <w:tc>
          <w:tcPr>
            <w:tcW w:w="2592" w:type="dxa"/>
            <w:shd w:val="clear" w:color="auto" w:fill="F7F9FC"/>
          </w:tcPr>
          <w:p w14:paraId="1B1503A3">
            <w:r>
              <w:rPr>
                <w:rFonts w:ascii="Calibri" w:hAnsi="Calibri"/>
                <w:color w:val="2D3748"/>
                <w:sz w:val="18"/>
              </w:rPr>
              <w:t>Indian Pharmacopoeia</w:t>
            </w:r>
          </w:p>
        </w:tc>
        <w:tc>
          <w:tcPr>
            <w:tcW w:w="4320" w:type="dxa"/>
            <w:shd w:val="clear" w:color="auto" w:fill="F7F9FC"/>
          </w:tcPr>
          <w:p w14:paraId="386C30F4">
            <w:r>
              <w:rPr>
                <w:rFonts w:ascii="Calibri" w:hAnsi="Calibri"/>
                <w:color w:val="2D3748"/>
                <w:sz w:val="18"/>
              </w:rPr>
              <w:t>Drug nomenclature, scheduling, interactions</w:t>
            </w:r>
          </w:p>
        </w:tc>
        <w:tc>
          <w:tcPr>
            <w:tcW w:w="2160" w:type="dxa"/>
            <w:shd w:val="clear" w:color="auto" w:fill="F7F9FC"/>
          </w:tcPr>
          <w:p w14:paraId="2FF58CE9">
            <w:r>
              <w:rPr>
                <w:rFonts w:ascii="Calibri" w:hAnsi="Calibri"/>
                <w:color w:val="2D3748"/>
                <w:sz w:val="18"/>
              </w:rPr>
              <w:t>Drug master database</w:t>
            </w:r>
          </w:p>
        </w:tc>
      </w:tr>
      <w:tr w14:paraId="07127953">
        <w:trPr>
          <w:jc w:val="center"/>
        </w:trPr>
        <w:tc>
          <w:tcPr>
            <w:tcW w:w="2592" w:type="dxa"/>
            <w:shd w:val="clear" w:color="auto" w:fill="FFFFFF"/>
          </w:tcPr>
          <w:p w14:paraId="33BC33CF">
            <w:r>
              <w:rPr>
                <w:rFonts w:ascii="Calibri" w:hAnsi="Calibri"/>
                <w:color w:val="2D3748"/>
                <w:sz w:val="18"/>
              </w:rPr>
              <w:t>GST Act 2017</w:t>
            </w:r>
          </w:p>
        </w:tc>
        <w:tc>
          <w:tcPr>
            <w:tcW w:w="4320" w:type="dxa"/>
            <w:shd w:val="clear" w:color="auto" w:fill="FFFFFF"/>
          </w:tcPr>
          <w:p w14:paraId="7104502F">
            <w:r>
              <w:rPr>
                <w:rFonts w:ascii="Calibri" w:hAnsi="Calibri"/>
                <w:color w:val="2D3748"/>
                <w:sz w:val="18"/>
              </w:rPr>
              <w:t>Tax computation, invoice format, filing</w:t>
            </w:r>
          </w:p>
        </w:tc>
        <w:tc>
          <w:tcPr>
            <w:tcW w:w="2160" w:type="dxa"/>
            <w:shd w:val="clear" w:color="auto" w:fill="FFFFFF"/>
          </w:tcPr>
          <w:p w14:paraId="201D5A9D">
            <w:r>
              <w:rPr>
                <w:rFonts w:ascii="Calibri" w:hAnsi="Calibri"/>
                <w:color w:val="2D3748"/>
                <w:sz w:val="18"/>
              </w:rPr>
              <w:t>Full compliance</w:t>
            </w:r>
          </w:p>
        </w:tc>
      </w:tr>
      <w:tr w14:paraId="52AA85E7">
        <w:trPr>
          <w:jc w:val="center"/>
        </w:trPr>
        <w:tc>
          <w:tcPr>
            <w:tcW w:w="2592" w:type="dxa"/>
            <w:shd w:val="clear" w:color="auto" w:fill="F7F9FC"/>
          </w:tcPr>
          <w:p w14:paraId="5F0EAAC0">
            <w:r>
              <w:rPr>
                <w:rFonts w:ascii="Calibri" w:hAnsi="Calibri"/>
                <w:color w:val="2D3748"/>
                <w:sz w:val="18"/>
              </w:rPr>
              <w:t>PF Act 1952 / ESIC Act 1948</w:t>
            </w:r>
          </w:p>
        </w:tc>
        <w:tc>
          <w:tcPr>
            <w:tcW w:w="4320" w:type="dxa"/>
            <w:shd w:val="clear" w:color="auto" w:fill="F7F9FC"/>
          </w:tcPr>
          <w:p w14:paraId="26BAECAC">
            <w:r>
              <w:rPr>
                <w:rFonts w:ascii="Calibri" w:hAnsi="Calibri"/>
                <w:color w:val="2D3748"/>
                <w:sz w:val="18"/>
              </w:rPr>
              <w:t>Employee benefits computation and reporting</w:t>
            </w:r>
          </w:p>
        </w:tc>
        <w:tc>
          <w:tcPr>
            <w:tcW w:w="2160" w:type="dxa"/>
            <w:shd w:val="clear" w:color="auto" w:fill="F7F9FC"/>
          </w:tcPr>
          <w:p w14:paraId="07CD7636">
            <w:r>
              <w:rPr>
                <w:rFonts w:ascii="Calibri" w:hAnsi="Calibri"/>
                <w:color w:val="2D3748"/>
                <w:sz w:val="18"/>
              </w:rPr>
              <w:t>Full compliance</w:t>
            </w:r>
          </w:p>
        </w:tc>
      </w:tr>
      <w:tr w14:paraId="55F2AE79">
        <w:trPr>
          <w:jc w:val="center"/>
        </w:trPr>
        <w:tc>
          <w:tcPr>
            <w:tcW w:w="2592" w:type="dxa"/>
            <w:shd w:val="clear" w:color="auto" w:fill="FFFFFF"/>
          </w:tcPr>
          <w:p w14:paraId="38A0FE9A">
            <w:r>
              <w:rPr>
                <w:rFonts w:ascii="Calibri" w:hAnsi="Calibri"/>
                <w:color w:val="2D3748"/>
                <w:sz w:val="18"/>
              </w:rPr>
              <w:t>IT Act 2000 / CERT-In</w:t>
            </w:r>
          </w:p>
        </w:tc>
        <w:tc>
          <w:tcPr>
            <w:tcW w:w="4320" w:type="dxa"/>
            <w:shd w:val="clear" w:color="auto" w:fill="FFFFFF"/>
          </w:tcPr>
          <w:p w14:paraId="69EAC4D0">
            <w:r>
              <w:rPr>
                <w:rFonts w:ascii="Calibri" w:hAnsi="Calibri"/>
                <w:color w:val="2D3748"/>
                <w:sz w:val="18"/>
              </w:rPr>
              <w:t>Cyber security incident reporting, audit logs</w:t>
            </w:r>
          </w:p>
        </w:tc>
        <w:tc>
          <w:tcPr>
            <w:tcW w:w="2160" w:type="dxa"/>
            <w:shd w:val="clear" w:color="auto" w:fill="FFFFFF"/>
          </w:tcPr>
          <w:p w14:paraId="3441558E">
            <w:r>
              <w:rPr>
                <w:rFonts w:ascii="Calibri" w:hAnsi="Calibri"/>
                <w:color w:val="2D3748"/>
                <w:sz w:val="18"/>
              </w:rPr>
              <w:t>Full compliance</w:t>
            </w:r>
          </w:p>
        </w:tc>
      </w:tr>
      <w:tr w14:paraId="0BAB08B3">
        <w:trPr>
          <w:jc w:val="center"/>
        </w:trPr>
        <w:tc>
          <w:tcPr>
            <w:tcW w:w="2592" w:type="dxa"/>
            <w:shd w:val="clear" w:color="auto" w:fill="F7F9FC"/>
          </w:tcPr>
          <w:p w14:paraId="5B107C67">
            <w:r>
              <w:rPr>
                <w:rFonts w:ascii="Calibri" w:hAnsi="Calibri"/>
                <w:color w:val="2D3748"/>
                <w:sz w:val="18"/>
              </w:rPr>
              <w:t>OWASP Top 10 (2021)</w:t>
            </w:r>
          </w:p>
        </w:tc>
        <w:tc>
          <w:tcPr>
            <w:tcW w:w="4320" w:type="dxa"/>
            <w:shd w:val="clear" w:color="auto" w:fill="F7F9FC"/>
          </w:tcPr>
          <w:p w14:paraId="0925BD12">
            <w:r>
              <w:rPr>
                <w:rFonts w:ascii="Calibri" w:hAnsi="Calibri"/>
                <w:color w:val="2D3748"/>
                <w:sz w:val="18"/>
              </w:rPr>
              <w:t>Web application security best practices</w:t>
            </w:r>
          </w:p>
        </w:tc>
        <w:tc>
          <w:tcPr>
            <w:tcW w:w="2160" w:type="dxa"/>
            <w:shd w:val="clear" w:color="auto" w:fill="F7F9FC"/>
          </w:tcPr>
          <w:p w14:paraId="4DE6E8EE">
            <w:r>
              <w:rPr>
                <w:rFonts w:ascii="Calibri" w:hAnsi="Calibri"/>
                <w:color w:val="2D3748"/>
                <w:sz w:val="18"/>
              </w:rPr>
              <w:t>Full compliance</w:t>
            </w:r>
          </w:p>
        </w:tc>
      </w:tr>
      <w:tr w14:paraId="4BC0E928">
        <w:trPr>
          <w:jc w:val="center"/>
        </w:trPr>
        <w:tc>
          <w:tcPr>
            <w:tcW w:w="2592" w:type="dxa"/>
            <w:shd w:val="clear" w:color="auto" w:fill="FFFFFF"/>
          </w:tcPr>
          <w:p w14:paraId="4E72300D">
            <w:r>
              <w:rPr>
                <w:rFonts w:ascii="Calibri" w:hAnsi="Calibri"/>
                <w:color w:val="2D3748"/>
                <w:sz w:val="18"/>
              </w:rPr>
              <w:t>ISO 27001:2022</w:t>
            </w:r>
          </w:p>
        </w:tc>
        <w:tc>
          <w:tcPr>
            <w:tcW w:w="4320" w:type="dxa"/>
            <w:shd w:val="clear" w:color="auto" w:fill="FFFFFF"/>
          </w:tcPr>
          <w:p w14:paraId="5BF34F12">
            <w:r>
              <w:rPr>
                <w:rFonts w:ascii="Calibri" w:hAnsi="Calibri"/>
                <w:color w:val="2D3748"/>
                <w:sz w:val="18"/>
              </w:rPr>
              <w:t>Information security management</w:t>
            </w:r>
          </w:p>
        </w:tc>
        <w:tc>
          <w:tcPr>
            <w:tcW w:w="2160" w:type="dxa"/>
            <w:shd w:val="clear" w:color="auto" w:fill="FFFFFF"/>
          </w:tcPr>
          <w:p w14:paraId="7C2C016D">
            <w:r>
              <w:rPr>
                <w:rFonts w:ascii="Calibri" w:hAnsi="Calibri"/>
                <w:color w:val="2D3748"/>
                <w:sz w:val="18"/>
              </w:rPr>
              <w:t>Aligned (certification optional)</w:t>
            </w:r>
          </w:p>
        </w:tc>
      </w:tr>
      <w:tr w14:paraId="0E0F9711">
        <w:trPr>
          <w:jc w:val="center"/>
        </w:trPr>
        <w:tc>
          <w:tcPr>
            <w:tcW w:w="2592" w:type="dxa"/>
            <w:shd w:val="clear" w:color="auto" w:fill="F7F9FC"/>
          </w:tcPr>
          <w:p w14:paraId="57D04EB6">
            <w:r>
              <w:rPr>
                <w:rFonts w:ascii="Calibri" w:hAnsi="Calibri"/>
                <w:color w:val="2D3748"/>
                <w:sz w:val="18"/>
              </w:rPr>
              <w:t>HL7 FHIR R4</w:t>
            </w:r>
          </w:p>
        </w:tc>
        <w:tc>
          <w:tcPr>
            <w:tcW w:w="4320" w:type="dxa"/>
            <w:shd w:val="clear" w:color="auto" w:fill="F7F9FC"/>
          </w:tcPr>
          <w:p w14:paraId="54466FD3">
            <w:r>
              <w:rPr>
                <w:rFonts w:ascii="Calibri" w:hAnsi="Calibri"/>
                <w:color w:val="2D3748"/>
                <w:sz w:val="18"/>
              </w:rPr>
              <w:t>Healthcare data interoperability standard</w:t>
            </w:r>
          </w:p>
        </w:tc>
        <w:tc>
          <w:tcPr>
            <w:tcW w:w="2160" w:type="dxa"/>
            <w:shd w:val="clear" w:color="auto" w:fill="F7F9FC"/>
          </w:tcPr>
          <w:p w14:paraId="0914AFD0">
            <w:r>
              <w:rPr>
                <w:rFonts w:ascii="Calibri" w:hAnsi="Calibri"/>
                <w:color w:val="2D3748"/>
                <w:sz w:val="18"/>
              </w:rPr>
              <w:t>Future-ready architecture</w:t>
            </w:r>
          </w:p>
        </w:tc>
      </w:tr>
      <w:tr w14:paraId="59A8BBCB">
        <w:trPr>
          <w:jc w:val="center"/>
        </w:trPr>
        <w:tc>
          <w:tcPr>
            <w:tcW w:w="2592" w:type="dxa"/>
            <w:shd w:val="clear" w:color="auto" w:fill="FFFFFF"/>
          </w:tcPr>
          <w:p w14:paraId="5EDE8C51">
            <w:r>
              <w:rPr>
                <w:rFonts w:ascii="Calibri" w:hAnsi="Calibri"/>
                <w:color w:val="2D3748"/>
                <w:sz w:val="18"/>
              </w:rPr>
              <w:t>ICD-10-CM / ICD-11</w:t>
            </w:r>
          </w:p>
        </w:tc>
        <w:tc>
          <w:tcPr>
            <w:tcW w:w="4320" w:type="dxa"/>
            <w:shd w:val="clear" w:color="auto" w:fill="FFFFFF"/>
          </w:tcPr>
          <w:p w14:paraId="0C7801A7">
            <w:r>
              <w:rPr>
                <w:rFonts w:ascii="Calibri" w:hAnsi="Calibri"/>
                <w:color w:val="2D3748"/>
                <w:sz w:val="18"/>
              </w:rPr>
              <w:t>Diagnosis and procedure coding</w:t>
            </w:r>
          </w:p>
        </w:tc>
        <w:tc>
          <w:tcPr>
            <w:tcW w:w="2160" w:type="dxa"/>
            <w:shd w:val="clear" w:color="auto" w:fill="FFFFFF"/>
          </w:tcPr>
          <w:p w14:paraId="445B7E3E">
            <w:r>
              <w:rPr>
                <w:rFonts w:ascii="Calibri" w:hAnsi="Calibri"/>
                <w:color w:val="2D3748"/>
                <w:sz w:val="18"/>
              </w:rPr>
              <w:t>Full support</w:t>
            </w:r>
          </w:p>
        </w:tc>
      </w:tr>
      <w:tr w14:paraId="4C7E07DE">
        <w:trPr>
          <w:jc w:val="center"/>
        </w:trPr>
        <w:tc>
          <w:tcPr>
            <w:tcW w:w="2592" w:type="dxa"/>
            <w:shd w:val="clear" w:color="auto" w:fill="F7F9FC"/>
          </w:tcPr>
          <w:p w14:paraId="5E529BC0">
            <w:r>
              <w:rPr>
                <w:rFonts w:ascii="Calibri" w:hAnsi="Calibri"/>
                <w:color w:val="2D3748"/>
                <w:sz w:val="18"/>
              </w:rPr>
              <w:t>LOINC</w:t>
            </w:r>
          </w:p>
        </w:tc>
        <w:tc>
          <w:tcPr>
            <w:tcW w:w="4320" w:type="dxa"/>
            <w:shd w:val="clear" w:color="auto" w:fill="F7F9FC"/>
          </w:tcPr>
          <w:p w14:paraId="5A18B8A2">
            <w:r>
              <w:rPr>
                <w:rFonts w:ascii="Calibri" w:hAnsi="Calibri"/>
                <w:color w:val="2D3748"/>
                <w:sz w:val="18"/>
              </w:rPr>
              <w:t>Laboratory test observation coding</w:t>
            </w:r>
          </w:p>
        </w:tc>
        <w:tc>
          <w:tcPr>
            <w:tcW w:w="2160" w:type="dxa"/>
            <w:shd w:val="clear" w:color="auto" w:fill="F7F9FC"/>
          </w:tcPr>
          <w:p w14:paraId="6E394F4F">
            <w:r>
              <w:rPr>
                <w:rFonts w:ascii="Calibri" w:hAnsi="Calibri"/>
                <w:color w:val="2D3748"/>
                <w:sz w:val="18"/>
              </w:rPr>
              <w:t>Lab module integration</w:t>
            </w:r>
          </w:p>
        </w:tc>
      </w:tr>
      <w:tr w14:paraId="6B2AA226">
        <w:trPr>
          <w:jc w:val="center"/>
        </w:trPr>
        <w:tc>
          <w:tcPr>
            <w:tcW w:w="2592" w:type="dxa"/>
            <w:shd w:val="clear" w:color="auto" w:fill="FFFFFF"/>
          </w:tcPr>
          <w:p w14:paraId="30D1A238">
            <w:r>
              <w:rPr>
                <w:rFonts w:ascii="Calibri" w:hAnsi="Calibri"/>
                <w:color w:val="2D3748"/>
                <w:sz w:val="18"/>
              </w:rPr>
              <w:t>SNOMED CT</w:t>
            </w:r>
          </w:p>
        </w:tc>
        <w:tc>
          <w:tcPr>
            <w:tcW w:w="4320" w:type="dxa"/>
            <w:shd w:val="clear" w:color="auto" w:fill="FFFFFF"/>
          </w:tcPr>
          <w:p w14:paraId="16363551">
            <w:r>
              <w:rPr>
                <w:rFonts w:ascii="Calibri" w:hAnsi="Calibri"/>
                <w:color w:val="2D3748"/>
                <w:sz w:val="18"/>
              </w:rPr>
              <w:t>Clinical terminology standard</w:t>
            </w:r>
          </w:p>
        </w:tc>
        <w:tc>
          <w:tcPr>
            <w:tcW w:w="2160" w:type="dxa"/>
            <w:shd w:val="clear" w:color="auto" w:fill="FFFFFF"/>
          </w:tcPr>
          <w:p w14:paraId="251DCF29">
            <w:r>
              <w:rPr>
                <w:rFonts w:ascii="Calibri" w:hAnsi="Calibri"/>
                <w:color w:val="2D3748"/>
                <w:sz w:val="18"/>
              </w:rPr>
              <w:t>Future roadmap</w:t>
            </w:r>
          </w:p>
        </w:tc>
      </w:tr>
    </w:tbl>
    <w:p w14:paraId="70789418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Annexure C — Document Revision History</w:t>
      </w:r>
    </w:p>
    <w:tbl>
      <w:tblPr>
        <w:tblStyle w:val="35"/>
        <w:tblW w:w="0" w:type="auto"/>
        <w:jc w:val="center"/>
        <w:tblBorders>
          <w:top w:val="single" w:color="1B3A5C" w:sz="8" w:space="0"/>
          <w:left w:val="single" w:color="1B3A5C" w:sz="4" w:space="0"/>
          <w:bottom w:val="single" w:color="1B3A5C" w:sz="8" w:space="0"/>
          <w:right w:val="single" w:color="1B3A5C" w:sz="4" w:space="0"/>
          <w:insideH w:val="single" w:color="CBD5E0" w:sz="4" w:space="0"/>
          <w:insideV w:val="single" w:color="E2E8F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5"/>
        <w:gridCol w:w="1421"/>
        <w:gridCol w:w="1851"/>
        <w:gridCol w:w="5369"/>
      </w:tblGrid>
      <w:tr w14:paraId="4B593990">
        <w:trPr>
          <w:jc w:val="center"/>
        </w:trPr>
        <w:tc>
          <w:tcPr>
            <w:tcW w:w="1008" w:type="dxa"/>
            <w:shd w:val="clear" w:color="auto" w:fill="1B3A5C"/>
          </w:tcPr>
          <w:p w14:paraId="082BDB5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w="1440" w:type="dxa"/>
            <w:shd w:val="clear" w:color="auto" w:fill="1B3A5C"/>
          </w:tcPr>
          <w:p w14:paraId="2132BB5F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w="1872" w:type="dxa"/>
            <w:shd w:val="clear" w:color="auto" w:fill="1B3A5C"/>
          </w:tcPr>
          <w:p w14:paraId="0401511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  <w:tc>
          <w:tcPr>
            <w:tcW w:w="5472" w:type="dxa"/>
            <w:shd w:val="clear" w:color="auto" w:fill="1B3A5C"/>
          </w:tcPr>
          <w:p w14:paraId="47C2F96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Changes</w:t>
            </w:r>
          </w:p>
        </w:tc>
      </w:tr>
      <w:tr w14:paraId="21B07E97">
        <w:trPr>
          <w:jc w:val="center"/>
        </w:trPr>
        <w:tc>
          <w:tcPr>
            <w:tcW w:w="1008" w:type="dxa"/>
            <w:shd w:val="clear" w:color="auto" w:fill="F7F9FC"/>
          </w:tcPr>
          <w:p w14:paraId="3B921D17">
            <w:r>
              <w:rPr>
                <w:rFonts w:ascii="Calibri" w:hAnsi="Calibri"/>
                <w:color w:val="2D3748"/>
                <w:sz w:val="18"/>
              </w:rPr>
              <w:t>1.0</w:t>
            </w:r>
          </w:p>
        </w:tc>
        <w:tc>
          <w:tcPr>
            <w:tcW w:w="1440" w:type="dxa"/>
            <w:shd w:val="clear" w:color="auto" w:fill="F7F9FC"/>
          </w:tcPr>
          <w:p w14:paraId="53DB1CE0">
            <w:r>
              <w:rPr>
                <w:rFonts w:ascii="Calibri" w:hAnsi="Calibri"/>
                <w:color w:val="2D3748"/>
                <w:sz w:val="18"/>
              </w:rPr>
              <w:t>10-Mar-2026</w:t>
            </w:r>
          </w:p>
        </w:tc>
        <w:tc>
          <w:tcPr>
            <w:tcW w:w="1872" w:type="dxa"/>
            <w:shd w:val="clear" w:color="auto" w:fill="F7F9FC"/>
          </w:tcPr>
          <w:p w14:paraId="4E6887D2">
            <w:r>
              <w:rPr>
                <w:rFonts w:ascii="Calibri" w:hAnsi="Calibri"/>
                <w:color w:val="2D3748"/>
                <w:sz w:val="18"/>
              </w:rPr>
              <w:t>TGWT Solutions</w:t>
            </w:r>
          </w:p>
        </w:tc>
        <w:tc>
          <w:tcPr>
            <w:tcW w:w="5472" w:type="dxa"/>
            <w:shd w:val="clear" w:color="auto" w:fill="F7F9FC"/>
          </w:tcPr>
          <w:p w14:paraId="31C5435A">
            <w:r>
              <w:rPr>
                <w:rFonts w:ascii="Calibri" w:hAnsi="Calibri"/>
                <w:color w:val="2D3748"/>
                <w:sz w:val="18"/>
              </w:rPr>
              <w:t>Initial SOW release — all 12 modules, 64 screens, full technical architecture</w:t>
            </w:r>
          </w:p>
        </w:tc>
      </w:tr>
      <w:tr w14:paraId="73AF2CD6">
        <w:trPr>
          <w:jc w:val="center"/>
        </w:trPr>
        <w:tc>
          <w:tcPr>
            <w:tcW w:w="1008" w:type="dxa"/>
            <w:shd w:val="clear" w:color="auto" w:fill="FFFFFF"/>
          </w:tcPr>
          <w:p w14:paraId="58963374">
            <w:r>
              <w:rPr>
                <w:rFonts w:ascii="Calibri" w:hAnsi="Calibri"/>
                <w:color w:val="2D3748"/>
                <w:sz w:val="18"/>
              </w:rPr>
              <w:t>—</w:t>
            </w:r>
          </w:p>
        </w:tc>
        <w:tc>
          <w:tcPr>
            <w:tcW w:w="1440" w:type="dxa"/>
            <w:shd w:val="clear" w:color="auto" w:fill="FFFFFF"/>
          </w:tcPr>
          <w:p w14:paraId="70413729">
            <w:r>
              <w:rPr>
                <w:rFonts w:ascii="Calibri" w:hAnsi="Calibri"/>
                <w:color w:val="2D3748"/>
                <w:sz w:val="18"/>
              </w:rPr>
              <w:t>—</w:t>
            </w:r>
          </w:p>
        </w:tc>
        <w:tc>
          <w:tcPr>
            <w:tcW w:w="1872" w:type="dxa"/>
            <w:shd w:val="clear" w:color="auto" w:fill="FFFFFF"/>
          </w:tcPr>
          <w:p w14:paraId="3C34F004">
            <w:r>
              <w:rPr>
                <w:rFonts w:ascii="Calibri" w:hAnsi="Calibri"/>
                <w:color w:val="2D3748"/>
                <w:sz w:val="18"/>
              </w:rPr>
              <w:t>—</w:t>
            </w:r>
          </w:p>
        </w:tc>
        <w:tc>
          <w:tcPr>
            <w:tcW w:w="5472" w:type="dxa"/>
            <w:shd w:val="clear" w:color="auto" w:fill="FFFFFF"/>
          </w:tcPr>
          <w:p w14:paraId="36963AA5">
            <w:r>
              <w:rPr>
                <w:rFonts w:ascii="Calibri" w:hAnsi="Calibri"/>
                <w:color w:val="2D3748"/>
                <w:sz w:val="18"/>
              </w:rPr>
              <w:t>Subsequent versions to be tracked via Document Control (Section 0.1)</w:t>
            </w:r>
          </w:p>
        </w:tc>
      </w:tr>
    </w:tbl>
    <w:p w14:paraId="5D952544">
      <w:r>
        <w:br w:type="page"/>
      </w:r>
    </w:p>
    <w:p w14:paraId="5E4B9CAC">
      <w:pPr>
        <w:pStyle w:val="2"/>
        <w:pBdr>
          <w:bottom w:val="single" w:color="C49A2A" w:sz="12" w:space="6"/>
        </w:pBdr>
      </w:pPr>
      <w:r>
        <w:rPr>
          <w:rFonts w:ascii="Calibri" w:hAnsi="Calibri"/>
          <w:b/>
          <w:color w:val="1B3A5C"/>
          <w:sz w:val="44"/>
        </w:rPr>
        <w:t>Signatures &amp; Authorization</w:t>
      </w:r>
    </w:p>
    <w:p w14:paraId="0CDB5651">
      <w:r>
        <w:t>This Statement of Work, when executed by authorized representatives of both parties, constitutes a binding agreement. This SOW is governed by the terms of the Master Services Agreement (MSA) between the parties.</w:t>
      </w:r>
    </w:p>
    <w:p w14:paraId="20E2CFA8"/>
    <w:p w14:paraId="3B551B1B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For the Client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C49A2A" w:sz="12" w:space="0"/>
          <w:right w:val="none" w:color="auto" w:sz="0" w:space="0"/>
          <w:insideH w:val="dotted" w:color="CBD5E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20"/>
        <w:gridCol w:w="4320"/>
      </w:tblGrid>
      <w:tr w14:paraId="753416B1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6F41AAC7">
            <w:pPr>
              <w:jc w:val="center"/>
            </w:pPr>
            <w:r>
              <w:rPr>
                <w:rFonts w:ascii="Calibri" w:hAnsi="Calibri"/>
                <w:b/>
                <w:color w:val="1B3A5C"/>
                <w:sz w:val="20"/>
              </w:rPr>
              <w:t>Name:</w:t>
            </w:r>
          </w:p>
        </w:tc>
        <w:tc>
          <w:tcPr>
            <w:tcW w:w="4320" w:type="dxa"/>
            <w:shd w:val="clear" w:color="auto" w:fill="FFFFFF"/>
          </w:tcPr>
          <w:p w14:paraId="6D316987">
            <w:pPr>
              <w:jc w:val="center"/>
            </w:pPr>
          </w:p>
        </w:tc>
      </w:tr>
      <w:tr w14:paraId="5D37E6DA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7E576B5E">
            <w:r>
              <w:rPr>
                <w:rFonts w:ascii="Calibri" w:hAnsi="Calibri"/>
                <w:b/>
                <w:color w:val="1B3A5C"/>
                <w:sz w:val="20"/>
              </w:rPr>
              <w:t>Title:</w:t>
            </w:r>
          </w:p>
        </w:tc>
        <w:tc>
          <w:tcPr>
            <w:tcW w:w="4320" w:type="dxa"/>
            <w:shd w:val="clear" w:color="auto" w:fill="FFFFFF"/>
          </w:tcPr>
          <w:p w14:paraId="2E5AD9B5"/>
        </w:tc>
      </w:tr>
      <w:tr w14:paraId="10B8D8D6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527ECF21">
            <w:r>
              <w:rPr>
                <w:rFonts w:ascii="Calibri" w:hAnsi="Calibri"/>
                <w:b/>
                <w:color w:val="1B3A5C"/>
                <w:sz w:val="20"/>
              </w:rPr>
              <w:t>Signature:</w:t>
            </w:r>
          </w:p>
        </w:tc>
        <w:tc>
          <w:tcPr>
            <w:tcW w:w="4320" w:type="dxa"/>
            <w:shd w:val="clear" w:color="auto" w:fill="FFFFFF"/>
          </w:tcPr>
          <w:p w14:paraId="0E64D901"/>
        </w:tc>
      </w:tr>
      <w:tr w14:paraId="54824EDC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71913547">
            <w:r>
              <w:rPr>
                <w:rFonts w:ascii="Calibri" w:hAnsi="Calibri"/>
                <w:b/>
                <w:color w:val="1B3A5C"/>
                <w:sz w:val="20"/>
              </w:rPr>
              <w:t>Date:</w:t>
            </w:r>
          </w:p>
        </w:tc>
        <w:tc>
          <w:tcPr>
            <w:tcW w:w="4320" w:type="dxa"/>
            <w:shd w:val="clear" w:color="auto" w:fill="FFFFFF"/>
          </w:tcPr>
          <w:p w14:paraId="661D23B0"/>
        </w:tc>
      </w:tr>
    </w:tbl>
    <w:p w14:paraId="39E28C00"/>
    <w:p w14:paraId="55065CF4">
      <w:pPr>
        <w:pStyle w:val="3"/>
        <w:pBdr>
          <w:left w:val="single" w:color="0D7377" w:sz="24" w:space="8"/>
        </w:pBdr>
      </w:pPr>
      <w:r>
        <w:rPr>
          <w:rFonts w:ascii="Calibri" w:hAnsi="Calibri"/>
          <w:b/>
          <w:color w:val="0D7377"/>
          <w:sz w:val="28"/>
        </w:rPr>
        <w:t>For TGWT Solutions Private Limited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C49A2A" w:sz="12" w:space="0"/>
          <w:right w:val="none" w:color="auto" w:sz="0" w:space="0"/>
          <w:insideH w:val="dotted" w:color="CBD5E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20"/>
        <w:gridCol w:w="4320"/>
      </w:tblGrid>
      <w:tr w14:paraId="6A2BA617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43EFEEE6">
            <w:pPr>
              <w:jc w:val="center"/>
            </w:pPr>
            <w:r>
              <w:rPr>
                <w:rFonts w:ascii="Calibri" w:hAnsi="Calibri"/>
                <w:b/>
                <w:color w:val="1B3A5C"/>
                <w:sz w:val="20"/>
              </w:rPr>
              <w:t>Name:</w:t>
            </w:r>
          </w:p>
        </w:tc>
        <w:tc>
          <w:tcPr>
            <w:tcW w:w="4320" w:type="dxa"/>
            <w:shd w:val="clear" w:color="auto" w:fill="FFFFFF"/>
          </w:tcPr>
          <w:p w14:paraId="443E8043">
            <w:pPr>
              <w:jc w:val="center"/>
            </w:pPr>
          </w:p>
        </w:tc>
      </w:tr>
      <w:tr w14:paraId="4FA4E10F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221559A1">
            <w:r>
              <w:rPr>
                <w:rFonts w:ascii="Calibri" w:hAnsi="Calibri"/>
                <w:b/>
                <w:color w:val="1B3A5C"/>
                <w:sz w:val="20"/>
              </w:rPr>
              <w:t>Title:</w:t>
            </w:r>
          </w:p>
        </w:tc>
        <w:tc>
          <w:tcPr>
            <w:tcW w:w="4320" w:type="dxa"/>
            <w:shd w:val="clear" w:color="auto" w:fill="FFFFFF"/>
          </w:tcPr>
          <w:p w14:paraId="3993AA77"/>
        </w:tc>
      </w:tr>
      <w:tr w14:paraId="6D6B1405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17FAE061">
            <w:r>
              <w:rPr>
                <w:rFonts w:ascii="Calibri" w:hAnsi="Calibri"/>
                <w:b/>
                <w:color w:val="1B3A5C"/>
                <w:sz w:val="20"/>
              </w:rPr>
              <w:t>Signature:</w:t>
            </w:r>
          </w:p>
        </w:tc>
        <w:tc>
          <w:tcPr>
            <w:tcW w:w="4320" w:type="dxa"/>
            <w:shd w:val="clear" w:color="auto" w:fill="FFFFFF"/>
          </w:tcPr>
          <w:p w14:paraId="5B0FE32A"/>
        </w:tc>
      </w:tr>
      <w:tr w14:paraId="66B26D49">
        <w:trPr>
          <w:trHeight w:val="500" w:hRule="atLeast"/>
        </w:trPr>
        <w:tc>
          <w:tcPr>
            <w:tcW w:w="4320" w:type="dxa"/>
            <w:shd w:val="clear" w:color="auto" w:fill="F7FAFC"/>
          </w:tcPr>
          <w:p w14:paraId="5746B7FC">
            <w:r>
              <w:rPr>
                <w:rFonts w:ascii="Calibri" w:hAnsi="Calibri"/>
                <w:b/>
                <w:color w:val="1B3A5C"/>
                <w:sz w:val="20"/>
              </w:rPr>
              <w:t>Date:</w:t>
            </w:r>
          </w:p>
        </w:tc>
        <w:tc>
          <w:tcPr>
            <w:tcW w:w="4320" w:type="dxa"/>
            <w:shd w:val="clear" w:color="auto" w:fill="FFFFFF"/>
          </w:tcPr>
          <w:p w14:paraId="5C9E41D9"/>
        </w:tc>
      </w:tr>
    </w:tbl>
    <w:p w14:paraId="7FA37960"/>
    <w:p w14:paraId="210425C4">
      <w:pPr>
        <w:pBdr>
          <w:top w:val="single" w:color="C49A2A" w:sz="12" w:space="8"/>
          <w:bottom w:val="single" w:color="C49A2A" w:sz="12" w:space="8"/>
        </w:pBdr>
        <w:jc w:val="center"/>
      </w:pPr>
      <w:r>
        <w:rPr>
          <w:b/>
          <w:color w:val="1B3A5C"/>
          <w:spacing w:val="80"/>
          <w:sz w:val="28"/>
        </w:rPr>
        <w:t>— End of Document —</w:t>
      </w:r>
    </w:p>
    <w:p w14:paraId="17D3A3D6"/>
    <w:p w14:paraId="5B9E1ACD">
      <w:pPr>
        <w:jc w:val="center"/>
      </w:pPr>
      <w:r>
        <w:rPr>
          <w:color w:val="6B7280"/>
          <w:sz w:val="16"/>
        </w:rPr>
        <w:t>TGWT-HMS-SOW-2026-001 | Confidential</w:t>
      </w:r>
    </w:p>
    <w:sectPr>
      <w:headerReference r:id="rId5" w:type="default"/>
      <w:footerReference r:id="rId6" w:type="default"/>
      <w:pgSz w:w="12240" w:h="15840"/>
      <w:pgMar w:top="1134" w:right="1417" w:bottom="1134" w:left="1417" w:header="72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83997">
    <w:pPr>
      <w:pBdr>
        <w:top w:val="single" w:color="E2E8F0" w:sz="6" w:space="6"/>
      </w:pBdr>
      <w:jc w:val="center"/>
    </w:pPr>
    <w:r>
      <w:rPr>
        <w:rFonts w:ascii="Calibri" w:hAnsi="Calibri"/>
        <w:b/>
        <w:color w:val="C49A2A"/>
        <w:spacing w:val="60"/>
        <w:sz w:val="14"/>
      </w:rPr>
      <w:t>CONFIDENTIAL</w:t>
    </w:r>
    <w:r>
      <w:rPr>
        <w:rFonts w:ascii="Calibri" w:hAnsi="Calibri"/>
        <w:color w:val="CBD5E0"/>
        <w:sz w:val="14"/>
      </w:rPr>
      <w:t xml:space="preserve">  |  </w:t>
    </w:r>
    <w:r>
      <w:rPr>
        <w:rFonts w:ascii="Calibri" w:hAnsi="Calibri"/>
        <w:color w:val="718096"/>
        <w:sz w:val="14"/>
      </w:rPr>
      <w:t xml:space="preserve">Page </w:t>
    </w:r>
    <w:r>
      <w:rPr>
        <w:color w:val="718096"/>
        <w:sz w:val="8"/>
        <w:szCs w:val="16"/>
      </w:rPr>
      <w:fldChar w:fldCharType="begin"/>
    </w:r>
    <w:r>
      <w:rPr>
        <w:sz w:val="15"/>
        <w:szCs w:val="16"/>
      </w:rPr>
      <w:instrText xml:space="preserve"> PAGE </w:instrText>
    </w:r>
    <w:r>
      <w:rPr>
        <w:sz w:val="15"/>
        <w:szCs w:val="16"/>
      </w:rPr>
      <w:fldChar w:fldCharType="end"/>
    </w:r>
    <w:r>
      <w:rPr>
        <w:rFonts w:ascii="Calibri" w:hAnsi="Calibri"/>
        <w:color w:val="718096"/>
        <w:sz w:val="14"/>
      </w:rPr>
      <w:t xml:space="preserve"> of </w:t>
    </w:r>
    <w:r>
      <w:rPr>
        <w:sz w:val="15"/>
        <w:szCs w:val="16"/>
      </w:rPr>
      <w:fldChar w:fldCharType="begin"/>
    </w:r>
    <w:r>
      <w:rPr>
        <w:sz w:val="15"/>
        <w:szCs w:val="16"/>
      </w:rPr>
      <w:instrText xml:space="preserve"> NUMPAGES </w:instrText>
    </w:r>
    <w:r>
      <w:rPr>
        <w:sz w:val="15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2D646">
    <w:pPr>
      <w:pBdr>
        <w:bottom w:val="single" w:color="E2E8F0" w:sz="6" w:space="4"/>
      </w:pBdr>
      <w:jc w:val="left"/>
    </w:pPr>
    <w:r>
      <w:rPr>
        <w:rFonts w:ascii="Calibri" w:hAnsi="Calibri"/>
        <w:b/>
        <w:color w:val="1B3A5C"/>
        <w:sz w:val="16"/>
      </w:rPr>
      <w:t>TGWT Solutions</w:t>
    </w:r>
    <w:r>
      <w:rPr>
        <w:rFonts w:ascii="Calibri" w:hAnsi="Calibri"/>
        <w:color w:val="CBD5E0"/>
        <w:sz w:val="16"/>
      </w:rPr>
      <w:t xml:space="preserve">  |  </w:t>
    </w:r>
    <w:r>
      <w:rPr>
        <w:rFonts w:ascii="Calibri" w:hAnsi="Calibri"/>
        <w:color w:val="718096"/>
        <w:sz w:val="16"/>
      </w:rPr>
      <w:t>HMS Enterprise SOW</w:t>
    </w:r>
    <w:r>
      <w:rPr>
        <w:rFonts w:ascii="Calibri" w:hAnsi="Calibri"/>
        <w:color w:val="A0AEC0"/>
        <w:sz w:val="14"/>
      </w:rPr>
      <w:tab/>
    </w:r>
    <w:r>
      <w:rPr>
        <w:rFonts w:ascii="Calibri" w:hAnsi="Calibri"/>
        <w:color w:val="A0AEC0"/>
        <w:sz w:val="14"/>
      </w:rPr>
      <w:tab/>
    </w:r>
    <w:r>
      <w:rPr>
        <w:rFonts w:ascii="Calibri" w:hAnsi="Calibri"/>
        <w:color w:val="A0AEC0"/>
        <w:sz w:val="14"/>
      </w:rPr>
      <w:t>TGWT-HMS-SOW-2026-001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FD180"/>
    <w:rsid w:val="4EBDE98C"/>
    <w:rsid w:val="4FDB059C"/>
    <w:rsid w:val="6FFBE54E"/>
    <w:rsid w:val="7873B129"/>
    <w:rsid w:val="7BFF5476"/>
    <w:rsid w:val="7FDE2C49"/>
    <w:rsid w:val="BBBFEC8B"/>
    <w:rsid w:val="F9FDEF78"/>
    <w:rsid w:val="FD452FA4"/>
    <w:rsid w:val="FDAAE5F2"/>
    <w:rsid w:val="FF0DF0A4"/>
    <w:rsid w:val="FF3DBE8F"/>
    <w:rsid w:val="FFBF8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Theme="minorEastAsia" w:cstheme="minorBidi"/>
      <w:color w:val="2D3748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pBdr>
        <w:bottom w:val="single" w:color="C49A2A" w:sz="12" w:space="4"/>
      </w:pBdr>
      <w:spacing w:before="480" w:after="160"/>
      <w:outlineLvl w:val="0"/>
    </w:pPr>
    <w:rPr>
      <w:rFonts w:asciiTheme="majorHAnsi" w:hAnsiTheme="majorHAnsi" w:eastAsiaTheme="majorEastAsia" w:cstheme="majorBidi"/>
      <w:b/>
      <w:bCs/>
      <w:color w:val="1B3A5C"/>
      <w:sz w:val="4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pBdr>
        <w:left w:val="single" w:color="0D7377" w:sz="24" w:space="8"/>
      </w:pBdr>
      <w:spacing w:before="360" w:after="120"/>
      <w:ind w:left="170"/>
      <w:outlineLvl w:val="1"/>
    </w:pPr>
    <w:rPr>
      <w:rFonts w:asciiTheme="majorHAnsi" w:hAnsiTheme="majorHAnsi" w:eastAsiaTheme="majorEastAsia" w:cstheme="majorBidi"/>
      <w:b/>
      <w:bCs/>
      <w:color w:val="0D7377"/>
      <w:sz w:val="3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80" w:after="80"/>
      <w:outlineLvl w:val="2"/>
    </w:pPr>
    <w:rPr>
      <w:rFonts w:asciiTheme="majorHAnsi" w:hAnsiTheme="majorHAnsi" w:eastAsiaTheme="majorEastAsia" w:cstheme="majorBidi"/>
      <w:b/>
      <w:bCs/>
      <w:color w:val="2D374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bCs/>
      <w:i/>
      <w:iCs/>
      <w:color w:val="2C5282"/>
      <w:sz w:val="26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60" w:line="288" w:lineRule="auto"/>
      <w:contextualSpacing/>
    </w:pPr>
    <w:rPr>
      <w:rFonts w:ascii="Calibri" w:hAnsi="Calibri"/>
      <w:color w:val="2D3748"/>
      <w:sz w:val="2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google1598606780</cp:lastModifiedBy>
  <dcterms:modified xsi:type="dcterms:W3CDTF">2026-03-10T10:10:42Z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8D163B057E53002F9C91AF69CBE13049_42</vt:lpwstr>
  </property>
</Properties>
</file>