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56"/>
          <w:szCs w:val="56"/>
          <w:rtl w:val="0"/>
        </w:rPr>
        <w:t xml:space="preserve">HOSPITAL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32"/>
          <w:szCs w:val="32"/>
          <w:rtl w:val="0"/>
        </w:rPr>
        <w:t xml:space="preserve">Technical System Design (TSD)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e87722" w:space="0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before="60" w:lineRule="auto"/>
        <w:jc w:val="center"/>
        <w:rPr>
          <w:rFonts w:ascii="Arial" w:cs="Arial" w:eastAsia="Arial" w:hAnsi="Arial"/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Multi-Tenant Architecture  |  RBAC Engine  |  Microservices  |  ABDM Integration</w:t>
      </w:r>
    </w:p>
    <w:p w:rsidR="00000000" w:rsidDel="00000000" w:rsidP="00000000" w:rsidRDefault="00000000" w:rsidRPr="00000000" w14:paraId="00000009">
      <w:pPr>
        <w:spacing w:after="300" w:before="60" w:lineRule="auto"/>
        <w:jc w:val="center"/>
        <w:rPr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10" w:tblpY="232.226562500000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cccccc" w:space="0" w:sz="4" w:val="single"/>
              <w:bottom w:color="1b2a4a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HMS-TSD-2026-001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cccccc" w:space="0" w:sz="4" w:val="single"/>
              <w:bottom w:color="1b2a4a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cccccc" w:space="0" w:sz="4" w:val="single"/>
              <w:bottom w:color="1b2a4a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March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cccccc" w:space="0" w:sz="4" w:val="single"/>
              <w:bottom w:color="1b2a4a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Ashish Kumar Satyam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TechDigital WishTree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HMS-PRD-2026-001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1.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1.1 Architectural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HMS Pro is designed as a cloud-native, multi-tenant SaaS platform built on a modular microservices architecture. Each functional domain (Clinical, Billing, Pharmacy, Lab, RBAC, Tenant Management) is an independently deployable service communicating over well-defined APIs and an asynchronous event bus. This separation enables independent scaling, isolated failure domains, and phased feature delivery without full platform redeployment.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1.2 High-Level Architecture Layers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360"/>
        <w:tblGridChange w:id="0">
          <w:tblGrid>
            <w:gridCol w:w="2000"/>
            <w:gridCol w:w="4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Client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React Web App, React Native Mobile App, Patient Portal 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UI rendering, offline support, push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API Gateway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Kong / AWS API Gateway, Rate Limiter, JWT Validator, Tenant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Auth enforcement, tenant routing, rate limiting, request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Application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NestJS Microservices: Clinical, Billing, Pharmacy, Lab, RBAC, Tenant, Notification,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Business logic, domain operations, event emission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PostgreSQL (per-tenant schema), Redis (cache/sessions), AWS S3 (files)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Persistent storage, caching, file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Messaging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RabbitMQ / AWS SQS + SNS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Async event processing: lab alerts, billing events,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Python FastAPI service + Claude API (claude-sonnet-4-6)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Discharge summaries, drug interaction checks, analytics narratives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Infrastructure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AWS/Azure, Kubernetes (EKS/AKS), Docker, Terraform IaC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Container orchestration, auto-scaling, infra provisioning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Observability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Prometheus + Grafana, ELK Stack, Sentry, PagerDuty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Metrics, log aggregation, error tracking, alerting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1.3 Key Architectural Decisions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Choice 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Tenancy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Hybrid: Shared DB / Dedicated Schema / Dedicated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Cost-efficient for small tenants; full isolation for enterprise; upgrade path built-in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NestJS (TypeScript) Microservices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Strong DI system, decorator-based architecture, team expertise, built-in module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PostgreSQL with schema-per-tenant + Row-Level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ACID compliance, RLS for defense-in-depth, native JSON support for EMR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Inter-service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Sync: REST/gRPC | Async: RabbitMQ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REST for user-facing flows; async events for non-blocking operations (alerts, billing)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RBAC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Custom microservice + PostgreSQL permission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Field-level granularity not achievable with off-the-shelf solutions; full customization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Anthropic Claude API (claude-sonnet-4-6)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Best-in-class clinical language understanding; proven in enterprise; TechDigital WishTree existing expertise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Kubernetes on AWS EKS (primary) + Azure AKS (DR)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Portability, auto-scaling, zero-downtime deployments via rolling updates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0d6e6e" w:space="0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2. Multi-Tenant Architecture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2.1 Tenancy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The platform uses a three-tier tenancy model based on client size and SLA requirements: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000"/>
        <w:gridCol w:w="1700"/>
        <w:gridCol w:w="1660"/>
        <w:tblGridChange w:id="0">
          <w:tblGrid>
            <w:gridCol w:w="1800"/>
            <w:gridCol w:w="2200"/>
            <w:gridCol w:w="2000"/>
            <w:gridCol w:w="17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Target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DB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Starter (&lt; 5 users)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Shared schema + tenant_id column + 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Logical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Dedicated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Growth / 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Separate schema within shared PostgreSQL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Schema-level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Growth,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Dedicated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Enterprise /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Isolated PostgreSQL instance on dedicated VMs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7700"/>
                <w:sz w:val="18"/>
                <w:szCs w:val="18"/>
                <w:rtl w:val="0"/>
              </w:rPr>
              <w:t xml:space="preserve">Full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2.2 Tenant Routing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Every request is routed to the correct tenant context before reaching application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Client accesses platform via tenant subdomain: apollo-indore.hmspro.in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-178959515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DNS resolves to AWS CloudFront → API Gateway</w:t>
          </w:r>
        </w:sdtContent>
      </w:sdt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-81008323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API Gateway extracts subdomain → looks up Tenant Registry → injects tenant_id into request context header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All downstream microservices read tenant_id from context header — never from request body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Database connection pool resolves the correct schema based on tenant_id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Redis cache keys are always prefixed with tenant_id: {tenant_id}:{resource}:{id}</w:t>
      </w:r>
    </w:p>
    <w:p w:rsidR="00000000" w:rsidDel="00000000" w:rsidP="00000000" w:rsidRDefault="00000000" w:rsidRPr="00000000" w14:paraId="0000007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2.3 Tenant Provisioning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2d91"/>
          <w:sz w:val="20"/>
          <w:szCs w:val="20"/>
          <w:rtl w:val="0"/>
        </w:rPr>
        <w:t xml:space="preserve">Step-by-step provisioning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Super admin initiates tenant creation via TechDigital WishTree Admin Console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Tenant Service creates record in master tenant registry (tenant_id, subdomain, tier, status)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Database provisioner runs: CREATE SCHEMA tenant_{id}; applies base migration scripts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Row-Level Security policies applied: CREATE POLICY tenant_isolation ON patients USING (tenant_id = current_setting('app.tenant_id')::uuid)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Default admin user created; welcome email + temporary password dispatched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DNS CNAME record auto-created for tenant subdomain via Route53 / Azure DNS API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Tenant status set to ACTIVE; provisioning time target &lt; 5 minutes end-to-end</w:t>
      </w:r>
    </w:p>
    <w:p w:rsidR="00000000" w:rsidDel="00000000" w:rsidP="00000000" w:rsidRDefault="00000000" w:rsidRPr="00000000" w14:paraId="0000008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2.4 Data Isolation — Defense in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Data isolation is enforced at three independent layers (not just application logic):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4360"/>
        <w:tblGridChange w:id="0">
          <w:tblGrid>
            <w:gridCol w:w="1800"/>
            <w:gridCol w:w="3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It Prevents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JWT contains tenant_id claim; gateway validates on every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Cross-tenant API calls via token manipulation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Middleware sets PostgreSQL session variable: SET app.tenant_id = '{id}'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Application-level cross-tenant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Database (RLS)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RLS policy on every table enforces tenant_id match at query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Raw DB access bypass; SQL injection cross-tenant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S3 bucket prefixed per tenant: s3://hms-prod/{tenant_id}/...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Cross-tenant file access via presigned URL manipulation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0d6e6e" w:space="0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3. RBAC Engine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3.1 Permission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The RBAC engine uses a three-dimensional permission model: Resource × Action × Field. This enables granular control not possible with traditional role-based systems.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4560"/>
        <w:tblGridChange w:id="0">
          <w:tblGrid>
            <w:gridCol w:w="2000"/>
            <w:gridCol w:w="2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Patient, Prescription, Invoice, Lab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The entity being accessed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CREATE, READ, UPDATE, DELETE, APPROVE, PRINT,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The operation being performed on the resource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prescription.drug_name, patient.mobile, invoice.amount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Specific field within a resource (for field-level control)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3.2 Database Schema — RBAC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2d91"/>
          <w:sz w:val="20"/>
          <w:szCs w:val="20"/>
          <w:rtl w:val="0"/>
        </w:rPr>
        <w:t xml:space="preserve">Core permission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-- Roles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CREATE TABLE 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id          UUID PRIMARY KEY DEFAULT 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tenant_id   UUID NOT NULL REFERENCES tenants(id),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name       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level       SMALLINT NOT NULL,   -- 0=SuperAdmin .. 7=Patient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parent_role UUID REFERENCES roles(id),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is_system   BOOLEAN DEFAULT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created_at  TIMESTAMPTZ DEFAULT 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-- Permissions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CREATE TABLE permissions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id          UUID PRIMARY KEY DEFAULT 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resource    VARCHAR(100) NOT NULL,  -- e.g. 'prescription'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action      VARCHAR(50)  NOT NULL,  -- e.g. 'UPDATE'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field       VARCHAR(100),           -- NULL = entire 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description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-- Role-Permission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CREATE TABLE role_permissions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role_id       UUID REFERENCES roles(id),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permission_id UUID REFERENCES permissions(id),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effect        VARCHAR(10) DEFAULT 'ALLOW', -- ALLOW | DENY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PRIMARY KEY (role_id, permission_id)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-- User-Role assignment (user can have multiple roles)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CREATE TABLE user_roles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user_id    UUID REFERENCES users(id),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role_id    UUID REFERENCES roles(id),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branch_id  UUID,   -- NULL = all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dept_id    UUID,   -- NULL = all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valid_from TIMESTAMPTZ, valid_until TIMESTAMPTZ,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  PRIMARY KEY (user_id, 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0f0f0" w:val="clear"/>
        <w:spacing w:after="30" w:before="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a1a2e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3.3 Permission Resolution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Permission resolution follows a three-step cascade on every API call: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2d91"/>
          <w:sz w:val="20"/>
          <w:szCs w:val="20"/>
          <w:rtl w:val="0"/>
        </w:rPr>
        <w:t xml:space="preserve">Step 1 — Collect effective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Fetch all roles assigned to the user for the current tenant + branch + department context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Traverse role hierarchy: child role inherits all ALLOW permissions from parent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Collect DENY entries — DENY always overrides ALLOW at any level</w:t>
      </w:r>
    </w:p>
    <w:p w:rsidR="00000000" w:rsidDel="00000000" w:rsidP="00000000" w:rsidRDefault="00000000" w:rsidRPr="00000000" w14:paraId="000000D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2d91"/>
          <w:sz w:val="20"/>
          <w:szCs w:val="20"/>
          <w:rtl w:val="0"/>
        </w:rPr>
        <w:t xml:space="preserve">Step 2 — Evaluate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Extract: resource, action, and (if applicable) field from the incoming API request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-198328271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Check permission set: if explicit DENY exists → reject immediately with 403</w:t>
          </w:r>
        </w:sdtContent>
      </w:sdt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47073625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If explicit ALLOW exists → proceed</w:t>
          </w:r>
        </w:sdtContent>
      </w:sdt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-170214341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If neither → default DENY (fail-closed security posture)</w:t>
          </w:r>
        </w:sdtContent>
      </w:sdt>
    </w:p>
    <w:p w:rsidR="00000000" w:rsidDel="00000000" w:rsidP="00000000" w:rsidRDefault="00000000" w:rsidRPr="00000000" w14:paraId="000000E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2d91"/>
          <w:sz w:val="20"/>
          <w:szCs w:val="20"/>
          <w:rtl w:val="0"/>
        </w:rPr>
        <w:t xml:space="preserve">Step 3 — Field masking (for READ operations)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For READ: fetch field-level permissions for the resource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89497309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Any field with no ALLOW → stripped from API response before serialization</w:t>
          </w:r>
        </w:sdtContent>
      </w:sdt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Client receives only the fields the role is permitted to see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This masking occurs in the API Gateway response interceptor — not in individual service logic</w:t>
      </w:r>
    </w:p>
    <w:p w:rsidR="00000000" w:rsidDel="00000000" w:rsidP="00000000" w:rsidRDefault="00000000" w:rsidRPr="00000000" w14:paraId="000000E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3.4 RBAC Caching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Effective permission set per user computed on login and cached in Redis: key = rbac:{tenant_id}:{user_id}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Cache TTL: 15 minutes for clinical roles; 60 minutes for admin roles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On role/permission change by admin: targeted cache invalidation via pub/sub message to RBAC service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Cache miss: permission recomputed from DB in &lt; 50ms; result cached before returning</w:t>
      </w:r>
    </w:p>
    <w:p w:rsidR="00000000" w:rsidDel="00000000" w:rsidP="00000000" w:rsidRDefault="00000000" w:rsidRPr="00000000" w14:paraId="000000E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0d6e6e" w:space="0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4. Microservices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4.1 Service Inventory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2200"/>
        <w:gridCol w:w="3560"/>
        <w:tblGridChange w:id="0">
          <w:tblGrid>
            <w:gridCol w:w="2000"/>
            <w:gridCol w:w="1600"/>
            <w:gridCol w:w="22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tenant-service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NestJS +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Tenant lifecycle, provisioning, config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auth-service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NestJS + Keycloak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Authentication, JWT issuance, session management,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rbac-service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NestJS + PostgreSQL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Role/permission CRUD, permission resolution engine, field masking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patient-service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NestJS +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Patient master, UHID management, ABHA linking, demographics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clinical-service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NestJS +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OPD, IPD, EMR, ward rounds, discharge summaries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billing-service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NestJS +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Bill generation, GST, TPA claims, advance 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pharmacy-service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NestJS +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Drug dispensing, inventory, expiry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lab-service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NestJS +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LIMS: test orders, sample tracking, results,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notification-service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NestJS + RabbitMQ + WhatsApp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SMS, WhatsApp, email, push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ai-service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Python + FastAPI + Claude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Discharge summaries, drug interactions, analytics narratives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report-service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NestJS + Puppeteer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PDF generation: bills, lab reports, prescriptions, discharge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abdm-service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NestJS + NHA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ABHA ID operations, HIE record sharing, HFR/HPR sync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4.2 API Gateway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2d91"/>
          <w:sz w:val="20"/>
          <w:szCs w:val="20"/>
          <w:rtl w:val="0"/>
        </w:rPr>
        <w:t xml:space="preserve">Responsibilities of the API Gateway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Route resolution: maps incoming request path + subdomain to target microservice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JWT validation: verifies token signature, expiry, and tenant_id claim on every request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Rate limiting: per-tenant (500 req/min for Starter; 5,000 req/min for Enterprise)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Request logging: every request logged with tenant_id, user_id, endpoint, latency, status code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CORS: allowed origins configured per tenant (tenant subdomain whitelist)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Response field masking: RBAC service result applied to filter fields from downstream responses</w:t>
      </w:r>
    </w:p>
    <w:p w:rsidR="00000000" w:rsidDel="00000000" w:rsidP="00000000" w:rsidRDefault="00000000" w:rsidRPr="00000000" w14:paraId="000001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4.3 Event-Driven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Non-blocking operations use RabbitMQ events. Each service publishes domain events consumed by relevant subscribers: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4360"/>
        <w:tblGridChange w:id="0">
          <w:tblGrid>
            <w:gridCol w:w="2800"/>
            <w:gridCol w:w="2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Subscribers &amp;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patient.admitted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clinical-service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billing-service (start room charge), notification-service (family SMS)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lab.result.critical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lab-service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notification-service (WhatsApp alert to doctor), clinical-service (flag on patient record)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prescription.finalized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clinical-service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pharmacy-service (stock reservation), notification-service (patient prescription delivery)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patient.discharged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clinical-service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billing-service (finalize bill), ai-service (draft discharge summary), abdm-service (push to HIE)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invoice.paid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billing-service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notification-service (payment receipt to patient), report-service (generate receipt PDF)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drug.expiry.alert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pharmacy-service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notification-service (alert to pharmacy head + purchase team)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bed.status.changed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clinical-service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housekeeping-service (cleaning task), real-time dashboard update via WebSocket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bottom w:color="0d6e6e" w:space="0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5.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5.1 Core Entity Relationship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The following tables form the core data model. Each table exists within the tenant's isolated schema (tenant_{id}.*) unless marked as Global (in public schema).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500"/>
        <w:gridCol w:w="3460"/>
        <w:tblGridChange w:id="0">
          <w:tblGrid>
            <w:gridCol w:w="2000"/>
            <w:gridCol w:w="1400"/>
            <w:gridCol w:w="25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Primary Key /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id UUID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subdomain, tier, status, db_schema,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id UUID PK, tenant_id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email, mobile, full_name, status, last_login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id UUID PK, 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uhid, abha_id, full_name, dob, gender, mobile, blood_group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id UUID, patient_id FK, doctor_id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scheduled_at, type, status, token_number, branch_id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consultations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id UUID, appointment_id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chief_complaint, soap_notes JSONB, icd10_codes[], vitals JSONB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prescriptions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id UUID, consultation_id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drugs JSONB[], status, signed_by, signed_at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admissions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id UUID, patient_id FK, bed_id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admitted_at, discharged_at, diagnosis, ward_id, attending_doctor_id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beds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id UUID, ward_id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bed_number, category, status, last_cleaned_at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lab_orders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id UUID, patient_id FK, ordered_by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tests JSONB[], sample_id, status, collected_at, resulted_at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id UUID, patient_id FK, admission_id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line_items JSONB[], subtotal, gst_amount, total, status, paid_at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drug_inventory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id UUID, drug_master_id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batch_no, expiry_date, quantity, branch_id, reorder_level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id UUID, user_id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table_name, record_id, action, old_value JSONB, new_value JSONB, ip_address,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5.2 JSONB Usage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JSONB columns are used for semi-structured clinical data that varies by specialty, enabling schema flexibility without EAV anti-patterns: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consultations.soap_notes JSONB — structure varies by specialty template; indexed for search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consultations.vitals JSONB — {bp_systolic, bp_diastolic, pulse, temperature, spo2, weight, height, bmi}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prescriptions.drugs JSONB[] — [{drug_id, name, dose, frequency, duration, instructions, interaction_flags}]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invoices.line_items JSONB[] — [{item_type, description, quantity, unit_price, gst_rate, gst_amount}]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GIN indexes created on all JSONB columns used in WHERE clauses or full-text search</w:t>
      </w:r>
    </w:p>
    <w:p w:rsidR="00000000" w:rsidDel="00000000" w:rsidP="00000000" w:rsidRDefault="00000000" w:rsidRPr="00000000" w14:paraId="0000019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5.3 Caching Strategy (Redis)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800"/>
        <w:gridCol w:w="1800"/>
        <w:gridCol w:w="1760"/>
        <w:tblGridChange w:id="0">
          <w:tblGrid>
            <w:gridCol w:w="3000"/>
            <w:gridCol w:w="2800"/>
            <w:gridCol w:w="1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Cache Key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{tenant}:rbac:{user_id}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Effective permission set (compressed)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15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On role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{tenant}:patient:{uhid}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Patient master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{tenant}:bed_map:{branch}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Live bed availability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60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On bed status change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{tenant}:token_queue:{doctor}:{date}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OPD token queue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On appointment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{tenant}:drug_stock:{branch}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Available stock summary per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10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On dispensing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session:{session_id}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User session + refresh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8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On logout / expiry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bottom w:color="0d6e6e" w:space="0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6. Security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6.1 Authentication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2d91"/>
          <w:sz w:val="20"/>
          <w:szCs w:val="20"/>
          <w:rtl w:val="0"/>
        </w:rPr>
        <w:t xml:space="preserve">Login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User submits credentials (email + password) to auth-service via HTTPS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auth-service validates against Keycloak identity provider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If MFA enabled (mandatory for L0–L2): OTP dispatched via SMS/WhatsApp; user submits OTP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On success: auth-service issues short-lived Access Token (15 min) + Refresh Token (8 hours)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Access Token payload: {user_id, tenant_id, roles[], branch_id, exp, iat}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Refresh Token stored in HttpOnly, Secure cookie (not accessible to JS — XSS protection)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Every subsequent API call: Access Token in Authorization header; API Gateway validates signature + expiry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188867950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On Access Token expiry: client calls /auth/refresh with Refresh Token cookie → new Access Token issued</w:t>
          </w:r>
        </w:sdtContent>
      </w:sdt>
    </w:p>
    <w:p w:rsidR="00000000" w:rsidDel="00000000" w:rsidP="00000000" w:rsidRDefault="00000000" w:rsidRPr="00000000" w14:paraId="000001D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6.2 Encryption Standards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Encryption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Data in transit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TLS 1.3 (minimum TLS 1.2)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AWS Certificate Manager / Azure Key Vault — auto-renewed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Data at rest (DB)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AES-256 — PostgreSQL TDE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AWS RDS encryption with KMS-managed keys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Files (S3)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AES-256 SSE-KMS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Per-tenant S3 bucket with dedicated KMS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Patient mobile / Aadhaar (PII)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Application-level AES-256 before DB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Encryption key stored in AWS Secrets Manager — rotated every 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Passwords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Argon2id hash (not MD5/SHA)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Salt generated per user — never stored in plaintext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WORM (Write Once Read Many) via S3 Object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Tamper-proof — cannot be modified or deleted by anyone including super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6.3 DPDP Act 2023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Consent module: explicit patient consent collected at registration for data processing purposes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Consent log: every consent event (grant/withdraw) stored with timestamp and IP address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Right to erasure: patient data anonymization workflow (not deletion — required for clinical records retention)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Data minimization: API responses return only fields required for the specific operation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Cross-border transfer: all patient data stored in AWS Mumbai / Azure India — no cross-border transfer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Data breach notification: automated incident detection + 72-hour notification workflow to CERT-IN</w:t>
      </w:r>
    </w:p>
    <w:p w:rsidR="00000000" w:rsidDel="00000000" w:rsidP="00000000" w:rsidRDefault="00000000" w:rsidRPr="00000000" w14:paraId="000001F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bottom w:color="0d6e6e" w:space="0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7. Infrastructure &amp;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7.1 Kubernetes Cluster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2d91"/>
          <w:sz w:val="20"/>
          <w:szCs w:val="20"/>
          <w:rtl w:val="0"/>
        </w:rPr>
        <w:t xml:space="preserve">Namespaces: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hms-platform — core platform services (tenant, auth, rbac, patient)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hms-clinical — clinical services (clinical, billing, pharmacy, lab)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hms-integrations — external integrations (abdm, notification, ai-service)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hms-monitoring — observability stack (Prometheus, Grafana, Loki)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hms-data — managed service proxies (PgBouncer connection pooler, Redis)</w:t>
      </w:r>
    </w:p>
    <w:p w:rsidR="00000000" w:rsidDel="00000000" w:rsidP="00000000" w:rsidRDefault="00000000" w:rsidRPr="00000000" w14:paraId="000002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2d91"/>
          <w:sz w:val="20"/>
          <w:szCs w:val="20"/>
          <w:rtl w:val="0"/>
        </w:rPr>
        <w:t xml:space="preserve">Auto-scaling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Horizontal Pod Autoscaler (HPA): min 2 replicas / max 20 per service; scales at 70% CPU or 80% memory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Cluster Autoscaler: node pool scales from 3 to 50 nodes based on pending pod pressure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Clinical services (clinical, billing) — higher minimum replicas (3) for availability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Notification and AI services — burstable, lower minimum (1) with rapid scale-up</w:t>
      </w:r>
    </w:p>
    <w:p w:rsidR="00000000" w:rsidDel="00000000" w:rsidP="00000000" w:rsidRDefault="00000000" w:rsidRPr="00000000" w14:paraId="000002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7.2 CI/CD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2d91"/>
          <w:sz w:val="20"/>
          <w:szCs w:val="20"/>
          <w:rtl w:val="0"/>
        </w:rPr>
        <w:t xml:space="preserve">Pipeline stages (GitHub Actions + ArgoCD):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43300407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Developer pushes to feature branch → GitHub Actions triggers</w:t>
          </w:r>
        </w:sdtContent>
      </w:sdt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Stage 1 — Code Quality: ESLint, Prettier, TypeScript type-check (fail-fast on errors)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Stage 2 — Unit Tests: Jest test suite; minimum 80% coverage gate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Stage 3 — Security Scan: Snyk dependency audit + Semgrep SAST scan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Stage 4 — Docker Build: multi-stage Dockerfile; image tagged with git SHA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Stage 5 — Integration Tests: spin up test DB + dependencies via Docker Compose; run API tests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Stage 6 — Push to ECR/ACR: image pushed to container registry on merge to main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Stage 7 — ArgoCD GitOps: Kubernetes manifests updated; ArgoCD detects drift and applies rolling update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Stage 8 — Smoke Tests: post-deployment health check; rollback triggered if health check fails</w:t>
      </w:r>
    </w:p>
    <w:p w:rsidR="00000000" w:rsidDel="00000000" w:rsidP="00000000" w:rsidRDefault="00000000" w:rsidRPr="00000000" w14:paraId="000002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7.3 Disaster Recovery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200"/>
        <w:gridCol w:w="2200"/>
        <w:gridCol w:w="2460"/>
        <w:tblGridChange w:id="0">
          <w:tblGrid>
            <w:gridCol w:w="2500"/>
            <w:gridCol w:w="2200"/>
            <w:gridCol w:w="220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Backup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RTO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RPO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PostgreSQL (per-tenant schemas)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Continuous WAL + daily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7700"/>
                <w:sz w:val="18"/>
                <w:szCs w:val="18"/>
                <w:rtl w:val="0"/>
              </w:rPr>
              <w:t xml:space="preserve">&lt; 30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&lt; 5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Redis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AOF persistence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7700"/>
                <w:sz w:val="18"/>
                <w:szCs w:val="18"/>
                <w:rtl w:val="0"/>
              </w:rPr>
              <w:t xml:space="preserve">&lt; 10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&lt; 1 minute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S3 Files (reports, DICOMs)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Cross-region replication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7700"/>
                <w:sz w:val="18"/>
                <w:szCs w:val="18"/>
                <w:rtl w:val="0"/>
              </w:rPr>
              <w:t xml:space="preserve">&lt; 15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Near-zero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Application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Multi-AZ pods; GitOps state in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7700"/>
                <w:sz w:val="18"/>
                <w:szCs w:val="18"/>
                <w:rtl w:val="0"/>
              </w:rPr>
              <w:t xml:space="preserve">&lt; 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Stateless — instant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bottom w:color="0d6e6e" w:space="0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8. AI Service Design (Claude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8.1 AI Service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The AI service is a Python FastAPI microservice that wraps Anthropic's Claude API (claude-sonnet-4-6). It is stateless and horizontally scalable. All patient data sent to Claude is de-identified at the service layer before transmission.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8.2 AI Use Cases — Phase 3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Discharge Summary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Diagnosis, procedures, medications, lab results, ward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Structured discharge summary draft in &lt; 10 seconds; doctor reviews and signs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Drug Interaction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Current prescription drug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Severity-flagged interaction warnings before prescription is finalized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Clinical Note Summarization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Multi-day ward round notes for an IPD 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Concise clinical summary for handover or referral letters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Revenue Analytics Narrative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Monthly revenue, occupancy, procedure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Plain-English management summary with trend highlights and anomaly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Prescription Language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English prescription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Patient-friendly instructions in Hindi or regional language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8.3 Data De-identification Before Claude API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Patient PII is never transmitted to Claude. The AI service applies the following de-identification before constructing Claude prompts: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53574122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Patient name → replaced with: [PATIENT]</w:t>
          </w:r>
        </w:sdtContent>
      </w:sdt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-187665477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ABHA ID / UHID → replaced with: [PATIENT_ID]</w:t>
          </w:r>
        </w:sdtContent>
      </w:sdt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-168359093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Mobile number / email → stripped entirely</w:t>
          </w:r>
        </w:sdtContent>
      </w:sdt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-147043871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Doctor name → replaced with: [CLINICIAN]</w:t>
          </w:r>
        </w:sdtContent>
      </w:sdt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-77209990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Hospital name → replaced with: [FACILITY]</w:t>
          </w:r>
        </w:sdtContent>
      </w:sdt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-55678225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Dates → relative offsets only (e.g., 'Day 3 of admission')</w:t>
          </w:r>
        </w:sdtContent>
      </w:sdt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Original values restored in the response after Claude processing using local mapping table (never sent to API)</w:t>
      </w:r>
    </w:p>
    <w:p w:rsidR="00000000" w:rsidDel="00000000" w:rsidP="00000000" w:rsidRDefault="00000000" w:rsidRPr="00000000" w14:paraId="0000024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bottom w:color="0d6e6e" w:space="0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9. ABDM Integration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9.1 ABDM Components Implemented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500"/>
        <w:gridCol w:w="2200"/>
        <w:gridCol w:w="2460"/>
        <w:tblGridChange w:id="0">
          <w:tblGrid>
            <w:gridCol w:w="2200"/>
            <w:gridCol w:w="2500"/>
            <w:gridCol w:w="220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API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ABHA ID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Generate unique health ID for new 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/v1/registration/aadhaar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ABHA Linking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Link existing ABHA to patient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/v1/profile/link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HFR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Register hospital on national facility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/v1/hfr/register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HPR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Verify doctor credentials on national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/v1/hpr/verify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Health Record Push (HIE)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Push FHIR-formatted records to HIE on discharge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/v1/health-records/push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PM-JAY Claim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Submit Ayushman Bharat claim to 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NHA Claims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9.2 FHIR Resource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Patient records are converted to HL7 FHIR R4 resources for HIE submission: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-90053398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Patient demographics → FHIR Patient resource</w:t>
          </w:r>
        </w:sdtContent>
      </w:sdt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86735563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Admission → FHIR Encounter resource</w:t>
          </w:r>
        </w:sdtContent>
      </w:sdt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176475065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Diagnosis → FHIR Condition resource (ICD-10 coded)</w:t>
          </w:r>
        </w:sdtContent>
      </w:sdt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-210092046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Prescription → FHIR MedicationRequest resource</w:t>
          </w:r>
        </w:sdtContent>
      </w:sdt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182159307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 results → FHIR DiagnosticReport + Observation resources</w:t>
          </w:r>
        </w:sdtContent>
      </w:sdt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600" w:right="0" w:hanging="300"/>
        <w:jc w:val="left"/>
        <w:rPr/>
      </w:pPr>
      <w:sdt>
        <w:sdtPr>
          <w:id w:val="20509307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Discharge summary → FHIR Composition (Clinical Document) resource</w:t>
          </w:r>
        </w:sdtContent>
      </w:sdt>
    </w:p>
    <w:p w:rsidR="00000000" w:rsidDel="00000000" w:rsidP="00000000" w:rsidRDefault="00000000" w:rsidRPr="00000000" w14:paraId="0000027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10. Observability &amp; SLA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10.1 Monitoring Stack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Metrics / Dashboards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Metrics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API latency histograms, pod CPU/memory, DB connection pool utilization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Metrics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Per-tenant request rate, error rate, SLA compliance dashboard, billing event 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ELK Stack (OpenSearch)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Log 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Structured logs from all services; security audit log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Application error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Frontend + backend exception tracking with stack trace; Slack alerts on new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PagerDuty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On-call alerting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sdt>
              <w:sdtPr>
                <w:id w:val="163952018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2e"/>
                    <w:sz w:val="18"/>
                    <w:szCs w:val="18"/>
                    <w:rtl w:val="0"/>
                  </w:rPr>
                  <w:t xml:space="preserve">Critical alerts (downtime, DB failure, security event) → on-call engineer paged within 2 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UptimeRobot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External uptime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Per-tenant subdomain health check every 60 seconds; SLA reporting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6"/>
          <w:szCs w:val="26"/>
          <w:rtl w:val="0"/>
        </w:rPr>
        <w:t xml:space="preserve">10.2 SLA Definitions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200"/>
        <w:gridCol w:w="2200"/>
        <w:gridCol w:w="1960"/>
        <w:tblGridChange w:id="0">
          <w:tblGrid>
            <w:gridCol w:w="3000"/>
            <w:gridCol w:w="2200"/>
            <w:gridCol w:w="22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SLA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Starter /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Platform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99.5%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7700"/>
                <w:sz w:val="18"/>
                <w:szCs w:val="18"/>
                <w:rtl w:val="0"/>
              </w:rPr>
              <w:t xml:space="preserve">99.9%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7700"/>
                <w:sz w:val="18"/>
                <w:szCs w:val="18"/>
                <w:rtl w:val="0"/>
              </w:rPr>
              <w:t xml:space="preserve">99.95%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Planned Maintenance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Sunday 2–4 AM 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Sunday 2–4 AM 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Negotiable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Critical Bug Fix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48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24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7700"/>
                <w:sz w:val="18"/>
                <w:szCs w:val="18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Support Response (P1)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8 business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7700"/>
                <w:sz w:val="18"/>
                <w:szCs w:val="18"/>
                <w:rtl w:val="0"/>
              </w:rPr>
              <w:t xml:space="preserve">1 hour (24x7)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Data Backup RPO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15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7700"/>
                <w:sz w:val="18"/>
                <w:szCs w:val="18"/>
                <w:rtl w:val="0"/>
              </w:rPr>
              <w:t xml:space="preserve">5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Bdr>
          <w:bottom w:color="e87722" w:space="0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6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2a4a"/>
          <w:sz w:val="20"/>
          <w:szCs w:val="20"/>
          <w:rtl w:val="0"/>
        </w:rPr>
        <w:t xml:space="preserve">End of Document — HMS Pro: Technical System Design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Ashish Kumar Satyam  |  TechDigital WishTree  |  March 2026  |  HMS-TSD-2026-001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1">
    <w:pPr>
      <w:pBdr>
        <w:top w:color="0d6e6e" w:space="0" w:sz="6" w:val="single"/>
      </w:pBdr>
      <w:tabs>
        <w:tab w:val="right" w:leader="none" w:pos="10080"/>
      </w:tabs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Confidential — TechDigital WishTree Internal </w:t>
    </w:r>
    <w:r w:rsidDel="00000000" w:rsidR="00000000" w:rsidRPr="00000000">
      <w:rPr>
        <w:color w:val="0d6e6e"/>
        <w:sz w:val="16"/>
        <w:szCs w:val="16"/>
        <w:rtl w:val="0"/>
      </w:rPr>
      <w:t xml:space="preserve">V</w:t>
    </w:r>
    <w:r w:rsidDel="00000000" w:rsidR="00000000" w:rsidRPr="00000000">
      <w:rPr>
        <w:rFonts w:ascii="Arial" w:cs="Arial" w:eastAsia="Arial" w:hAnsi="Arial"/>
        <w:color w:val="0d6e6e"/>
        <w:sz w:val="16"/>
        <w:szCs w:val="16"/>
        <w:rtl w:val="0"/>
      </w:rPr>
      <w:t xml:space="preserve">1.0  | 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pBdr>
        <w:bottom w:color="0d6e6e" w:space="0" w:sz="6" w:val="single"/>
      </w:pBdr>
      <w:tabs>
        <w:tab w:val="right" w:leader="none" w:pos="10080"/>
      </w:tabs>
      <w:spacing w:after="12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2a4a"/>
        <w:sz w:val="18"/>
        <w:szCs w:val="18"/>
        <w:rtl w:val="0"/>
      </w:rPr>
      <w:t xml:space="preserve">HMS Pro — Technical System Design  |  HMS-TSD-2026-001 |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TechDigital WishTree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b2a4a" w:space="0" w:sz="8" w:val="single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6e6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87722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i8frcPmgq7VAjqk14yScP5wyK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zgAciExYW9VY0gzWjVsdlQySnA0VzNBc2NsYzM2blpHS3U5R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2026-03-10T03:13:32.238Z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