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  <w:shd w:val="clear" w:color="auto" w:fill="0F2640"/>
      </w:pPr>
      <w:r>
        <w:rPr>
          <w:rFonts w:ascii="Calibri" w:hAnsi="Calibri"/>
          <w:b w:val="0"/>
          <w:i w:val="0"/>
          <w:color w:val="1A202C"/>
          <w:sz w:val="12"/>
        </w:rPr>
        <w:br/>
      </w:r>
      <w:r>
        <w:rPr>
          <w:rFonts w:ascii="Calibri" w:hAnsi="Calibri"/>
          <w:b/>
          <w:i w:val="0"/>
          <w:color w:val="FFFFFF"/>
          <w:sz w:val="20"/>
        </w:rPr>
        <w:t>TGWT SOLUTIONS PVT. LTD.</w:t>
      </w:r>
      <w:r>
        <w:rPr>
          <w:rFonts w:ascii="Calibri" w:hAnsi="Calibri"/>
          <w:b w:val="0"/>
          <w:i w:val="0"/>
          <w:color w:val="1A202C"/>
          <w:sz w:val="12"/>
        </w:rPr>
        <w:br/>
      </w:r>
    </w:p>
    <w:p/>
    <w:p/>
    <w:p>
      <w:pPr>
        <w:jc w:val="center"/>
      </w:pPr>
      <w:r>
        <w:rPr>
          <w:rFonts w:ascii="Calibri" w:hAnsi="Calibri"/>
          <w:b/>
          <w:i w:val="0"/>
          <w:color w:val="C49A2A"/>
          <w:sz w:val="18"/>
        </w:rPr>
        <w:t>CONFIDENTIAL  —  STRATEGIC PLANNING DOCUMENT</w:t>
      </w:r>
    </w:p>
    <w:p/>
    <w:p>
      <w:pPr>
        <w:jc w:val="center"/>
      </w:pPr>
      <w:r>
        <w:rPr>
          <w:rFonts w:ascii="Calibri" w:hAnsi="Calibri"/>
          <w:b/>
          <w:i w:val="0"/>
          <w:color w:val="1B3A5C"/>
          <w:sz w:val="88"/>
        </w:rPr>
        <w:t>HMS ENTERPRISE</w:t>
      </w:r>
    </w:p>
    <w:p>
      <w:pPr>
        <w:spacing w:before="0"/>
        <w:jc w:val="center"/>
      </w:pPr>
      <w:r>
        <w:rPr>
          <w:rFonts w:ascii="Calibri" w:hAnsi="Calibri"/>
          <w:b w:val="0"/>
          <w:i w:val="0"/>
          <w:color w:val="0D7377"/>
          <w:sz w:val="36"/>
        </w:rPr>
        <w:t>Hospital Management System</w:t>
      </w:r>
    </w:p>
    <w:p/>
    <w:p>
      <w:pPr>
        <w:jc w:val="center"/>
      </w:pPr>
      <w:r>
        <w:rPr>
          <w:rFonts w:ascii="Calibri" w:hAnsi="Calibri"/>
          <w:b/>
          <w:i w:val="0"/>
          <w:color w:val="7C3AED"/>
          <w:sz w:val="48"/>
        </w:rPr>
        <w:t>Deep Market Research,</w:t>
        <w:br/>
        <w:t>Gap Analysis &amp;</w:t>
        <w:br/>
        <w:t>AI/ML Innovation Roadmap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F7FAFC"/>
          </w:tcPr>
          <w:p>
            <w:r/>
            <w:r>
              <w:rPr>
                <w:rFonts w:ascii="Calibri" w:hAnsi="Calibri"/>
                <w:b/>
                <w:i w:val="0"/>
                <w:color w:val="718096"/>
                <w:sz w:val="18"/>
              </w:rPr>
              <w:t>Document ID</w:t>
            </w:r>
          </w:p>
        </w:tc>
        <w:tc>
          <w:tcPr>
            <w:tcW w:type="dxa" w:w="4535"/>
            <w:shd w:val="clear" w:color="auto" w:fill="F7FAFC"/>
          </w:tcPr>
          <w:p>
            <w:r/>
            <w:r>
              <w:rPr>
                <w:rFonts w:ascii="Calibri" w:hAnsi="Calibri"/>
                <w:b w:val="0"/>
                <w:i w:val="0"/>
                <w:color w:val="1B3A5C"/>
                <w:sz w:val="18"/>
              </w:rPr>
              <w:t>TGWT-HMS-ENT-2026-RES-001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i w:val="0"/>
                <w:color w:val="718096"/>
                <w:sz w:val="18"/>
              </w:rPr>
              <w:t>Version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color w:val="1B3A5C"/>
                <w:sz w:val="18"/>
              </w:rPr>
              <w:t>v1.0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r/>
            <w:r>
              <w:rPr>
                <w:rFonts w:ascii="Calibri" w:hAnsi="Calibri"/>
                <w:b/>
                <w:i w:val="0"/>
                <w:color w:val="718096"/>
                <w:sz w:val="18"/>
              </w:rPr>
              <w:t>Classification</w:t>
            </w:r>
          </w:p>
        </w:tc>
        <w:tc>
          <w:tcPr>
            <w:tcW w:type="dxa" w:w="4535"/>
            <w:shd w:val="clear" w:color="auto" w:fill="F7FAFC"/>
          </w:tcPr>
          <w:p>
            <w:r/>
            <w:r>
              <w:rPr>
                <w:rFonts w:ascii="Calibri" w:hAnsi="Calibri"/>
                <w:b w:val="0"/>
                <w:i w:val="0"/>
                <w:color w:val="1B3A5C"/>
                <w:sz w:val="18"/>
              </w:rPr>
              <w:t>Confidential — Enterprise SaaS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i w:val="0"/>
                <w:color w:val="718096"/>
                <w:sz w:val="18"/>
              </w:rPr>
              <w:t>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color w:val="1B3A5C"/>
                <w:sz w:val="18"/>
              </w:rPr>
              <w:t>March 16, 2026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r/>
            <w:r>
              <w:rPr>
                <w:rFonts w:ascii="Calibri" w:hAnsi="Calibri"/>
                <w:b/>
                <w:i w:val="0"/>
                <w:color w:val="718096"/>
                <w:sz w:val="18"/>
              </w:rPr>
              <w:t>Prepared By</w:t>
            </w:r>
          </w:p>
        </w:tc>
        <w:tc>
          <w:tcPr>
            <w:tcW w:type="dxa" w:w="4535"/>
            <w:shd w:val="clear" w:color="auto" w:fill="F7FAFC"/>
          </w:tcPr>
          <w:p>
            <w:r/>
            <w:r>
              <w:rPr>
                <w:rFonts w:ascii="Calibri" w:hAnsi="Calibri"/>
                <w:b w:val="0"/>
                <w:i w:val="0"/>
                <w:color w:val="1B3A5C"/>
                <w:sz w:val="18"/>
              </w:rPr>
              <w:t>TGWT Solutions — Product Strategy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i w:val="0"/>
                <w:color w:val="718096"/>
                <w:sz w:val="18"/>
              </w:rPr>
              <w:t>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color w:val="1B3A5C"/>
                <w:sz w:val="18"/>
              </w:rPr>
              <w:t>Final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0D7377"/>
          <w:sz w:val="22"/>
        </w:rPr>
        <w:t>India’s First AI-Native Hospital Management Platform</w:t>
      </w:r>
    </w:p>
    <w:p>
      <w:r>
        <w:br w:type="page"/>
      </w:r>
    </w:p>
    <w:p>
      <w:pPr>
        <w:jc w:val="center"/>
        <w:pBdr>
          <w:bottom w:val="single" w:sz="6" w:color="0D7377" w:space="1"/>
        </w:pBdr>
      </w:pPr>
      <w:r>
        <w:rPr>
          <w:rFonts w:ascii="Calibri" w:hAnsi="Calibri"/>
          <w:b/>
          <w:i w:val="0"/>
          <w:color w:val="1B3A5C"/>
          <w:sz w:val="36"/>
        </w:rPr>
        <w:t>TABLE OF CONTENTS</w:t>
      </w:r>
    </w:p>
    <w:p/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01  </w:t>
      </w:r>
      <w:r>
        <w:rPr>
          <w:rFonts w:ascii="Calibri" w:hAnsi="Calibri"/>
          <w:b w:val="0"/>
          <w:i w:val="0"/>
          <w:color w:val="1B3A5C"/>
          <w:sz w:val="22"/>
        </w:rPr>
        <w:t>Executive Summary</w:t>
      </w:r>
      <w:r>
        <w:rPr>
          <w:color w:val="718096"/>
          <w:sz w:val="20"/>
        </w:rPr>
        <w:tab/>
        <w:t>3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02  </w:t>
      </w:r>
      <w:r>
        <w:rPr>
          <w:rFonts w:ascii="Calibri" w:hAnsi="Calibri"/>
          <w:b w:val="0"/>
          <w:i w:val="0"/>
          <w:color w:val="1B3A5C"/>
          <w:sz w:val="22"/>
        </w:rPr>
        <w:t>Market Landscape &amp; Opportunity</w:t>
      </w:r>
      <w:r>
        <w:rPr>
          <w:color w:val="718096"/>
          <w:sz w:val="20"/>
        </w:rPr>
        <w:tab/>
        <w:t>4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03  </w:t>
      </w:r>
      <w:r>
        <w:rPr>
          <w:rFonts w:ascii="Calibri" w:hAnsi="Calibri"/>
          <w:b w:val="0"/>
          <w:i w:val="0"/>
          <w:color w:val="1B3A5C"/>
          <w:sz w:val="22"/>
        </w:rPr>
        <w:t>Competitive Intelligence Matrix</w:t>
      </w:r>
      <w:r>
        <w:rPr>
          <w:color w:val="718096"/>
          <w:sz w:val="20"/>
        </w:rPr>
        <w:tab/>
        <w:t>7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04  </w:t>
      </w:r>
      <w:r>
        <w:rPr>
          <w:rFonts w:ascii="Calibri" w:hAnsi="Calibri"/>
          <w:b w:val="0"/>
          <w:i w:val="0"/>
          <w:color w:val="1B3A5C"/>
          <w:sz w:val="22"/>
        </w:rPr>
        <w:t>Market Gap Analysis: 18 Unmet Needs</w:t>
      </w:r>
      <w:r>
        <w:rPr>
          <w:color w:val="718096"/>
          <w:sz w:val="20"/>
        </w:rPr>
        <w:tab/>
        <w:t>10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05  </w:t>
      </w:r>
      <w:r>
        <w:rPr>
          <w:rFonts w:ascii="Calibri" w:hAnsi="Calibri"/>
          <w:b w:val="0"/>
          <w:i w:val="0"/>
          <w:color w:val="1B3A5C"/>
          <w:sz w:val="22"/>
        </w:rPr>
        <w:t>AI/ML Capability Roadmap: 12 Modules</w:t>
      </w:r>
      <w:r>
        <w:rPr>
          <w:color w:val="718096"/>
          <w:sz w:val="20"/>
        </w:rPr>
        <w:tab/>
        <w:t>14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06  </w:t>
      </w:r>
      <w:r>
        <w:rPr>
          <w:rFonts w:ascii="Calibri" w:hAnsi="Calibri"/>
          <w:b w:val="0"/>
          <w:i w:val="0"/>
          <w:color w:val="1B3A5C"/>
          <w:sz w:val="22"/>
        </w:rPr>
        <w:t>Emerging Technologies Integration</w:t>
      </w:r>
      <w:r>
        <w:rPr>
          <w:color w:val="718096"/>
          <w:sz w:val="20"/>
        </w:rPr>
        <w:tab/>
        <w:t>19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07  </w:t>
      </w:r>
      <w:r>
        <w:rPr>
          <w:rFonts w:ascii="Calibri" w:hAnsi="Calibri"/>
          <w:b w:val="0"/>
          <w:i w:val="0"/>
          <w:color w:val="1B3A5C"/>
          <w:sz w:val="22"/>
        </w:rPr>
        <w:t>Regulatory Landscape &amp; Compliance</w:t>
      </w:r>
      <w:r>
        <w:rPr>
          <w:color w:val="718096"/>
          <w:sz w:val="20"/>
        </w:rPr>
        <w:tab/>
        <w:t>21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08  </w:t>
      </w:r>
      <w:r>
        <w:rPr>
          <w:rFonts w:ascii="Calibri" w:hAnsi="Calibri"/>
          <w:b w:val="0"/>
          <w:i w:val="0"/>
          <w:color w:val="1B3A5C"/>
          <w:sz w:val="22"/>
        </w:rPr>
        <w:t>Go-to-Market Strategy: AI-First Positioning</w:t>
      </w:r>
      <w:r>
        <w:rPr>
          <w:color w:val="718096"/>
          <w:sz w:val="20"/>
        </w:rPr>
        <w:tab/>
        <w:t>23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09  </w:t>
      </w:r>
      <w:r>
        <w:rPr>
          <w:rFonts w:ascii="Calibri" w:hAnsi="Calibri"/>
          <w:b w:val="0"/>
          <w:i w:val="0"/>
          <w:color w:val="1B3A5C"/>
          <w:sz w:val="22"/>
        </w:rPr>
        <w:t>Revenue Model &amp; Pricing</w:t>
      </w:r>
      <w:r>
        <w:rPr>
          <w:color w:val="718096"/>
          <w:sz w:val="20"/>
        </w:rPr>
        <w:tab/>
        <w:t>25</w:t>
      </w:r>
    </w:p>
    <w:p>
      <w:pPr>
        <w:tabs>
          <w:tab w:pos="9354" w:val="right" w:leader="dot"/>
        </w:tabs>
        <w:spacing w:after="80"/>
      </w:pPr>
      <w:r>
        <w:rPr>
          <w:rFonts w:ascii="Calibri" w:hAnsi="Calibri"/>
          <w:b/>
          <w:i w:val="0"/>
          <w:color w:val="0D7377"/>
          <w:sz w:val="22"/>
        </w:rPr>
        <w:t xml:space="preserve">  10  </w:t>
      </w:r>
      <w:r>
        <w:rPr>
          <w:rFonts w:ascii="Calibri" w:hAnsi="Calibri"/>
          <w:b w:val="0"/>
          <w:i w:val="0"/>
          <w:color w:val="1B3A5C"/>
          <w:sz w:val="22"/>
        </w:rPr>
        <w:t>Sources &amp; References</w:t>
      </w:r>
      <w:r>
        <w:rPr>
          <w:color w:val="718096"/>
          <w:sz w:val="20"/>
        </w:rPr>
        <w:tab/>
        <w:t>26</w:t>
      </w:r>
    </w:p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01  Executive Summary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This document presents a comprehensive market research analysis, competitive intelligence study, gap analysis, and AI/ML innovation roadmap for HMS Enterprise — a multi-tenant SaaS hospital management platform by TGWT Solutions Pvt. Ltd.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The research identifies 18 critical unmet needs in the Indian HMS market and proposes 12 AI/ML capability modules across four implementation phases to position HMS Enterprise as India’s first AI-native hospital management platform.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Key Findings at a Glance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137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137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Significance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Global HMS Market (2033)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$70 Billion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7.5% CAGR — massive growth trajectory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India Healthcare IT (2030)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$52.8 Billion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16% CAGR — fastest in Asia-Pacific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India Hospital Market (2025)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$193.4 Billion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Growing to $364.6B by 2034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Undigitized Indian Hospitals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55-60% (~40,000+)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Primary target market for HMS Enterprise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US Hospitals Using AI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71%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Up from 66% in 2023 — accelerating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Ambient AI Market (2033)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$11.58 Billion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22% CAGR — Hindi ambient AI = blue ocean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Market Gaps Identified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18 (4 critical)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Zero Indian vendor addresses the critical gaps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AI/ML Modules Planned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12 across 4 phases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First-mover advantage in Indian market</w:t>
            </w:r>
          </w:p>
        </w:tc>
      </w:tr>
    </w:tbl>
    <w:p/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 w:val="0"/>
          <w:color w:val="1A202C"/>
          <w:sz w:val="22"/>
        </w:rPr>
        <w:t xml:space="preserve">⚡  </w:t>
      </w:r>
      <w:r>
        <w:rPr>
          <w:rFonts w:ascii="Calibri" w:hAnsi="Calibri"/>
          <w:b w:val="0"/>
          <w:i/>
          <w:color w:val="2D3748"/>
          <w:sz w:val="20"/>
        </w:rPr>
        <w:t>The central thesis: No Indian HMS vendor offers AI/ML capabilities. Global leaders (Epic, Oracle Health) only started in 2024-25. HMS Enterprise has a 2-3 year window to establish itself as India’s AI-native HMS leader.</w:t>
      </w:r>
    </w:p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02  Market Landscape &amp; Opportunity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The global hospital management system market is valued at $40 billion in 2024 and projected to reach $70 billion by 2033 at 7.5% CAGR. India represents the fastest-growing segment in the Asia-Pacific region, driven by regulatory mandates, insurance digitization, and the Ayushman Bharat Digital Mission.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2.1  Market Sizing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Market Segment</w:t>
            </w:r>
          </w:p>
        </w:tc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2024/2025 Value</w:t>
            </w:r>
          </w:p>
        </w:tc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Projected Value</w:t>
            </w:r>
          </w:p>
        </w:tc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CAGR</w:t>
            </w:r>
          </w:p>
        </w:tc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Global HMS Software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$40B (2024)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$70B by 2033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7.5%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Verified Market Reports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India Healthcare IT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—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$52.8B by 2030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16%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Grand View Research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India Hospital Market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$193.4B (2025)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$364.6B by 2034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~7%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IMARC Group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India EMR Market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$0.57B (2025)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—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—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Industry estimates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Asia-Pacific HMS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—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—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15%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Mordor Intelligence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Predictive Analytics (HC)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—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—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24.7%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Fortune BI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Ambient Clinical AI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$1.92B (2024)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$11.58B by 2033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22%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Market Research</w:t>
            </w:r>
          </w:p>
        </w:tc>
      </w:tr>
    </w:tbl>
    <w:p/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2.2  Growth Drivers — India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ABDM Mandate (2026): </w:t>
      </w:r>
      <w:r>
        <w:rPr>
          <w:rFonts w:ascii="Calibri" w:hAnsi="Calibri"/>
          <w:b w:val="0"/>
          <w:i w:val="0"/>
          <w:color w:val="2D3748"/>
          <w:sz w:val="21"/>
        </w:rPr>
        <w:t>AB-PMJAY hospitals must be ABDM-compliant. ABHA ID integration mandatory for government reimbursement.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NABH 6th Edition (Jan 2025): </w:t>
      </w:r>
      <w:r>
        <w:rPr>
          <w:rFonts w:ascii="Calibri" w:hAnsi="Calibri"/>
          <w:b w:val="0"/>
          <w:i w:val="0"/>
          <w:color w:val="2D3748"/>
          <w:sz w:val="21"/>
        </w:rPr>
        <w:t>Digital health technology required for accreditation. 100+ hospitals received Digital Health Accreditation.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DPDP Act 2023: </w:t>
      </w:r>
      <w:r>
        <w:rPr>
          <w:rFonts w:ascii="Calibri" w:hAnsi="Calibri"/>
          <w:b w:val="0"/>
          <w:i w:val="0"/>
          <w:color w:val="2D3748"/>
          <w:sz w:val="21"/>
        </w:rPr>
        <w:t>India’s primary data protection law (replaced DISHA). Penalties up to ₹250 Crore for non-compliance.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Ayushman Bharat Expansion: </w:t>
      </w:r>
      <w:r>
        <w:rPr>
          <w:rFonts w:ascii="Calibri" w:hAnsi="Calibri"/>
          <w:b w:val="0"/>
          <w:i w:val="0"/>
          <w:color w:val="2D3748"/>
          <w:sz w:val="21"/>
        </w:rPr>
        <w:t>500M+ beneficiaries. Digital-first claims processing driving HMS adoption.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Tier-2/3 Hospital Boom: </w:t>
      </w:r>
      <w:r>
        <w:rPr>
          <w:rFonts w:ascii="Calibri" w:hAnsi="Calibri"/>
          <w:b w:val="0"/>
          <w:i w:val="0"/>
          <w:color w:val="2D3748"/>
          <w:sz w:val="21"/>
        </w:rPr>
        <w:t>68% of new capacity outside metros. These hospitals lack affordable enterprise HMS.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Insurance Digitization: </w:t>
      </w:r>
      <w:r>
        <w:rPr>
          <w:rFonts w:ascii="Calibri" w:hAnsi="Calibri"/>
          <w:b w:val="0"/>
          <w:i w:val="0"/>
          <w:color w:val="2D3748"/>
          <w:sz w:val="21"/>
        </w:rPr>
        <w:t>TPA/insurance companies requiring digital claim submissions. Paper hospitals losing empanelment.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2.3  Market Structure — India HMS Landscape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India has approximately 70,000+ hospitals across all tiers. The HMS penetration varies dramatically by segment: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Segment</w:t>
            </w:r>
          </w:p>
        </w:tc>
        <w:tc>
          <w:tcPr>
            <w:tcW w:type="dxa" w:w="2353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Market Share</w:t>
            </w:r>
          </w:p>
        </w:tc>
        <w:tc>
          <w:tcPr>
            <w:tcW w:type="dxa" w:w="2353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Count (est.)</w:t>
            </w:r>
          </w:p>
        </w:tc>
        <w:tc>
          <w:tcPr>
            <w:tcW w:type="dxa" w:w="2353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Players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No HMS / Paper + Excel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55-60%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~40,000+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None — primary target market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Basic/Local HMS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20-25%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~15,000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SoftClinic, local vendors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Mid-tier HMS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10-12%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~7,500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Practo/Insta, MocDoc, Attune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Enterprise HMS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3-5%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~2,500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Oracle Health, custom builds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Government (NIC)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5-8%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~4,000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NIC eHospital</w:t>
            </w:r>
          </w:p>
        </w:tc>
      </w:tr>
    </w:tbl>
    <w:p/>
    <w:p>
      <w:pPr>
        <w:spacing w:before="120" w:after="160"/>
        <w:ind w:left="283" w:right="283"/>
        <w:shd w:val="clear" w:color="auto" w:fill="FFFFF0"/>
      </w:pPr>
      <w:r>
        <w:rPr>
          <w:rFonts w:ascii="Calibri" w:hAnsi="Calibri"/>
          <w:b w:val="0"/>
          <w:i w:val="0"/>
          <w:color w:val="1A202C"/>
          <w:sz w:val="22"/>
        </w:rPr>
        <w:t xml:space="preserve">🎯  </w:t>
      </w:r>
      <w:r>
        <w:rPr>
          <w:rFonts w:ascii="Calibri" w:hAnsi="Calibri"/>
          <w:b w:val="0"/>
          <w:i/>
          <w:color w:val="2D3748"/>
          <w:sz w:val="20"/>
        </w:rPr>
        <w:t>HMS Enterprise Sweet Spot: The 55-60% undigitized + 20-25% basic HMS hospitals in Tier-2/3 cities — approximately 50,000+ hospitals needing affordable enterprise-grade solutions.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2.4  Global vs. India Technology Gap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A significant technology gap exists between global HMS leaders and Indian vendors. This gap represents both the challenge and the opportunity for HMS Enterprise: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US/Global</w:t>
            </w:r>
          </w:p>
        </w:tc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India Mid-Tier</w:t>
            </w:r>
          </w:p>
        </w:tc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India Budget</w:t>
            </w:r>
          </w:p>
        </w:tc>
        <w:tc>
          <w:tcPr>
            <w:tcW w:type="dxa" w:w="1882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HMS Enterprise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Ambient Clinical AI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Yes (62.6%)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3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 Agents (Agentic)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Yes (Epic/Oracle)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2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Predictive Analytics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1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CDSS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Full (400+ FDA)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2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Multi-Tenancy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Limited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Event-Driven (Kafka)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ABDM/ABHA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N/A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Day 1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Patient Portal PWA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Yes (MyChart)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IoT Integration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Yes (3,850+/hosp)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3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HL7/FHIR Interop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6-Tier RBAC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03  Competitive Intelligence Matrix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Analysis of 8 competing HMS platforms across features, architecture, pricing, and strategic positioning.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3.1  Feature-by-Feature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HMS Ent.</w:t>
            </w:r>
          </w:p>
        </w:tc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Practo</w:t>
            </w:r>
          </w:p>
        </w:tc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MocDoc</w:t>
            </w:r>
          </w:p>
        </w:tc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Attune</w:t>
            </w:r>
          </w:p>
        </w:tc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KareXpert</w:t>
            </w:r>
          </w:p>
        </w:tc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NIC</w:t>
            </w:r>
          </w:p>
        </w:tc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SoftClinic</w:t>
            </w:r>
          </w:p>
        </w:tc>
        <w:tc>
          <w:tcPr>
            <w:tcW w:type="dxa" w:w="1046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Oracle</w:t>
            </w:r>
          </w:p>
        </w:tc>
      </w:tr>
      <w:tr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Multi-Tenancy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</w:tr>
      <w:tr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Event-Driven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6-Tier RBAC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OPD Smart Queue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Pharmacy FIFO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Lab HL7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ABDM/ABHA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Day 1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</w:tr>
      <w:tr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GST Finance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</w:tr>
      <w:tr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BI Dashboards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Patient Portal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AI/ML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12 modules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Basic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WhatsApp API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Full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D8936"/>
                <w:sz w:val="18"/>
              </w:rPr>
              <w:t>Partial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1046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</w:tr>
      <w:tr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Pricing/yr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₹3-12L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₹5-15L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₹1-50L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₹10-30L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₹8-25L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Free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₹0.5-2L</w:t>
            </w:r>
          </w:p>
        </w:tc>
        <w:tc>
          <w:tcPr>
            <w:tcW w:type="dxa" w:w="1046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₹50L+</w:t>
            </w:r>
          </w:p>
        </w:tc>
      </w:tr>
    </w:tbl>
    <w:p/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3.2  Competitor Weakness Analysis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Practo/Insta HMS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No true multi-tenancy — shared database model risks data leaks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No event-driven architecture — batch processing delays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Limited RBAC (3-tier only, no field-level permissions)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Zero AI/ML capabilities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Poor offline support for Tier-2/3 areas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Attune NxG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On-premise legacy — expensive infrastructure required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No cloud-native option — can’t scale dynamically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Priced for corporate chains (₹10-30L) — excludes Tier-2/3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No AI capabilities, no ambient intelligence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Slow implementation (6-12 months typical)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MocDoc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Feature-rich but complex UI — high training cost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Monolithic architecture — difficult to customize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No Kafka/event-driven — inter-module sync delayed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Pricing opaque and wide-ranging (₹1L to ₹50L+)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NIC eHospital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Government-only — unavailable for private hospitals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Slow update cycles — bureaucratic change management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Poor UX — designed for compliance, not usability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No analytics, no AI, no patient engagement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3.3  HMS Enterprise Competitive Advantages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Only Indian HMS with Kafka Event Architecture: </w:t>
      </w:r>
      <w:r>
        <w:rPr>
          <w:rFonts w:ascii="Calibri" w:hAnsi="Calibri"/>
          <w:b w:val="0"/>
          <w:i w:val="0"/>
          <w:color w:val="2D3748"/>
          <w:sz w:val="21"/>
        </w:rPr>
        <w:t>Real-time cross-module communication (prescription → pharmacy in &lt;1 sec) vs competitors’ batch/REST approach causing 5-30 second delays.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Schema-Isolated Multi-Tenancy: </w:t>
      </w:r>
      <w:r>
        <w:rPr>
          <w:rFonts w:ascii="Calibri" w:hAnsi="Calibri"/>
          <w:b w:val="0"/>
          <w:i w:val="0"/>
          <w:color w:val="2D3748"/>
          <w:sz w:val="21"/>
        </w:rPr>
        <w:t>Each hospital gets its own PostgreSQL schema — zero data leakage risk. Competitors use shared tables with tenant_id filtering.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6-Tier RBAC with Field-Level Permissions: </w:t>
      </w:r>
      <w:r>
        <w:rPr>
          <w:rFonts w:ascii="Calibri" w:hAnsi="Calibri"/>
          <w:b w:val="0"/>
          <w:i w:val="0"/>
          <w:color w:val="2D3748"/>
          <w:sz w:val="21"/>
        </w:rPr>
        <w:t>200+ permissions across 6 hierarchy levels. No Indian competitor offers field-level access control.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AI-Native from Day 1: </w:t>
      </w:r>
      <w:r>
        <w:rPr>
          <w:rFonts w:ascii="Calibri" w:hAnsi="Calibri"/>
          <w:b w:val="0"/>
          <w:i w:val="0"/>
          <w:color w:val="2D3748"/>
          <w:sz w:val="21"/>
        </w:rPr>
        <w:t>12 planned AI/ML modules — no Indian HMS has this. Global leaders only started in 2024-25.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Enterprise Features at Tier-2/3 Pricing: </w:t>
      </w:r>
      <w:r>
        <w:rPr>
          <w:rFonts w:ascii="Calibri" w:hAnsi="Calibri"/>
          <w:b w:val="0"/>
          <w:i w:val="0"/>
          <w:color w:val="2D3748"/>
          <w:sz w:val="21"/>
        </w:rPr>
        <w:t>₹3-12L/year vs Attune’s ₹10-30L or Oracle’s ₹50L+. Milestone payments, EMI, free POC.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ABDM + NABH + DPDP Triple Compliance: </w:t>
      </w:r>
      <w:r>
        <w:rPr>
          <w:rFonts w:ascii="Calibri" w:hAnsi="Calibri"/>
          <w:b w:val="0"/>
          <w:i w:val="0"/>
          <w:color w:val="2D3748"/>
          <w:sz w:val="21"/>
        </w:rPr>
        <w:t>Built-in compliance for all three frameworks from Day 1.</w:t>
      </w:r>
    </w:p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04  Market Gap Analysis: 18 Unmet Needs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Through competitive analysis, user interviews, and global benchmarking, we identified 18 significant unmet needs in the Indian HMS market. These are organized by severity and revenue impact.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4.1  Critical Gaps (No Indian Vendor Addresses)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9B2C2C"/>
            <w:tcBorders>
              <w:top w:val="single" w:sz="4" w:color="9B2C2C"/>
            </w:tcBorders>
            <w:tcBorders>
              <w:bottom w:val="single" w:sz="4" w:color="9B2C2C"/>
            </w:tcBorders>
            <w:tcBorders>
              <w:left w:val="single" w:sz="4" w:color="9B2C2C"/>
            </w:tcBorders>
            <w:tcBorders>
              <w:right w:val="single" w:sz="4" w:color="9B2C2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Gap ID &amp; Name</w:t>
            </w:r>
          </w:p>
        </w:tc>
        <w:tc>
          <w:tcPr>
            <w:tcW w:type="dxa" w:w="2353"/>
            <w:shd w:val="clear" w:color="auto" w:fill="9B2C2C"/>
            <w:tcBorders>
              <w:top w:val="single" w:sz="4" w:color="9B2C2C"/>
            </w:tcBorders>
            <w:tcBorders>
              <w:bottom w:val="single" w:sz="4" w:color="9B2C2C"/>
            </w:tcBorders>
            <w:tcBorders>
              <w:left w:val="single" w:sz="4" w:color="9B2C2C"/>
            </w:tcBorders>
            <w:tcBorders>
              <w:right w:val="single" w:sz="4" w:color="9B2C2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 Statement</w:t>
            </w:r>
          </w:p>
        </w:tc>
        <w:tc>
          <w:tcPr>
            <w:tcW w:type="dxa" w:w="2353"/>
            <w:shd w:val="clear" w:color="auto" w:fill="9B2C2C"/>
            <w:tcBorders>
              <w:top w:val="single" w:sz="4" w:color="9B2C2C"/>
            </w:tcBorders>
            <w:tcBorders>
              <w:bottom w:val="single" w:sz="4" w:color="9B2C2C"/>
            </w:tcBorders>
            <w:tcBorders>
              <w:left w:val="single" w:sz="4" w:color="9B2C2C"/>
            </w:tcBorders>
            <w:tcBorders>
              <w:right w:val="single" w:sz="4" w:color="9B2C2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HMS Enterprise Fix</w:t>
            </w:r>
          </w:p>
        </w:tc>
        <w:tc>
          <w:tcPr>
            <w:tcW w:type="dxa" w:w="2353"/>
            <w:shd w:val="clear" w:color="auto" w:fill="9B2C2C"/>
            <w:tcBorders>
              <w:top w:val="single" w:sz="4" w:color="9B2C2C"/>
            </w:tcBorders>
            <w:tcBorders>
              <w:bottom w:val="single" w:sz="4" w:color="9B2C2C"/>
            </w:tcBorders>
            <w:tcBorders>
              <w:left w:val="single" w:sz="4" w:color="9B2C2C"/>
            </w:tcBorders>
            <w:tcBorders>
              <w:right w:val="single" w:sz="4" w:color="9B2C2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Revenue Impact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G01: No AI-Powered Clinical Decision Support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71% of US hospitals use predictive AI, but zero Indian HMS vendors offer CDSS. Indian doctors rely entirely on memory for drug interactions, dosage adjustments, and differential diagnosis.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Drug interaction engine, dosage calculator, allergy cross-check, protocol-based alerts (ICMR), differential diagnosis assistant.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High — Patient safety + clinical efficiency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G02: No Ambient Clinical Intelligence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$1.92B global market growing to $11.58B by 2033 at 22% CAGR. Kaiser Permanente deployed Abridge across 40 hospitals. No Indian HMS offers voice-to-EMR.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Hindi + English ambient listening → auto-generate SOAP notes, prescriptions, and follow-up instructions from doctor-patient conversations.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High — Doctor satisfaction + 30% more patients/day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G03: No Revenue Cycle AI (Billing Leakage)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 could cut cost-to-collect by 30-60% (McKinsey). Indian hospitals lose ₹10-20L/year to billing leakage, unbilled services, and claim denials.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Charge capture AI, auto-coding (ICD-10), claim denial prediction, payment optimization, real-time revenue dashboards.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Very High — ₹15-30L/year recoverable per hospital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G04: No Predictive Bed &amp; Resource Management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US hospitals use ML to predict admissions 72 hours ahead with 85%+ accuracy. Indian hospitals manage beds via whiteboards and phone calls.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ML-based admission prediction, bed occupancy forecasting, discharge planning optimizer, staff scheduling AI.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High — 5-8% occupancy increase</w:t>
            </w:r>
          </w:p>
        </w:tc>
      </w:tr>
    </w:tbl>
    <w:p/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4.2  High-Priority Gaps (Partially Addressed by 1-2 Vendors)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5621"/>
            <w:tcBorders>
              <w:top w:val="single" w:sz="4" w:color="C05621"/>
            </w:tcBorders>
            <w:tcBorders>
              <w:bottom w:val="single" w:sz="4" w:color="C05621"/>
            </w:tcBorders>
            <w:tcBorders>
              <w:left w:val="single" w:sz="4" w:color="C05621"/>
            </w:tcBorders>
            <w:tcBorders>
              <w:right w:val="single" w:sz="4" w:color="C0562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Gap ID</w:t>
            </w:r>
          </w:p>
        </w:tc>
        <w:tc>
          <w:tcPr>
            <w:tcW w:type="dxa" w:w="3137"/>
            <w:shd w:val="clear" w:color="auto" w:fill="C05621"/>
            <w:tcBorders>
              <w:top w:val="single" w:sz="4" w:color="C05621"/>
            </w:tcBorders>
            <w:tcBorders>
              <w:bottom w:val="single" w:sz="4" w:color="C05621"/>
            </w:tcBorders>
            <w:tcBorders>
              <w:left w:val="single" w:sz="4" w:color="C05621"/>
            </w:tcBorders>
            <w:tcBorders>
              <w:right w:val="single" w:sz="4" w:color="C0562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3137"/>
            <w:shd w:val="clear" w:color="auto" w:fill="C05621"/>
            <w:tcBorders>
              <w:top w:val="single" w:sz="4" w:color="C05621"/>
            </w:tcBorders>
            <w:tcBorders>
              <w:bottom w:val="single" w:sz="4" w:color="C05621"/>
            </w:tcBorders>
            <w:tcBorders>
              <w:left w:val="single" w:sz="4" w:color="C05621"/>
            </w:tcBorders>
            <w:tcBorders>
              <w:right w:val="single" w:sz="4" w:color="C0562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HMS Fix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G05: Poor Interoperability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40% of Indian hospitals face integration challenges (Nature, 2024). No FHIR R4 support.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FHIR R4 native, HL7 v2 adapters, ABDM HIE, open API marketplace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G06: No Pharmacy Demand Forecasting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₹8-15L/year lost to drug expiry. No demand prediction.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ML demand forecasting using historical dispensing + seasonal patterns + disease trends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G07: No Insurance Claim Intelligence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15-25% claim denial rates. Manual pre-auth takes 2-4 hours.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 claim scrubber, denial prediction, auto pre-auth, TPA-specific rules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G08: No Patient Risk Stratification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No Indian HMS identifies high-risk patients proactively.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Readmission prediction, NEWS2 scoring, sepsis screening, chronic disease risk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G09: No Telemedicine Integration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Most HMS treat telemedicine as bolt-on, not integrated.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Native video consultation within OPD, e-prescription for teleconsult, auto follow-up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G10: No Population Health Analytics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No cross-facility disease prevalence or outcome analytics.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Multi-tenant analytics aggregation via Kafka → Elasticsearch, disease surveillance</w:t>
            </w:r>
          </w:p>
        </w:tc>
      </w:tr>
    </w:tbl>
    <w:p/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4.3  Medium-Priority Gaps (Market Differentiators)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92400E"/>
            <w:tcBorders>
              <w:top w:val="single" w:sz="4" w:color="92400E"/>
            </w:tcBorders>
            <w:tcBorders>
              <w:bottom w:val="single" w:sz="4" w:color="92400E"/>
            </w:tcBorders>
            <w:tcBorders>
              <w:left w:val="single" w:sz="4" w:color="92400E"/>
            </w:tcBorders>
            <w:tcBorders>
              <w:right w:val="single" w:sz="4" w:color="92400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Gap ID</w:t>
            </w:r>
          </w:p>
        </w:tc>
        <w:tc>
          <w:tcPr>
            <w:tcW w:type="dxa" w:w="3137"/>
            <w:shd w:val="clear" w:color="auto" w:fill="92400E"/>
            <w:tcBorders>
              <w:top w:val="single" w:sz="4" w:color="92400E"/>
            </w:tcBorders>
            <w:tcBorders>
              <w:bottom w:val="single" w:sz="4" w:color="92400E"/>
            </w:tcBorders>
            <w:tcBorders>
              <w:left w:val="single" w:sz="4" w:color="92400E"/>
            </w:tcBorders>
            <w:tcBorders>
              <w:right w:val="single" w:sz="4" w:color="92400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3137"/>
            <w:shd w:val="clear" w:color="auto" w:fill="92400E"/>
            <w:tcBorders>
              <w:top w:val="single" w:sz="4" w:color="92400E"/>
            </w:tcBorders>
            <w:tcBorders>
              <w:bottom w:val="single" w:sz="4" w:color="92400E"/>
            </w:tcBorders>
            <w:tcBorders>
              <w:left w:val="single" w:sz="4" w:color="92400E"/>
            </w:tcBorders>
            <w:tcBorders>
              <w:right w:val="single" w:sz="4" w:color="92400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HMS Fix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G11: No AI Patient Chatbot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Patients call hospitals 5-8 times for status queries.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WhatsApp + Portal AI chatbot — booking, reports, bills, FAQ, multilingual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G12: No Staff Performance Analytics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Administrators can’t measure doctor/nurse productivity.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Doctor utilization, nurse workload, department KPIs, automated reports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G13: No IoT/Wearable Integration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3,850+ devices/hospital globally; zero in Indian HMS.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IoT gateway: bedside monitors → auto-chart vitals → anomaly alerts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G14: No Intelligent Scheduling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15-25% no-show rates waste doctor time.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No-show prediction ML, overbooking optimization, risk-based reminders</w:t>
            </w:r>
          </w:p>
        </w:tc>
      </w:tr>
    </w:tbl>
    <w:p/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4.4  Blue-Sky Opportunities (First-Mover Advantage)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4F46E5"/>
            <w:tcBorders>
              <w:top w:val="single" w:sz="4" w:color="4F46E5"/>
            </w:tcBorders>
            <w:tcBorders>
              <w:bottom w:val="single" w:sz="4" w:color="4F46E5"/>
            </w:tcBorders>
            <w:tcBorders>
              <w:left w:val="single" w:sz="4" w:color="4F46E5"/>
            </w:tcBorders>
            <w:tcBorders>
              <w:right w:val="single" w:sz="4" w:color="4F46E5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Gap ID</w:t>
            </w:r>
          </w:p>
        </w:tc>
        <w:tc>
          <w:tcPr>
            <w:tcW w:type="dxa" w:w="3137"/>
            <w:shd w:val="clear" w:color="auto" w:fill="4F46E5"/>
            <w:tcBorders>
              <w:top w:val="single" w:sz="4" w:color="4F46E5"/>
            </w:tcBorders>
            <w:tcBorders>
              <w:bottom w:val="single" w:sz="4" w:color="4F46E5"/>
            </w:tcBorders>
            <w:tcBorders>
              <w:left w:val="single" w:sz="4" w:color="4F46E5"/>
            </w:tcBorders>
            <w:tcBorders>
              <w:right w:val="single" w:sz="4" w:color="4F46E5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3137"/>
            <w:shd w:val="clear" w:color="auto" w:fill="4F46E5"/>
            <w:tcBorders>
              <w:top w:val="single" w:sz="4" w:color="4F46E5"/>
            </w:tcBorders>
            <w:tcBorders>
              <w:bottom w:val="single" w:sz="4" w:color="4F46E5"/>
            </w:tcBorders>
            <w:tcBorders>
              <w:left w:val="single" w:sz="4" w:color="4F46E5"/>
            </w:tcBorders>
            <w:tcBorders>
              <w:right w:val="single" w:sz="4" w:color="4F46E5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HMS Fix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G15: NLP Medical Coding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Inova saved $500K with NLP coding. Indian hospitals code manually.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Auto-suggest ICD-10/SNOMED from clinical notes, procedure auto-coding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G16: Hospital Digital Twin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Simulate patient flow and capacity before real changes.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Digital twin using historical Kafka events for what-if scenarios</w:t>
            </w:r>
          </w:p>
        </w:tc>
      </w:tr>
      <w:tr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G17: AI Fraud Detection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Insurance fraud costs ₹10,000+ Cr/year.</w:t>
            </w:r>
          </w:p>
        </w:tc>
        <w:tc>
          <w:tcPr>
            <w:tcW w:type="dxa" w:w="3137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Anomaly detection, duplicate claim flagging, upcoding alerts</w:t>
            </w:r>
          </w:p>
        </w:tc>
      </w:tr>
      <w:tr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G18: Genomics/Precision Medicine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Genetic testing now &lt;$100/genome; no HMS stores genetic data.</w:t>
            </w:r>
          </w:p>
        </w:tc>
        <w:tc>
          <w:tcPr>
            <w:tcW w:type="dxa" w:w="3137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Genetic data in patient record, pharmacogenomics drug alerts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05  AI/ML Capability Roadmap: 12 Modules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Phased rollout of AI/ML features that will make HMS Enterprise India’s first AI-native hospital management platform. Each module is designed to leverage the existing Kafka event-driven architecture for real-time data processing.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5.0  Implementation Timeline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7C3AED"/>
            <w:tcBorders>
              <w:top w:val="single" w:sz="4" w:color="7C3AED"/>
            </w:tcBorders>
            <w:tcBorders>
              <w:bottom w:val="single" w:sz="4" w:color="7C3AED"/>
            </w:tcBorders>
            <w:tcBorders>
              <w:left w:val="single" w:sz="4" w:color="7C3AED"/>
            </w:tcBorders>
            <w:tcBorders>
              <w:right w:val="single" w:sz="4" w:color="7C3AE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882"/>
            <w:shd w:val="clear" w:color="auto" w:fill="7C3AED"/>
            <w:tcBorders>
              <w:top w:val="single" w:sz="4" w:color="7C3AED"/>
            </w:tcBorders>
            <w:tcBorders>
              <w:bottom w:val="single" w:sz="4" w:color="7C3AED"/>
            </w:tcBorders>
            <w:tcBorders>
              <w:left w:val="single" w:sz="4" w:color="7C3AED"/>
            </w:tcBorders>
            <w:tcBorders>
              <w:right w:val="single" w:sz="4" w:color="7C3AE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Timeline</w:t>
            </w:r>
          </w:p>
        </w:tc>
        <w:tc>
          <w:tcPr>
            <w:tcW w:type="dxa" w:w="1882"/>
            <w:shd w:val="clear" w:color="auto" w:fill="7C3AED"/>
            <w:tcBorders>
              <w:top w:val="single" w:sz="4" w:color="7C3AED"/>
            </w:tcBorders>
            <w:tcBorders>
              <w:bottom w:val="single" w:sz="4" w:color="7C3AED"/>
            </w:tcBorders>
            <w:tcBorders>
              <w:left w:val="single" w:sz="4" w:color="7C3AED"/>
            </w:tcBorders>
            <w:tcBorders>
              <w:right w:val="single" w:sz="4" w:color="7C3AE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 Area</w:t>
            </w:r>
          </w:p>
        </w:tc>
        <w:tc>
          <w:tcPr>
            <w:tcW w:type="dxa" w:w="1882"/>
            <w:shd w:val="clear" w:color="auto" w:fill="7C3AED"/>
            <w:tcBorders>
              <w:top w:val="single" w:sz="4" w:color="7C3AED"/>
            </w:tcBorders>
            <w:tcBorders>
              <w:bottom w:val="single" w:sz="4" w:color="7C3AED"/>
            </w:tcBorders>
            <w:tcBorders>
              <w:left w:val="single" w:sz="4" w:color="7C3AED"/>
            </w:tcBorders>
            <w:tcBorders>
              <w:right w:val="single" w:sz="4" w:color="7C3AE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AI Modules</w:t>
            </w:r>
          </w:p>
        </w:tc>
        <w:tc>
          <w:tcPr>
            <w:tcW w:type="dxa" w:w="1882"/>
            <w:shd w:val="clear" w:color="auto" w:fill="7C3AED"/>
            <w:tcBorders>
              <w:top w:val="single" w:sz="4" w:color="7C3AED"/>
            </w:tcBorders>
            <w:tcBorders>
              <w:bottom w:val="single" w:sz="4" w:color="7C3AED"/>
            </w:tcBorders>
            <w:tcBorders>
              <w:left w:val="single" w:sz="4" w:color="7C3AED"/>
            </w:tcBorders>
            <w:tcBorders>
              <w:right w:val="single" w:sz="4" w:color="7C3AED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Prerequisites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1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Months 6-12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Foundation AI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AI-01, AI-02, AI-03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Kafka events + 6 months of data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2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Months 12-18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Clinical AI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AI-04, AI-05, AI-06, AI-07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Clinical data accumulation</w:t>
            </w:r>
          </w:p>
        </w:tc>
      </w:tr>
      <w:tr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3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Months 18-24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Advanced AI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AI-08, AI-09, AI-10</w:t>
            </w:r>
          </w:p>
        </w:tc>
        <w:tc>
          <w:tcPr>
            <w:tcW w:type="dxa" w:w="1882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Mature platform + partnerships</w:t>
            </w:r>
          </w:p>
        </w:tc>
      </w:tr>
      <w:tr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4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Months 24-36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Frontier AI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AI-11, AI-12</w:t>
            </w:r>
          </w:p>
        </w:tc>
        <w:tc>
          <w:tcPr>
            <w:tcW w:type="dxa" w:w="1882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Network scale + research</w:t>
            </w:r>
          </w:p>
        </w:tc>
      </w:tr>
    </w:tbl>
    <w:p/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5.1  Phase 1 — Foundation AI (Months 6-12)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AI-01: Predictive Bed Occupancy</w:t>
      </w:r>
    </w:p>
    <w:p>
      <w:r>
        <w:rPr>
          <w:rFonts w:ascii="Calibri" w:hAnsi="Calibri"/>
          <w:b w:val="0"/>
          <w:i/>
          <w:color w:val="718096"/>
          <w:sz w:val="19"/>
        </w:rPr>
        <w:t>Fills Gap G04 | IPD + BI Module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ML model trained on admission/discharge Kafka events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72-hour admission prediction (85%+ accuracy target)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Bed turnover optimization with discharge planning AI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Real-time occupancy forecasting dashboard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Staff scheduling recommendations based on predicted load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Python (scikit-learn/XGBoost) → Kafka consumer → Redis cache → React dashboard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Reduce empty bed hours by 20%, increase occupancy 5-8%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AI-02: Smart Appointment Scheduler</w:t>
      </w:r>
    </w:p>
    <w:p>
      <w:r>
        <w:rPr>
          <w:rFonts w:ascii="Calibri" w:hAnsi="Calibri"/>
          <w:b w:val="0"/>
          <w:i/>
          <w:color w:val="718096"/>
          <w:sz w:val="19"/>
        </w:rPr>
        <w:t>Fills Gap G14 | Appointments Module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No-show prediction model (patient history, demographics, day/time)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Dynamic overbooking based on predicted no-show rate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Wait-time optimization across doctors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Auto-send reminders weighted by no-show risk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Smart waitlist management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Gradient Boosted Trees → Kafka event triggers → WhatsApp API reminders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Reduce no-shows by 30%, increase doctor utilization 15%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AI-03: Pharmacy Demand Forecasting</w:t>
      </w:r>
    </w:p>
    <w:p>
      <w:r>
        <w:rPr>
          <w:rFonts w:ascii="Calibri" w:hAnsi="Calibri"/>
          <w:b w:val="0"/>
          <w:i/>
          <w:color w:val="718096"/>
          <w:sz w:val="19"/>
        </w:rPr>
        <w:t>Fills Gap G06 | Pharmacy + Inventory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ML demand prediction per drug per branch per week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Seasonal illness pattern recognition (dengue, flu, etc.)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Auto-generate purchase orders based on predicted demand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Expiry wastage minimization through FIFO + demand matching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Substitution recommendations for stockout scenarios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Time-series (Prophet/LSTM) → Kafka drug.dispensed events → Inventory auto-PO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Reduce expiry wastage by 40%, reduce stockouts by 60%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5.2  Phase 2 — Clinical AI (Months 12-18)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AI-04: Clinical Decision Support (CDSS)</w:t>
      </w:r>
    </w:p>
    <w:p>
      <w:r>
        <w:rPr>
          <w:rFonts w:ascii="Calibri" w:hAnsi="Calibri"/>
          <w:b w:val="0"/>
          <w:i/>
          <w:color w:val="718096"/>
          <w:sz w:val="19"/>
        </w:rPr>
        <w:t>Fills Gap G01 | OPD + Pharmacy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Real-time drug interaction alerts (severity graded)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Dosage adjustment based on age, weight, renal/hepatic function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Allergy cross-reference with prescription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Protocol-based treatment suggestions (ICMR guidelines)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Differential diagnosis assistant based on symptoms + vitals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Knowledge graph (Neo4j) + rule engine + LLM for differential diagnosis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Prevent 5+ adverse drug events/month, 20% faster diagnosis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AI-05: Revenue Cycle Intelligence</w:t>
      </w:r>
    </w:p>
    <w:p>
      <w:r>
        <w:rPr>
          <w:rFonts w:ascii="Calibri" w:hAnsi="Calibri"/>
          <w:b w:val="0"/>
          <w:i/>
          <w:color w:val="718096"/>
          <w:sz w:val="19"/>
        </w:rPr>
        <w:t>Fills Gap G03 | Finance + Billing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Charge capture AI — flag unbilled services from Kafka events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Auto-coding: clinical notes → ICD-10 suggestions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Claim denial prediction before submission (80% accuracy target)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Payment optimization — best collection route per patient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Real-time revenue leakage dashboard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NLP (clinical notes → codes) + classification model + Kafka charge events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Recover ₹15-30L/year per hospital, reduce denials by 40%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AI-06: Patient Risk Stratification</w:t>
      </w:r>
    </w:p>
    <w:p>
      <w:r>
        <w:rPr>
          <w:rFonts w:ascii="Calibri" w:hAnsi="Calibri"/>
          <w:b w:val="0"/>
          <w:i/>
          <w:color w:val="718096"/>
          <w:sz w:val="19"/>
        </w:rPr>
        <w:t>Fills Gap G08 | IPD + OPD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30-day readmission risk score at discharge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Early Warning Score (NEWS2) auto-calculated from vitals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Sepsis screening from lab results + vitals pattern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Fall risk assessment for IPD patients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Chronic disease progression alerts (diabetes, hypertension)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ML ensemble (XGBoost + Logistic Regression) → real-time Kafka vitals stream → alert engine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Reduce readmissions by 20%, catch 80% of sepsis cases 4hrs earlier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AI-07: Insurance Claim Intelligence</w:t>
      </w:r>
    </w:p>
    <w:p>
      <w:r>
        <w:rPr>
          <w:rFonts w:ascii="Calibri" w:hAnsi="Calibri"/>
          <w:b w:val="0"/>
          <w:i/>
          <w:color w:val="718096"/>
          <w:sz w:val="19"/>
        </w:rPr>
        <w:t>Fills Gap G07 | Finance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Pre-auth automation with TPA-specific rule engines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Claim scrubber — auto-fix errors before submission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Denial pattern analysis per TPA/insurer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Auto-appeal generation for denied claims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Real-time claim status tracking dashboard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Rule engine + NLP (claim text analysis) + classification model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Reduce pre-auth time from 4hrs to 15min, reduce denials by 35%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5.3  Phase 3 — Advanced AI (Months 18-24)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AI-08: Ambient Clinical Intelligence</w:t>
      </w:r>
    </w:p>
    <w:p>
      <w:r>
        <w:rPr>
          <w:rFonts w:ascii="Calibri" w:hAnsi="Calibri"/>
          <w:b w:val="0"/>
          <w:i/>
          <w:color w:val="718096"/>
          <w:sz w:val="19"/>
        </w:rPr>
        <w:t>Fills Gap G02 | OPD Module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Hindi + English voice-to-text from doctor-patient conversations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Auto-generate SOAP notes from conversation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Extract prescriptions, lab orders, follow-up instructions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Doctor review + approve workflow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Integrates with existing OPD EMR module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Whisper/IndicWhisper (ASR) + Medical LLM (fine-tuned) + Structured output → EMR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Reduce documentation time by 70%, see 30% more patients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AI-09: AI Agents (Agentic Workflows)</w:t>
      </w:r>
    </w:p>
    <w:p>
      <w:r>
        <w:rPr>
          <w:rFonts w:ascii="Calibri" w:hAnsi="Calibri"/>
          <w:b w:val="0"/>
          <w:i/>
          <w:color w:val="718096"/>
          <w:sz w:val="19"/>
        </w:rPr>
        <w:t>New Capability | Platform-Wide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Phone scheduling agent — handles appointment calls in Hindi/English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Insurance pre-auth agent — auto-submits and follows up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Patient engagement agent — reminders, reports, queries via WhatsApp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Admin assistant — generates reports, answers queries about hospital data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Coding agent — auto-codes procedures and diagnoses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LLM orchestration (Claude/GPT) + tool-use APIs + HMS module connectors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Automate 40% of admin tasks, reduce phone staff by 50%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AI-10: NLP Medical Coding Engine</w:t>
      </w:r>
    </w:p>
    <w:p>
      <w:r>
        <w:rPr>
          <w:rFonts w:ascii="Calibri" w:hAnsi="Calibri"/>
          <w:b w:val="0"/>
          <w:i/>
          <w:color w:val="718096"/>
          <w:sz w:val="19"/>
        </w:rPr>
        <w:t>Fills Gap G15 | Finance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Clinical notes → ICD-10 code suggestions (top-3 with confidence)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Procedure auto-coding from operative notes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SNOMED CT mapping for ABDM compliance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DRG optimization for package-based billing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Coding audit — flag under-coded encounters</w:t>
      </w:r>
    </w:p>
    <w:p>
      <w:pPr>
        <w:spacing w:before="120" w:after="160"/>
        <w:ind w:left="283" w:right="283"/>
        <w:shd w:val="clear" w:color="auto" w:fill="FAF5FF"/>
      </w:pPr>
      <w:r>
        <w:rPr>
          <w:rFonts w:ascii="Calibri" w:hAnsi="Calibri"/>
          <w:b w:val="0"/>
          <w:i/>
          <w:color w:val="2D3748"/>
          <w:sz w:val="20"/>
        </w:rPr>
        <w:t>Tech Stack: Fine-tuned medical NLP model + ICD-10/SNOMED knowledge graph</w:t>
      </w:r>
    </w:p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📊  </w:t>
      </w:r>
      <w:r>
        <w:rPr>
          <w:rFonts w:ascii="Calibri" w:hAnsi="Calibri"/>
          <w:b w:val="0"/>
          <w:i/>
          <w:color w:val="2D3748"/>
          <w:sz w:val="20"/>
        </w:rPr>
        <w:t>Target KPI: 85%+ coding accuracy, recover ₹5-10L/year in undercoded revenue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5.4  Phase 4 — Frontier AI (Months 24-36)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AI-11: Hospital Digital Twin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Virtual simulation of patient flow through departments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“What-if” capacity planning for expansion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Bottleneck identification via process mining on Kafka events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Outbreak simulation (bed surge, staff reallocation)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AI-12: Population Health &amp; Federated Learning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Cross-tenant disease surveillance (privacy-preserving)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Treatment outcome benchmarking across hospital network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Federated ML — train models across tenants without sharing data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Genomics-ready patient profiles for pharmacogenomics</w:t>
      </w:r>
    </w:p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06  Emerging Technologies Integration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6.1  IoT &amp; Wearable Integration</w:t>
      </w:r>
    </w:p>
    <w:p>
      <w:r>
        <w:rPr>
          <w:rFonts w:ascii="Calibri" w:hAnsi="Calibri"/>
          <w:b w:val="0"/>
          <w:i/>
          <w:color w:val="7C3AED"/>
          <w:sz w:val="19"/>
        </w:rPr>
        <w:t>Timeline: Phase 3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Market: </w:t>
      </w:r>
      <w:r>
        <w:rPr>
          <w:rFonts w:ascii="Calibri" w:hAnsi="Calibri"/>
          <w:b w:val="0"/>
          <w:i w:val="0"/>
          <w:color w:val="2D3748"/>
          <w:sz w:val="21"/>
        </w:rPr>
        <w:t>7.4M smart medical devices by 2026 (avg 3,850+/hospital globally)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Bedside Monitors: </w:t>
      </w:r>
      <w:r>
        <w:rPr>
          <w:rFonts w:ascii="Calibri" w:hAnsi="Calibri"/>
          <w:b w:val="0"/>
          <w:i w:val="0"/>
          <w:color w:val="2D3748"/>
          <w:sz w:val="21"/>
        </w:rPr>
        <w:t>Auto-chart vitals (HR, BP, SpO2, temp) into EMR every 5 min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Infusion Pumps: </w:t>
      </w:r>
      <w:r>
        <w:rPr>
          <w:rFonts w:ascii="Calibri" w:hAnsi="Calibri"/>
          <w:b w:val="0"/>
          <w:i w:val="0"/>
          <w:color w:val="2D3748"/>
          <w:sz w:val="21"/>
        </w:rPr>
        <w:t>Medication administration tracking, dose alerts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Wearables: </w:t>
      </w:r>
      <w:r>
        <w:rPr>
          <w:rFonts w:ascii="Calibri" w:hAnsi="Calibri"/>
          <w:b w:val="0"/>
          <w:i w:val="0"/>
          <w:color w:val="2D3748"/>
          <w:sz w:val="21"/>
        </w:rPr>
        <w:t>Patient activity tracking, fall detection alerts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Architecture: </w:t>
      </w:r>
      <w:r>
        <w:rPr>
          <w:rFonts w:ascii="Calibri" w:hAnsi="Calibri"/>
          <w:b w:val="0"/>
          <w:i w:val="0"/>
          <w:color w:val="2D3748"/>
          <w:sz w:val="21"/>
        </w:rPr>
        <w:t>MQTT broker → Kafka IoT topic → Vitals auto-charting → EMR + anomaly alert engine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6.2  Blockchain for Health Records</w:t>
      </w:r>
    </w:p>
    <w:p>
      <w:r>
        <w:rPr>
          <w:rFonts w:ascii="Calibri" w:hAnsi="Calibri"/>
          <w:b w:val="0"/>
          <w:i/>
          <w:color w:val="7C3AED"/>
          <w:sz w:val="19"/>
        </w:rPr>
        <w:t>Timeline: Phase 4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Consent Ledger: </w:t>
      </w:r>
      <w:r>
        <w:rPr>
          <w:rFonts w:ascii="Calibri" w:hAnsi="Calibri"/>
          <w:b w:val="0"/>
          <w:i w:val="0"/>
          <w:color w:val="2D3748"/>
          <w:sz w:val="21"/>
        </w:rPr>
        <w:t>Smart contracts for data sharing consent (DPDP Act compliance)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Record Integrity: </w:t>
      </w:r>
      <w:r>
        <w:rPr>
          <w:rFonts w:ascii="Calibri" w:hAnsi="Calibri"/>
          <w:b w:val="0"/>
          <w:i w:val="0"/>
          <w:color w:val="2D3748"/>
          <w:sz w:val="21"/>
        </w:rPr>
        <w:t>Hash of every EMR update stored on-chain for tamper-proof audit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Insurance Claims: </w:t>
      </w:r>
      <w:r>
        <w:rPr>
          <w:rFonts w:ascii="Calibri" w:hAnsi="Calibri"/>
          <w:b w:val="0"/>
          <w:i w:val="0"/>
          <w:color w:val="2D3748"/>
          <w:sz w:val="21"/>
        </w:rPr>
        <w:t>Transparent claim lifecycle tracking (hospital ↔ TPA ↔ insurer)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Drug Supply Chain: </w:t>
      </w:r>
      <w:r>
        <w:rPr>
          <w:rFonts w:ascii="Calibri" w:hAnsi="Calibri"/>
          <w:b w:val="0"/>
          <w:i w:val="0"/>
          <w:color w:val="2D3748"/>
          <w:sz w:val="21"/>
        </w:rPr>
        <w:t>Verify drug authenticity from manufacturer to pharmacy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Approach: </w:t>
      </w:r>
      <w:r>
        <w:rPr>
          <w:rFonts w:ascii="Calibri" w:hAnsi="Calibri"/>
          <w:b w:val="0"/>
          <w:i w:val="0"/>
          <w:color w:val="2D3748"/>
          <w:sz w:val="21"/>
        </w:rPr>
        <w:t>Hyperledger Fabric (permissioned) — lightweight, not full blockchain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6.3  Native Telemedicine</w:t>
      </w:r>
    </w:p>
    <w:p>
      <w:r>
        <w:rPr>
          <w:rFonts w:ascii="Calibri" w:hAnsi="Calibri"/>
          <w:b w:val="0"/>
          <w:i/>
          <w:color w:val="7C3AED"/>
          <w:sz w:val="19"/>
        </w:rPr>
        <w:t>Timeline: Phase 2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Compliance: </w:t>
      </w:r>
      <w:r>
        <w:rPr>
          <w:rFonts w:ascii="Calibri" w:hAnsi="Calibri"/>
          <w:b w:val="0"/>
          <w:i w:val="0"/>
          <w:color w:val="2D3748"/>
          <w:sz w:val="21"/>
        </w:rPr>
        <w:t>India Telemedicine Practice Guidelines (TPG) 2020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Video: </w:t>
      </w:r>
      <w:r>
        <w:rPr>
          <w:rFonts w:ascii="Calibri" w:hAnsi="Calibri"/>
          <w:b w:val="0"/>
          <w:i w:val="0"/>
          <w:color w:val="2D3748"/>
          <w:sz w:val="21"/>
        </w:rPr>
        <w:t>WebRTC-based consultation embedded within OPD module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E-Prescription: </w:t>
      </w:r>
      <w:r>
        <w:rPr>
          <w:rFonts w:ascii="Calibri" w:hAnsi="Calibri"/>
          <w:b w:val="0"/>
          <w:i w:val="0"/>
          <w:color w:val="2D3748"/>
          <w:sz w:val="21"/>
        </w:rPr>
        <w:t>Digital signature valid for teleconsult prescriptions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Billing: </w:t>
      </w:r>
      <w:r>
        <w:rPr>
          <w:rFonts w:ascii="Calibri" w:hAnsi="Calibri"/>
          <w:b w:val="0"/>
          <w:i w:val="0"/>
          <w:color w:val="2D3748"/>
          <w:sz w:val="21"/>
        </w:rPr>
        <w:t>Teleconsult billing with different tariff structure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Recording: </w:t>
      </w:r>
      <w:r>
        <w:rPr>
          <w:rFonts w:ascii="Calibri" w:hAnsi="Calibri"/>
          <w:b w:val="0"/>
          <w:i w:val="0"/>
          <w:color w:val="2D3748"/>
          <w:sz w:val="21"/>
        </w:rPr>
        <w:t>With patient consent for medico-legal compliance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6.4  Voice-First EMR / Ambient Clinical Intelligence</w:t>
      </w:r>
    </w:p>
    <w:p>
      <w:r>
        <w:rPr>
          <w:rFonts w:ascii="Calibri" w:hAnsi="Calibri"/>
          <w:b w:val="0"/>
          <w:i/>
          <w:color w:val="7C3AED"/>
          <w:sz w:val="19"/>
        </w:rPr>
        <w:t>Timeline: Phase 3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Market: </w:t>
      </w:r>
      <w:r>
        <w:rPr>
          <w:rFonts w:ascii="Calibri" w:hAnsi="Calibri"/>
          <w:b w:val="0"/>
          <w:i w:val="0"/>
          <w:color w:val="2D3748"/>
          <w:sz w:val="21"/>
        </w:rPr>
        <w:t>$1.92B (2024) → $11.58B (2033) at 22% CAGR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Abridge: </w:t>
      </w:r>
      <w:r>
        <w:rPr>
          <w:rFonts w:ascii="Calibri" w:hAnsi="Calibri"/>
          <w:b w:val="0"/>
          <w:i w:val="0"/>
          <w:color w:val="2D3748"/>
          <w:sz w:val="21"/>
        </w:rPr>
        <w:t>$300M Series E, deployed at Kaiser Permanente (40 hospitals), $600M revenue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Microsoft: </w:t>
      </w:r>
      <w:r>
        <w:rPr>
          <w:rFonts w:ascii="Calibri" w:hAnsi="Calibri"/>
          <w:b w:val="0"/>
          <w:i w:val="0"/>
          <w:color w:val="2D3748"/>
          <w:sz w:val="21"/>
        </w:rPr>
        <w:t>Dragon Copilot / Nuance DAX embedded into Epic/Oracle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HMS Opportunity: </w:t>
      </w:r>
      <w:r>
        <w:rPr>
          <w:rFonts w:ascii="Calibri" w:hAnsi="Calibri"/>
          <w:b w:val="0"/>
          <w:i w:val="0"/>
          <w:color w:val="2D3748"/>
          <w:sz w:val="21"/>
        </w:rPr>
        <w:t>None of these support Hindi. HMS Enterprise can be the first Hindi-capable ambient clinical AI — massive moat.</w:t>
      </w:r>
    </w:p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07  Regulatory Landscape &amp; Compliance Roadmap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7.1  ABDM (Ayushman Bharat Digital Mission) — Mandatory 2026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ABHA ID: </w:t>
      </w:r>
      <w:r>
        <w:rPr>
          <w:rFonts w:ascii="Calibri" w:hAnsi="Calibri"/>
          <w:b w:val="0"/>
          <w:i w:val="0"/>
          <w:color w:val="2D3748"/>
          <w:sz w:val="21"/>
        </w:rPr>
        <w:t>Create, verify, link to patient records. Mandatory for AB-PMJAY hospitals.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HIP/HIU: </w:t>
      </w:r>
      <w:r>
        <w:rPr>
          <w:rFonts w:ascii="Calibri" w:hAnsi="Calibri"/>
          <w:b w:val="0"/>
          <w:i w:val="0"/>
          <w:color w:val="2D3748"/>
          <w:sz w:val="21"/>
        </w:rPr>
        <w:t>Health Information Provider (push) and User (pull) flows.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HFR: </w:t>
      </w:r>
      <w:r>
        <w:rPr>
          <w:rFonts w:ascii="Calibri" w:hAnsi="Calibri"/>
          <w:b w:val="0"/>
          <w:i w:val="0"/>
          <w:color w:val="2D3748"/>
          <w:sz w:val="21"/>
        </w:rPr>
        <w:t>Health Facility Registry — every hospital must register.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PHR App: </w:t>
      </w:r>
      <w:r>
        <w:rPr>
          <w:rFonts w:ascii="Calibri" w:hAnsi="Calibri"/>
          <w:b w:val="0"/>
          <w:i w:val="0"/>
          <w:color w:val="2D3748"/>
          <w:sz w:val="21"/>
        </w:rPr>
        <w:t>Push records to patient’s digital health locker.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FHIR R4: </w:t>
      </w:r>
      <w:r>
        <w:rPr>
          <w:rFonts w:ascii="Calibri" w:hAnsi="Calibri"/>
          <w:b w:val="0"/>
          <w:i w:val="0"/>
          <w:color w:val="2D3748"/>
          <w:sz w:val="21"/>
        </w:rPr>
        <w:t>Required data format for ABDM health record exchange.</w:t>
      </w:r>
    </w:p>
    <w:p>
      <w:pPr>
        <w:spacing w:before="120" w:after="160"/>
        <w:ind w:left="283" w:right="283"/>
        <w:shd w:val="clear" w:color="auto" w:fill="FFFFF0"/>
      </w:pPr>
      <w:r>
        <w:rPr>
          <w:rFonts w:ascii="Calibri" w:hAnsi="Calibri"/>
          <w:b w:val="0"/>
          <w:i w:val="0"/>
          <w:color w:val="1A202C"/>
          <w:sz w:val="22"/>
        </w:rPr>
        <w:t xml:space="preserve">⚠️  </w:t>
      </w:r>
      <w:r>
        <w:rPr>
          <w:rFonts w:ascii="Calibri" w:hAnsi="Calibri"/>
          <w:b w:val="0"/>
          <w:i/>
          <w:color w:val="2D3748"/>
          <w:sz w:val="20"/>
        </w:rPr>
        <w:t>ABDM/ABHA integration planned as Day-1 feature. Full HIP/HIU/HFR compliance.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7.2  NABH 6th Edition (January 2025) — Active Now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Digital Health Technology: </w:t>
      </w:r>
      <w:r>
        <w:rPr>
          <w:rFonts w:ascii="Calibri" w:hAnsi="Calibri"/>
          <w:b w:val="0"/>
          <w:i w:val="0"/>
          <w:color w:val="2D3748"/>
          <w:sz w:val="21"/>
        </w:rPr>
        <w:t>New emphasis; 100+ hospitals received Digital Health Accreditation.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Digital EMR: </w:t>
      </w:r>
      <w:r>
        <w:rPr>
          <w:rFonts w:ascii="Calibri" w:hAnsi="Calibri"/>
          <w:b w:val="0"/>
          <w:i w:val="0"/>
          <w:color w:val="2D3748"/>
          <w:sz w:val="21"/>
        </w:rPr>
        <w:t>Paper medical records insufficient for accreditation.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Medication Safety: </w:t>
      </w:r>
      <w:r>
        <w:rPr>
          <w:rFonts w:ascii="Calibri" w:hAnsi="Calibri"/>
          <w:b w:val="0"/>
          <w:i w:val="0"/>
          <w:color w:val="2D3748"/>
          <w:sz w:val="21"/>
        </w:rPr>
        <w:t>Drug interaction checks, allergy alerts mandatory.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Quality Indicators: </w:t>
      </w:r>
      <w:r>
        <w:rPr>
          <w:rFonts w:ascii="Calibri" w:hAnsi="Calibri"/>
          <w:b w:val="0"/>
          <w:i w:val="0"/>
          <w:color w:val="2D3748"/>
          <w:sz w:val="21"/>
        </w:rPr>
        <w:t>Digital dashboards for NABH quality metrics.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Audit Trail: </w:t>
      </w:r>
      <w:r>
        <w:rPr>
          <w:rFonts w:ascii="Calibri" w:hAnsi="Calibri"/>
          <w:b w:val="0"/>
          <w:i w:val="0"/>
          <w:color w:val="2D3748"/>
          <w:sz w:val="21"/>
        </w:rPr>
        <w:t>Every clinical action must be logged and traceable.</w:t>
      </w:r>
    </w:p>
    <w:p>
      <w:pPr>
        <w:spacing w:before="120" w:after="160"/>
        <w:ind w:left="283" w:right="283"/>
        <w:shd w:val="clear" w:color="auto" w:fill="FFFFF0"/>
      </w:pPr>
      <w:r>
        <w:rPr>
          <w:rFonts w:ascii="Calibri" w:hAnsi="Calibri"/>
          <w:b w:val="0"/>
          <w:i w:val="0"/>
          <w:color w:val="1A202C"/>
          <w:sz w:val="22"/>
        </w:rPr>
        <w:t xml:space="preserve">⚠️  </w:t>
      </w:r>
      <w:r>
        <w:rPr>
          <w:rFonts w:ascii="Calibri" w:hAnsi="Calibri"/>
          <w:b w:val="0"/>
          <w:i/>
          <w:color w:val="2D3748"/>
          <w:sz w:val="20"/>
        </w:rPr>
        <w:t>Hospitals without digital HMS will lose NABH accreditation → lose insurance empanelment → lose CGHS/ECHS enrollment.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7.3  DPDP Act 2023 (Data Protection) — Enacted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Note: </w:t>
      </w:r>
      <w:r>
        <w:rPr>
          <w:rFonts w:ascii="Calibri" w:hAnsi="Calibri"/>
          <w:b w:val="0"/>
          <w:i w:val="0"/>
          <w:color w:val="2D3748"/>
          <w:sz w:val="21"/>
        </w:rPr>
        <w:t>DISHA was never enacted; DPDP Act 2023 (ratified Aug 2023) is India’s primary data protection law.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Patient Consent: </w:t>
      </w:r>
      <w:r>
        <w:rPr>
          <w:rFonts w:ascii="Calibri" w:hAnsi="Calibri"/>
          <w:b w:val="0"/>
          <w:i w:val="0"/>
          <w:color w:val="2D3748"/>
          <w:sz w:val="21"/>
        </w:rPr>
        <w:t>Explicit opt-in for data processing, right to withdraw.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Data Localization: </w:t>
      </w:r>
      <w:r>
        <w:rPr>
          <w:rFonts w:ascii="Calibri" w:hAnsi="Calibri"/>
          <w:b w:val="0"/>
          <w:i w:val="0"/>
          <w:color w:val="2D3748"/>
          <w:sz w:val="21"/>
        </w:rPr>
        <w:t>Health data must be stored in India.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Breach Notification: </w:t>
      </w:r>
      <w:r>
        <w:rPr>
          <w:rFonts w:ascii="Calibri" w:hAnsi="Calibri"/>
          <w:b w:val="0"/>
          <w:i w:val="0"/>
          <w:color w:val="2D3748"/>
          <w:sz w:val="21"/>
        </w:rPr>
        <w:t>Mandatory notification to Data Protection Board.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Penalties: </w:t>
      </w:r>
      <w:r>
        <w:rPr>
          <w:rFonts w:ascii="Calibri" w:hAnsi="Calibri"/>
          <w:b w:val="0"/>
          <w:i w:val="0"/>
          <w:color w:val="2D3748"/>
          <w:sz w:val="21"/>
        </w:rPr>
        <w:t>Up to ₹250 Crore for non-compliance.</w:t>
      </w:r>
    </w:p>
    <w:p>
      <w:pPr>
        <w:spacing w:before="120" w:after="160"/>
        <w:ind w:left="283" w:right="283"/>
        <w:shd w:val="clear" w:color="auto" w:fill="FFFFF0"/>
      </w:pPr>
      <w:r>
        <w:rPr>
          <w:rFonts w:ascii="Calibri" w:hAnsi="Calibri"/>
          <w:b w:val="0"/>
          <w:i w:val="0"/>
          <w:color w:val="1A202C"/>
          <w:sz w:val="22"/>
        </w:rPr>
        <w:t xml:space="preserve">⚠️  </w:t>
      </w:r>
      <w:r>
        <w:rPr>
          <w:rFonts w:ascii="Calibri" w:hAnsi="Calibri"/>
          <w:b w:val="0"/>
          <w:i/>
          <w:color w:val="2D3748"/>
          <w:sz w:val="20"/>
        </w:rPr>
        <w:t>Schema-isolated multi-tenancy + AES-256 encryption + audit trail + consent module = DPDP-ready from Day 1.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7.4  Upcoming Regulations (2026-2028)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AI in Healthcare: </w:t>
      </w:r>
      <w:r>
        <w:rPr>
          <w:rFonts w:ascii="Calibri" w:hAnsi="Calibri"/>
          <w:b w:val="0"/>
          <w:i w:val="0"/>
          <w:color w:val="2D3748"/>
          <w:sz w:val="21"/>
        </w:rPr>
        <w:t>Expected CDSCO/MoHFW guidelines for AI-based clinical tools.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Telemedicine Act: </w:t>
      </w:r>
      <w:r>
        <w:rPr>
          <w:rFonts w:ascii="Calibri" w:hAnsi="Calibri"/>
          <w:b w:val="0"/>
          <w:i w:val="0"/>
          <w:color w:val="2D3748"/>
          <w:sz w:val="21"/>
        </w:rPr>
        <w:t>Comprehensive regulation to replace TPG 2020.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Health Data Exchange: </w:t>
      </w:r>
      <w:r>
        <w:rPr>
          <w:rFonts w:ascii="Calibri" w:hAnsi="Calibri"/>
          <w:b w:val="0"/>
          <w:i w:val="0"/>
          <w:color w:val="2D3748"/>
          <w:sz w:val="21"/>
        </w:rPr>
        <w:t>ABDM pushing mandatory FHIR R4 for all hospitals.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Cybersecurity: </w:t>
      </w:r>
      <w:r>
        <w:rPr>
          <w:rFonts w:ascii="Calibri" w:hAnsi="Calibri"/>
          <w:b w:val="0"/>
          <w:i w:val="0"/>
          <w:color w:val="2D3748"/>
          <w:sz w:val="21"/>
        </w:rPr>
        <w:t>Healthcare as Critical Information Infrastructure (CERT-In).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/>
          <w:i w:val="0"/>
          <w:color w:val="1B3A5C"/>
          <w:sz w:val="21"/>
        </w:rPr>
        <w:t xml:space="preserve">Drug Traceability: </w:t>
      </w:r>
      <w:r>
        <w:rPr>
          <w:rFonts w:ascii="Calibri" w:hAnsi="Calibri"/>
          <w:b w:val="0"/>
          <w:i w:val="0"/>
          <w:color w:val="2D3748"/>
          <w:sz w:val="21"/>
        </w:rPr>
        <w:t>Track-and-trace for pharmaceutical supply chain.</w:t>
      </w:r>
    </w:p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08  Go-to-Market Strategy: AI-First Positioning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8.1  Positioning Statement</w:t>
      </w:r>
    </w:p>
    <w:p>
      <w:pPr>
        <w:ind w:left="567" w:right="567"/>
        <w:shd w:val="clear" w:color="auto" w:fill="FAF5FF"/>
      </w:pPr>
      <w:r>
        <w:rPr>
          <w:rFonts w:ascii="Calibri" w:hAnsi="Calibri"/>
          <w:b w:val="0"/>
          <w:i/>
          <w:color w:val="2D3748"/>
          <w:sz w:val="22"/>
        </w:rPr>
        <w:t xml:space="preserve">For </w:t>
      </w:r>
      <w:r>
        <w:rPr>
          <w:rFonts w:ascii="Calibri" w:hAnsi="Calibri"/>
          <w:b/>
          <w:i w:val="0"/>
          <w:color w:val="1B3A5C"/>
          <w:sz w:val="22"/>
        </w:rPr>
        <w:t>Tier-2/3 hospital groups</w:t>
      </w:r>
      <w:r>
        <w:rPr>
          <w:rFonts w:ascii="Calibri" w:hAnsi="Calibri"/>
          <w:b w:val="0"/>
          <w:i/>
          <w:color w:val="2D3748"/>
          <w:sz w:val="22"/>
        </w:rPr>
        <w:t xml:space="preserve"> who need enterprise-grade digital operations, </w:t>
      </w:r>
      <w:r>
        <w:rPr>
          <w:rFonts w:ascii="Calibri" w:hAnsi="Calibri"/>
          <w:b/>
          <w:i w:val="0"/>
          <w:color w:val="7C3AED"/>
          <w:sz w:val="22"/>
        </w:rPr>
        <w:t>HMS Enterprise</w:t>
      </w:r>
      <w:r>
        <w:rPr>
          <w:rFonts w:ascii="Calibri" w:hAnsi="Calibri"/>
          <w:b w:val="0"/>
          <w:i/>
          <w:color w:val="2D3748"/>
          <w:sz w:val="22"/>
        </w:rPr>
        <w:t xml:space="preserve"> is the only </w:t>
      </w:r>
      <w:r>
        <w:rPr>
          <w:rFonts w:ascii="Calibri" w:hAnsi="Calibri"/>
          <w:b/>
          <w:i w:val="0"/>
          <w:color w:val="1B3A5C"/>
          <w:sz w:val="22"/>
        </w:rPr>
        <w:t>AI-native, multi-tenant hospital management platform</w:t>
      </w:r>
      <w:r>
        <w:rPr>
          <w:rFonts w:ascii="Calibri" w:hAnsi="Calibri"/>
          <w:b w:val="0"/>
          <w:i/>
          <w:color w:val="2D3748"/>
          <w:sz w:val="22"/>
        </w:rPr>
        <w:t xml:space="preserve"> that delivers </w:t>
      </w:r>
      <w:r>
        <w:rPr>
          <w:rFonts w:ascii="Calibri" w:hAnsi="Calibri"/>
          <w:b/>
          <w:i w:val="0"/>
          <w:color w:val="7C3AED"/>
          <w:sz w:val="22"/>
        </w:rPr>
        <w:t>12 AI/ML capabilities</w:t>
      </w:r>
      <w:r>
        <w:rPr>
          <w:rFonts w:ascii="Calibri" w:hAnsi="Calibri"/>
          <w:b w:val="0"/>
          <w:i/>
          <w:color w:val="2D3748"/>
          <w:sz w:val="22"/>
        </w:rPr>
        <w:t xml:space="preserve"> at Tier-2/3 pricing with Day-1 ABDM + NABH + DPDP compliance.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8.2  Three Key Differentiators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Differentiator 1: “AI That Indian Doctors Actually Need”</w:t>
      </w:r>
    </w:p>
    <w:p>
      <w:pPr>
        <w:spacing w:after="120" w:line="324" w:lineRule="auto"/>
        <w:ind w:left="454"/>
      </w:pPr>
      <w:r>
        <w:rPr>
          <w:rFonts w:ascii="Calibri" w:hAnsi="Calibri"/>
          <w:b w:val="0"/>
          <w:i w:val="0"/>
          <w:color w:val="2D3748"/>
          <w:sz w:val="21"/>
        </w:rPr>
        <w:t>Hindi ambient clinical intelligence, ICMR-aligned CDSS, insurance claim AI for Indian TPAs — not imported US features. Built for Indian clinical workflows from Day 1.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Differentiator 2: “Enterprise Architecture, Tier-2 Pricing”</w:t>
      </w:r>
    </w:p>
    <w:p>
      <w:pPr>
        <w:spacing w:after="120" w:line="324" w:lineRule="auto"/>
        <w:ind w:left="454"/>
      </w:pPr>
      <w:r>
        <w:rPr>
          <w:rFonts w:ascii="Calibri" w:hAnsi="Calibri"/>
          <w:b w:val="0"/>
          <w:i w:val="0"/>
          <w:color w:val="2D3748"/>
          <w:sz w:val="21"/>
        </w:rPr>
        <w:t>Kafka event-driven, schema-isolated multi-tenancy, 6-tier RBAC — architecture Oracle charges ₹50L+ for — starting at ₹3L/year. Milestone payments, free POC.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Differentiator 3: “Compliance Without Compromise”</w:t>
      </w:r>
    </w:p>
    <w:p>
      <w:pPr>
        <w:spacing w:after="120" w:line="324" w:lineRule="auto"/>
        <w:ind w:left="454"/>
      </w:pPr>
      <w:r>
        <w:rPr>
          <w:rFonts w:ascii="Calibri" w:hAnsi="Calibri"/>
          <w:b w:val="0"/>
          <w:i w:val="0"/>
          <w:color w:val="2D3748"/>
          <w:sz w:val="21"/>
        </w:rPr>
        <w:t>ABDM + NABH 6th Edition + DPDP Act — triple compliance built-in. Get NABH-ready in 16 weeks. Don’t lose accreditation or empanelment.</w:t>
      </w:r>
    </w:p>
    <w:p>
      <w:pPr>
        <w:spacing w:before="240" w:after="160"/>
        <w:pBdr>
          <w:bottom w:val="single" w:sz="4" w:color="EDF2F7" w:space="1"/>
        </w:pBdr>
      </w:pPr>
      <w:r>
        <w:rPr>
          <w:rFonts w:ascii="Calibri" w:hAnsi="Calibri"/>
          <w:b/>
          <w:i w:val="0"/>
          <w:color w:val="0D7377"/>
          <w:sz w:val="32"/>
        </w:rPr>
        <w:t>8.3  Target Segment Prioritization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569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Segment</w:t>
            </w:r>
          </w:p>
        </w:tc>
        <w:tc>
          <w:tcPr>
            <w:tcW w:type="dxa" w:w="1569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Size (est.)</w:t>
            </w:r>
          </w:p>
        </w:tc>
        <w:tc>
          <w:tcPr>
            <w:tcW w:type="dxa" w:w="1569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Pain Point</w:t>
            </w:r>
          </w:p>
        </w:tc>
        <w:tc>
          <w:tcPr>
            <w:tcW w:type="dxa" w:w="1569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HMS Hook</w:t>
            </w:r>
          </w:p>
        </w:tc>
        <w:tc>
          <w:tcPr>
            <w:tcW w:type="dxa" w:w="1569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Deal Size</w:t>
            </w:r>
          </w:p>
        </w:tc>
      </w:tr>
      <w:tr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P0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Tier-2/3 multi-branch (50-300 beds)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~5,000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No affordable multi-tenant + NABH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Schema tenancy + NABH + AI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₹5-12L/yr</w:t>
            </w:r>
          </w:p>
        </w:tc>
      </w:tr>
      <w:tr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P1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Single-location (100-200 beds)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~15,000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Paper/Excel, losing NABH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NABH + GST + patient portal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₹3-6L/yr</w:t>
            </w:r>
          </w:p>
        </w:tc>
      </w:tr>
      <w:tr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P1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Diagnostic chains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~3,000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Lab TAT, no barcode tracking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Lab module + ABDM + AI TAT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₹4-8L/yr</w:t>
            </w:r>
          </w:p>
        </w:tc>
      </w:tr>
      <w:tr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P2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Nursing homes (20-50 beds)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~30,000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Basic digitization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Starter: OPD + Pharma + Finance</w:t>
            </w:r>
          </w:p>
        </w:tc>
        <w:tc>
          <w:tcPr>
            <w:tcW w:type="dxa" w:w="1569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₹1.5-3L/yr</w:t>
            </w:r>
          </w:p>
        </w:tc>
      </w:tr>
      <w:tr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P3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Government (NIC migration)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~2,000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Poor UX, no analytics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Modern UX + BI + ABDM + WA</w:t>
            </w:r>
          </w:p>
        </w:tc>
        <w:tc>
          <w:tcPr>
            <w:tcW w:type="dxa" w:w="1569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₹8-15L/yr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09  Revenue Model &amp; Pricing Strategy</w:t>
      </w:r>
    </w:p>
    <w:p>
      <w:pPr>
        <w:spacing w:after="120" w:line="324" w:lineRule="auto"/>
      </w:pPr>
      <w:r>
        <w:rPr>
          <w:rFonts w:ascii="Calibri" w:hAnsi="Calibri"/>
          <w:b w:val="0"/>
          <w:i w:val="0"/>
          <w:color w:val="2D3748"/>
          <w:sz w:val="21"/>
        </w:rPr>
        <w:t>Three-tier pricing strategy with AI/ML as the premium differentiator. Each tier is designed to match a specific hospital segment’s budget and needs.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2353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Starter</w:t>
            </w:r>
          </w:p>
        </w:tc>
        <w:tc>
          <w:tcPr>
            <w:tcW w:type="dxa" w:w="2353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Professional</w:t>
            </w:r>
          </w:p>
        </w:tc>
        <w:tc>
          <w:tcPr>
            <w:tcW w:type="dxa" w:w="2353"/>
            <w:shd w:val="clear" w:color="auto" w:fill="0F2640"/>
            <w:tcBorders>
              <w:top w:val="single" w:sz="4" w:color="0F2640"/>
            </w:tcBorders>
            <w:tcBorders>
              <w:bottom w:val="single" w:sz="4" w:color="0F2640"/>
            </w:tcBorders>
            <w:tcBorders>
              <w:left w:val="single" w:sz="4" w:color="0F2640"/>
            </w:tcBorders>
            <w:tcBorders>
              <w:right w:val="single" w:sz="4" w:color="0F264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Enterprise AI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Annual Price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₹3L/year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₹6-8L/year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₹10-15L/year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Target Segment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Nursing homes, clinics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Mid-size hospitals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Hospital chains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Modules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OPD + Pharmacy + Finance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All 12 modules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All 12 + AI suite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RBAC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3-tier basic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6-tier full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6-tier + field-level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BI Dashboards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Standard reports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Real-time dashboards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AI-powered analytics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Patient Portal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Full PWA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Full PWA + AI chatbot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AI/ML Modules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None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Phase 1 (3 modules)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All 12 AI modules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Branches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Single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Up to 5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Unlimited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ABDM/ABHA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38A169"/>
                <w:sz w:val="18"/>
              </w:rPr>
              <w:t>Yes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Support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Email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Email + Phone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Dedicated + SLA</w:t>
            </w:r>
          </w:p>
        </w:tc>
      </w:tr>
      <w:tr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Ambient AI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E53E3E"/>
                <w:sz w:val="18"/>
              </w:rPr>
              <w:t>No</w:t>
            </w:r>
          </w:p>
        </w:tc>
        <w:tc>
          <w:tcPr>
            <w:tcW w:type="dxa" w:w="2353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Yes (Hindi + English)</w:t>
            </w:r>
          </w:p>
        </w:tc>
      </w:tr>
      <w:tr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Implementation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2-4 weeks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6-8 weeks</w:t>
            </w:r>
          </w:p>
        </w:tc>
        <w:tc>
          <w:tcPr>
            <w:tcW w:type="dxa" w:w="2353"/>
            <w:shd w:val="clear" w:color="auto" w:fill="F7FAFC"/>
            <w:tcBorders>
              <w:bottom w:val="single" w:sz="2" w:color="E2E8F0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8-12 weeks</w:t>
            </w:r>
          </w:p>
        </w:tc>
      </w:tr>
    </w:tbl>
    <w:p/>
    <w:p>
      <w:pPr>
        <w:spacing w:before="120" w:after="160"/>
        <w:ind w:left="283" w:right="283"/>
        <w:shd w:val="clear" w:color="auto" w:fill="F0FFF4"/>
      </w:pPr>
      <w:r>
        <w:rPr>
          <w:rFonts w:ascii="Calibri" w:hAnsi="Calibri"/>
          <w:b w:val="0"/>
          <w:i w:val="0"/>
          <w:color w:val="1A202C"/>
          <w:sz w:val="22"/>
        </w:rPr>
        <w:t xml:space="preserve">💰  </w:t>
      </w:r>
      <w:r>
        <w:rPr>
          <w:rFonts w:ascii="Calibri" w:hAnsi="Calibri"/>
          <w:b w:val="0"/>
          <w:i/>
          <w:color w:val="2D3748"/>
          <w:sz w:val="20"/>
        </w:rPr>
        <w:t>Revenue Projections: 50 hospitals on Professional plan = ₹3-4 Cr/year. 20 hospitals on Enterprise AI = ₹2-3 Cr/year. Combined Year 1 target: ₹5-7 Cr ARR.</w:t>
      </w:r>
    </w:p>
    <w:p>
      <w:r>
        <w:br w:type="page"/>
      </w:r>
    </w:p>
    <w:p>
      <w:pPr>
        <w:spacing w:before="360" w:after="160"/>
        <w:pBdr>
          <w:bottom w:val="single" w:sz="8" w:color="0D7377" w:space="1"/>
        </w:pBdr>
      </w:pPr>
      <w:r>
        <w:rPr>
          <w:rFonts w:ascii="Calibri" w:hAnsi="Calibri"/>
          <w:b/>
          <w:i w:val="0"/>
          <w:color w:val="1B3A5C"/>
          <w:sz w:val="44"/>
        </w:rPr>
        <w:t>10  Sources &amp; References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Market Reports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Verified Market Reports — Hospital Management System Software Market 2033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Grand View Research — India Healthcare Information System Market 2030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IMARC Group — India Hospital Market Size &amp; Share 2025-2034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Mordor Intelligence — Asia-Pacific HMS Market Analysis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Fortune Business Insights — Global HMS Market Forecast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Statista — Healthcare IT Spending India 2024-2030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AI/ML in Healthcare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Health Affairs — AI/Predictive Models in US Hospitals (2024)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McKinsey — Agentic AI &amp; Touchless Revenue Cycle (2025)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Menlo Ventures — State of AI in Healthcare 2025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AJMC — Ambient AI Adoption in US Hospitals (62.6%)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Citeline — HIMSS 2026: AI Integration, ROI, Clinical Pain Points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FDA — AI/ML Authorized Medical Devices Database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Nature Medicine — Clinical Decision Support Systems Review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Ambient AI &amp; Voice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Abridge — $300M Series E, Kaiser Permanente deployment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Microsoft — Dragon Copilot / Nuance DAX Integration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Oracle Health — Next-Gen EHR with Voice AI (Aug 2025)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Epic — Native AI Agents Preview at UGM 2025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Suki AI — Voice Assistant Clinical Documentation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India Regulatory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NABH — 6th Edition Accreditation Standards (Jan 2025)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NHA — ABDM Compliance Requirements for AB-PMJAY 2026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DPDP Act 2023 — Digital Personal Data Protection (Aug 2023)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CERT-In — Healthcare Critical Infrastructure Guidelines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MoHFW — Telemedicine Practice Guidelines 2020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ICMR — Ethical Guidelines for AI in Biomedical Research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Digital Transformation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Nature (2024) — Barriers to Digital Transformation in Indian Health Sector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WHO — Digital Health Strategy 2020-2025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Deloitte — Smart Hospital: Connected, Efficient, Effective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Accenture — Healthcare Technology Vision 2025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NASSCOM — India HealthTech Landscape Report 2024</w:t>
      </w:r>
    </w:p>
    <w:p>
      <w:pPr>
        <w:spacing w:before="240" w:after="160"/>
      </w:pPr>
      <w:r>
        <w:rPr>
          <w:rFonts w:ascii="Calibri" w:hAnsi="Calibri"/>
          <w:b/>
          <w:i w:val="0"/>
          <w:color w:val="1B3A5C"/>
          <w:sz w:val="26"/>
        </w:rPr>
        <w:t>Competitor Intelligence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Practo/Insta — 18K+ daily users, 1250+ centers, 22 countries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MocDoc — Feature matrix, pricing ranges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Attune Technologies — NxG HMS specifications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KareXpert — Cloud HMS product details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NIC eHospital — Government HMS, 1000+ facilities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Oracle Health — Next-gen EHR announcements (2025)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Epic Systems — 41.3% US market share, AI agents</w:t>
      </w:r>
    </w:p>
    <w:p>
      <w:pPr>
        <w:spacing w:after="60"/>
        <w:ind w:left="680" w:hanging="227"/>
      </w:pPr>
      <w:r>
        <w:rPr>
          <w:rFonts w:ascii="Calibri" w:hAnsi="Calibri"/>
          <w:b w:val="0"/>
          <w:i w:val="0"/>
          <w:color w:val="0D7377"/>
          <w:sz w:val="21"/>
        </w:rPr>
        <w:t xml:space="preserve">  •  </w:t>
      </w:r>
      <w:r>
        <w:rPr>
          <w:rFonts w:ascii="Calibri" w:hAnsi="Calibri"/>
          <w:b w:val="0"/>
          <w:i w:val="0"/>
          <w:color w:val="2D3748"/>
          <w:sz w:val="21"/>
        </w:rPr>
        <w:t>MEDITECH — Expanse platform, 11.9% market share</w:t>
      </w:r>
    </w:p>
    <w:p>
      <w:r>
        <w:br w:type="page"/>
      </w:r>
    </w:p>
    <w:p>
      <w:pPr>
        <w:spacing w:after="0"/>
        <w:jc w:val="center"/>
        <w:shd w:val="clear" w:color="auto" w:fill="0F2640"/>
      </w:pPr>
      <w:r>
        <w:rPr>
          <w:rFonts w:ascii="Calibri" w:hAnsi="Calibri"/>
          <w:b w:val="0"/>
          <w:i w:val="0"/>
          <w:color w:val="1A202C"/>
          <w:sz w:val="12"/>
        </w:rPr>
        <w:br/>
      </w:r>
      <w:r>
        <w:rPr>
          <w:rFonts w:ascii="Calibri" w:hAnsi="Calibri"/>
          <w:b/>
          <w:i w:val="0"/>
          <w:color w:val="FFFFFF"/>
          <w:sz w:val="24"/>
        </w:rPr>
        <w:t>END OF DOCUMENT</w:t>
      </w:r>
      <w:r>
        <w:rPr>
          <w:rFonts w:ascii="Calibri" w:hAnsi="Calibri"/>
          <w:b w:val="0"/>
          <w:i w:val="0"/>
          <w:color w:val="1A202C"/>
          <w:sz w:val="12"/>
        </w:rPr>
        <w:br/>
      </w:r>
    </w:p>
    <w:p/>
    <w:p>
      <w:pPr>
        <w:jc w:val="center"/>
      </w:pPr>
      <w:r>
        <w:rPr>
          <w:rFonts w:ascii="Calibri" w:hAnsi="Calibri"/>
          <w:b w:val="0"/>
          <w:i w:val="0"/>
          <w:color w:val="718096"/>
          <w:sz w:val="20"/>
        </w:rPr>
        <w:t>HMS Enterprise — Deep Market Research, Gap Analysis &amp; AI/ML Innovation Roadmap</w:t>
      </w:r>
    </w:p>
    <w:p>
      <w:pPr>
        <w:jc w:val="center"/>
      </w:pPr>
      <w:r>
        <w:rPr>
          <w:rFonts w:ascii="Calibri" w:hAnsi="Calibri"/>
          <w:b w:val="0"/>
          <w:i w:val="0"/>
          <w:color w:val="718096"/>
          <w:sz w:val="18"/>
        </w:rPr>
        <w:t xml:space="preserve">Version 1.0  |  </w:t>
      </w:r>
      <w:r>
        <w:rPr>
          <w:rFonts w:ascii="Calibri" w:hAnsi="Calibri"/>
          <w:b w:val="0"/>
          <w:i w:val="0"/>
          <w:color w:val="718096"/>
          <w:sz w:val="18"/>
        </w:rPr>
        <w:t>March 2026</w:t>
      </w:r>
      <w:r>
        <w:rPr>
          <w:rFonts w:ascii="Calibri" w:hAnsi="Calibri"/>
          <w:b w:val="0"/>
          <w:i w:val="0"/>
          <w:color w:val="718096"/>
          <w:sz w:val="18"/>
        </w:rPr>
        <w:t xml:space="preserve">  |  TGWT Solutions Pvt. Ltd.</w:t>
      </w:r>
    </w:p>
    <w:p>
      <w:pPr>
        <w:jc w:val="center"/>
      </w:pPr>
      <w:r>
        <w:rPr>
          <w:rFonts w:ascii="Calibri" w:hAnsi="Calibri"/>
          <w:b/>
          <w:i w:val="0"/>
          <w:color w:val="C49A2A"/>
          <w:sz w:val="18"/>
        </w:rPr>
        <w:t>CONFIDENTIAL — For internal strategic planning use only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