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B3A5C"/>
          <w:sz w:val="72"/>
        </w:rPr>
        <w:t>STATEMENT OF WORK</w:t>
      </w:r>
    </w:p>
    <w:p>
      <w:pPr>
        <w:jc w:val="center"/>
      </w:pPr>
      <w:r>
        <w:rPr>
          <w:color w:val="2C5282"/>
          <w:sz w:val="48"/>
        </w:rPr>
        <w:t>HMS Enterprise Platform</w:t>
      </w:r>
    </w:p>
    <w:p>
      <w:pPr>
        <w:jc w:val="center"/>
      </w:pPr>
      <w:r>
        <w:rPr>
          <w:color w:val="4A6274"/>
          <w:sz w:val="32"/>
        </w:rPr>
        <w:t>Multi-Tenant Hospital Management System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E8EDF3"/>
          </w:tcPr>
          <w:p>
            <w:r/>
            <w:r>
              <w:rPr>
                <w:b/>
                <w:color w:val="1B3A5C"/>
                <w:sz w:val="20"/>
              </w:rPr>
              <w:t>Document ID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TGWT-HMS-SOW-2026-001</w:t>
            </w:r>
          </w:p>
        </w:tc>
      </w:tr>
      <w:tr>
        <w:tc>
          <w:tcPr>
            <w:tcW w:type="dxa" w:w="2880"/>
            <w:shd w:fill="E8EDF3"/>
          </w:tcPr>
          <w:p>
            <w:r/>
            <w:r>
              <w:rPr>
                <w:b/>
                <w:color w:val="1B3A5C"/>
                <w:sz w:val="20"/>
              </w:rPr>
              <w:t>Version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1.0</w:t>
            </w:r>
          </w:p>
        </w:tc>
      </w:tr>
      <w:tr>
        <w:tc>
          <w:tcPr>
            <w:tcW w:type="dxa" w:w="2880"/>
            <w:shd w:fill="E8EDF3"/>
          </w:tcPr>
          <w:p>
            <w:r/>
            <w:r>
              <w:rPr>
                <w:b/>
                <w:color w:val="1B3A5C"/>
                <w:sz w:val="20"/>
              </w:rPr>
              <w:t>Classification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2880"/>
            <w:shd w:fill="E8EDF3"/>
          </w:tcPr>
          <w:p>
            <w:r/>
            <w:r>
              <w:rPr>
                <w:b/>
                <w:color w:val="1B3A5C"/>
                <w:sz w:val="20"/>
              </w:rPr>
              <w:t>Prepared By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TechDigital WishTree</w:t>
            </w:r>
          </w:p>
        </w:tc>
      </w:tr>
      <w:tr>
        <w:tc>
          <w:tcPr>
            <w:tcW w:type="dxa" w:w="2880"/>
            <w:shd w:fill="E8EDF3"/>
          </w:tcPr>
          <w:p>
            <w:r/>
            <w:r>
              <w:rPr>
                <w:b/>
                <w:color w:val="1B3A5C"/>
                <w:sz w:val="20"/>
              </w:rPr>
              <w:t>Prepared For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[Client Organization]</w:t>
            </w:r>
          </w:p>
        </w:tc>
      </w:tr>
      <w:tr>
        <w:tc>
          <w:tcPr>
            <w:tcW w:type="dxa" w:w="2880"/>
            <w:shd w:fill="E8EDF3"/>
          </w:tcPr>
          <w:p>
            <w:r/>
            <w:r>
              <w:rPr>
                <w:b/>
                <w:color w:val="1B3A5C"/>
                <w:sz w:val="20"/>
              </w:rPr>
              <w:t>Date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10 March 2026</w:t>
            </w:r>
          </w:p>
        </w:tc>
      </w:tr>
      <w:tr>
        <w:tc>
          <w:tcPr>
            <w:tcW w:type="dxa" w:w="2880"/>
            <w:shd w:fill="E8EDF3"/>
          </w:tcPr>
          <w:p>
            <w:r/>
            <w:r>
              <w:rPr>
                <w:b/>
                <w:color w:val="1B3A5C"/>
                <w:sz w:val="20"/>
              </w:rPr>
              <w:t>Valid Until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08 June 2026</w:t>
            </w:r>
          </w:p>
        </w:tc>
      </w:tr>
      <w:tr>
        <w:tc>
          <w:tcPr>
            <w:tcW w:type="dxa" w:w="2880"/>
            <w:shd w:fill="E8EDF3"/>
          </w:tcPr>
          <w:p>
            <w:r/>
            <w:r>
              <w:rPr>
                <w:b/>
                <w:color w:val="1B3A5C"/>
                <w:sz w:val="20"/>
              </w:rPr>
              <w:t>Status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DRAFT — For Review</w:t>
            </w:r>
          </w:p>
        </w:tc>
      </w:tr>
    </w:tbl>
    <w:p>
      <w:r>
        <w:br w:type="page"/>
      </w:r>
    </w:p>
    <w:p>
      <w:pPr>
        <w:pStyle w:val="Heading1"/>
      </w:pPr>
      <w:r>
        <w:t>Document Control</w:t>
      </w:r>
    </w:p>
    <w:p>
      <w:pPr>
        <w:pStyle w:val="Heading2"/>
      </w:pPr>
      <w: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728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4320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8"/>
              </w:rPr>
              <w:t>0.1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15 Feb 2026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TGWT Architecture Team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Initial draft — scope definition</w:t>
            </w:r>
          </w:p>
        </w:tc>
      </w:tr>
      <w:tr>
        <w:tc>
          <w:tcPr>
            <w:tcW w:type="dxa" w:w="1152"/>
            <w:shd w:fill="F7F9FC"/>
          </w:tcPr>
          <w:p>
            <w:r/>
            <w:r>
              <w:rPr>
                <w:sz w:val="18"/>
              </w:rPr>
              <w:t>0.5</w:t>
            </w:r>
          </w:p>
        </w:tc>
        <w:tc>
          <w:tcPr>
            <w:tcW w:type="dxa" w:w="1728"/>
            <w:shd w:fill="F7F9FC"/>
          </w:tcPr>
          <w:p>
            <w:r/>
            <w:r>
              <w:rPr>
                <w:sz w:val="18"/>
              </w:rPr>
              <w:t>01 Mar 2026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sz w:val="18"/>
              </w:rPr>
              <w:t>TGWT Architecture Team</w:t>
            </w:r>
          </w:p>
        </w:tc>
        <w:tc>
          <w:tcPr>
            <w:tcW w:type="dxa" w:w="4320"/>
            <w:shd w:fill="F7F9FC"/>
          </w:tcPr>
          <w:p>
            <w:r/>
            <w:r>
              <w:rPr>
                <w:sz w:val="18"/>
              </w:rPr>
              <w:t>Module specifications, RBAC model, data entities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8"/>
              </w:rPr>
              <w:t>0.8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05 Mar 2026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TGWT Architecture Team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Added Pharmacy Billing, Doctor Profiles, Appointments linkage</w:t>
            </w:r>
          </w:p>
        </w:tc>
      </w:tr>
      <w:tr>
        <w:tc>
          <w:tcPr>
            <w:tcW w:type="dxa" w:w="1152"/>
            <w:shd w:fill="F7F9FC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1728"/>
            <w:shd w:fill="F7F9FC"/>
          </w:tcPr>
          <w:p>
            <w:r/>
            <w:r>
              <w:rPr>
                <w:sz w:val="18"/>
              </w:rPr>
              <w:t>10 Mar 2026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sz w:val="18"/>
              </w:rPr>
              <w:t>TGWT Architecture Team</w:t>
            </w:r>
          </w:p>
        </w:tc>
        <w:tc>
          <w:tcPr>
            <w:tcW w:type="dxa" w:w="4320"/>
            <w:shd w:fill="F7F9FC"/>
          </w:tcPr>
          <w:p>
            <w:r/>
            <w:r>
              <w:rPr>
                <w:sz w:val="18"/>
              </w:rPr>
              <w:t>Enterprise SOW — final draft for client review</w:t>
            </w:r>
          </w:p>
        </w:tc>
      </w:tr>
    </w:tbl>
    <w:p>
      <w:pPr>
        <w:pStyle w:val="Heading2"/>
      </w:pPr>
      <w:r>
        <w:t>Approval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160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592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Organization</w:t>
            </w:r>
          </w:p>
        </w:tc>
        <w:tc>
          <w:tcPr>
            <w:tcW w:type="dxa" w:w="1728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Signature</w:t>
            </w:r>
          </w:p>
        </w:tc>
        <w:tc>
          <w:tcPr>
            <w:tcW w:type="dxa" w:w="1440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Project Sponsor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[Client]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160"/>
            <w:shd w:fill="F7F9FC"/>
          </w:tcPr>
          <w:p>
            <w:r/>
            <w:r>
              <w:rPr>
                <w:sz w:val="18"/>
              </w:rPr>
              <w:t>CTO / IT Head</w:t>
            </w:r>
          </w:p>
        </w:tc>
        <w:tc>
          <w:tcPr>
            <w:tcW w:type="dxa" w:w="2160"/>
            <w:shd w:fill="F7F9FC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592"/>
            <w:shd w:fill="F7F9FC"/>
          </w:tcPr>
          <w:p>
            <w:r/>
            <w:r>
              <w:rPr>
                <w:sz w:val="18"/>
              </w:rPr>
              <w:t>[Client]</w:t>
            </w:r>
          </w:p>
        </w:tc>
        <w:tc>
          <w:tcPr>
            <w:tcW w:type="dxa" w:w="1728"/>
            <w:shd w:fill="F7F9FC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440"/>
            <w:shd w:fill="F7F9FC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Delivery Lead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TechDigital WishTree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160"/>
            <w:shd w:fill="F7F9FC"/>
          </w:tcPr>
          <w:p>
            <w:r/>
            <w:r>
              <w:rPr>
                <w:sz w:val="18"/>
              </w:rPr>
              <w:t>Solution Architect</w:t>
            </w:r>
          </w:p>
        </w:tc>
        <w:tc>
          <w:tcPr>
            <w:tcW w:type="dxa" w:w="2160"/>
            <w:shd w:fill="F7F9FC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592"/>
            <w:shd w:fill="F7F9FC"/>
          </w:tcPr>
          <w:p>
            <w:r/>
            <w:r>
              <w:rPr>
                <w:sz w:val="18"/>
              </w:rPr>
              <w:t>TechDigital WishTree</w:t>
            </w:r>
          </w:p>
        </w:tc>
        <w:tc>
          <w:tcPr>
            <w:tcW w:type="dxa" w:w="1728"/>
            <w:shd w:fill="F7F9FC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440"/>
            <w:shd w:fill="F7F9FC"/>
          </w:tcPr>
          <w:p>
            <w:r/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Distribution 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160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160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Organization</w:t>
            </w:r>
          </w:p>
        </w:tc>
        <w:tc>
          <w:tcPr>
            <w:tcW w:type="dxa" w:w="2160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Copy Type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[Client Sponsor]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Project Sponsor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[Client]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Original</w:t>
            </w:r>
          </w:p>
        </w:tc>
      </w:tr>
      <w:tr>
        <w:tc>
          <w:tcPr>
            <w:tcW w:type="dxa" w:w="2160"/>
            <w:shd w:fill="F7F9FC"/>
          </w:tcPr>
          <w:p>
            <w:r/>
            <w:r>
              <w:rPr>
                <w:sz w:val="18"/>
              </w:rPr>
              <w:t>[Client IT Head]</w:t>
            </w:r>
          </w:p>
        </w:tc>
        <w:tc>
          <w:tcPr>
            <w:tcW w:type="dxa" w:w="2160"/>
            <w:shd w:fill="F7F9FC"/>
          </w:tcPr>
          <w:p>
            <w:r/>
            <w:r>
              <w:rPr>
                <w:sz w:val="18"/>
              </w:rPr>
              <w:t>Technical Reviewer</w:t>
            </w:r>
          </w:p>
        </w:tc>
        <w:tc>
          <w:tcPr>
            <w:tcW w:type="dxa" w:w="2160"/>
            <w:shd w:fill="F7F9FC"/>
          </w:tcPr>
          <w:p>
            <w:r/>
            <w:r>
              <w:rPr>
                <w:sz w:val="18"/>
              </w:rPr>
              <w:t>[Client]</w:t>
            </w:r>
          </w:p>
        </w:tc>
        <w:tc>
          <w:tcPr>
            <w:tcW w:type="dxa" w:w="2160"/>
            <w:shd w:fill="F7F9FC"/>
          </w:tcPr>
          <w:p>
            <w:r/>
            <w:r>
              <w:rPr>
                <w:sz w:val="18"/>
              </w:rPr>
              <w:t>Copy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[TGWT Delivery Lead]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Delivery Manager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TechDigital WishTree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Original</w:t>
            </w:r>
          </w:p>
        </w:tc>
      </w:tr>
      <w:tr>
        <w:tc>
          <w:tcPr>
            <w:tcW w:type="dxa" w:w="2160"/>
            <w:shd w:fill="F7F9FC"/>
          </w:tcPr>
          <w:p>
            <w:r/>
            <w:r>
              <w:rPr>
                <w:sz w:val="18"/>
              </w:rPr>
              <w:t>[TGWT Architect]</w:t>
            </w:r>
          </w:p>
        </w:tc>
        <w:tc>
          <w:tcPr>
            <w:tcW w:type="dxa" w:w="2160"/>
            <w:shd w:fill="F7F9FC"/>
          </w:tcPr>
          <w:p>
            <w:r/>
            <w:r>
              <w:rPr>
                <w:sz w:val="18"/>
              </w:rPr>
              <w:t>Solution Architect</w:t>
            </w:r>
          </w:p>
        </w:tc>
        <w:tc>
          <w:tcPr>
            <w:tcW w:type="dxa" w:w="2160"/>
            <w:shd w:fill="F7F9FC"/>
          </w:tcPr>
          <w:p>
            <w:r/>
            <w:r>
              <w:rPr>
                <w:sz w:val="18"/>
              </w:rPr>
              <w:t>TechDigital WishTree</w:t>
            </w:r>
          </w:p>
        </w:tc>
        <w:tc>
          <w:tcPr>
            <w:tcW w:type="dxa" w:w="2160"/>
            <w:shd w:fill="F7F9FC"/>
          </w:tcPr>
          <w:p>
            <w:r/>
            <w:r>
              <w:rPr>
                <w:sz w:val="18"/>
              </w:rPr>
              <w:t>Copy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r>
        <w:rPr>
          <w:i/>
          <w:color w:val="999999"/>
        </w:rPr>
        <w:t>[Auto-generated — Update field in Microsoft Word: Ctrl+A → F9]</w:t>
      </w:r>
    </w:p>
    <w:p>
      <w:r>
        <w:fldChar w:fldCharType="begin"/>
      </w:r>
      <w:r>
        <w:instrText xml:space="preserve"> TOC \o "1-3" \h \z \u </w:instrText>
      </w:r>
      <w:r>
        <w:fldChar w:fldCharType="end"/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Statement of Work (SOW) defines the scope, deliverables, timelines, acceptance criteria, and commercial terms for the design, development, deployment, and post-launch support of the HMS Enterprise Platform — a cloud-native, multi-tenant Hospital Management System built for the Indian healthcare market.</w:t>
      </w:r>
    </w:p>
    <w:p>
      <w:r>
        <w:t>The HMS platform will serve as a unified digital backbone for hospitals, clinics, and healthcare chains, integrating 12 core modules spanning clinical operations (OPD, IPD, Pharmacy, Laboratory), administrative functions (Finance, HR &amp; Payroll, Inventory), business intelligence, patient engagement, regulatory compliance (DISHA, ABDM/ABHA), and platform administration. The system is architected for enterprise-grade scalability using Kubernetes-orchestrated microservices, Apache Kafka event streaming, schema-per-tenant PostgreSQL isolation, and a 6-tier Role-Based Access Control (RBAC) model governing 200+ granular permissions.</w:t>
      </w:r>
    </w:p>
    <w:p>
      <w:r>
        <w:t>Benchmarked against leading HMS platforms — including Epic Systems, Oracle Health (Cerner), MEDITECH, Practo, BahmniHMS, and MocDoc — the HMS Enterprise Platform incorporates best-in-class features such as FIFO drug dispensing, real-time drug interaction checking, SOAP-based EMR, FHIR-compliant health record exchange, biometric attendance integration, automated GST-compliant billing, and a Progressive Web App (PWA) patient portal with self-service appointment booking and online payments.</w:t>
      </w:r>
    </w:p>
    <w:p>
      <w:pPr>
        <w:pStyle w:val="Heading2"/>
      </w:pPr>
      <w:r>
        <w:t>1.1 Key Differentiators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Multi-Tenant SaaS Architecture: </w:t>
      </w:r>
      <w:r>
        <w:rPr>
          <w:rFonts w:ascii="Calibri" w:hAnsi="Calibri"/>
          <w:sz w:val="20"/>
        </w:rPr>
        <w:t>Schema-per-tenant PostgreSQL with Flyway-managed migrations, enabling complete data isolation with shared infrastructure economics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Event-Driven Real-Time Integration: </w:t>
      </w:r>
      <w:r>
        <w:rPr>
          <w:rFonts w:ascii="Calibri" w:hAnsi="Calibri"/>
          <w:sz w:val="20"/>
        </w:rPr>
        <w:t>Apache Kafka event bus with 6 topic namespaces, dead-letter queues, idempotent consumers, and Socket.IO live UI updates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Indian Regulatory Compliance: </w:t>
      </w:r>
      <w:r>
        <w:rPr>
          <w:rFonts w:ascii="Calibri" w:hAnsi="Calibri"/>
          <w:sz w:val="20"/>
        </w:rPr>
        <w:t>DISHA Act consent management, ABDM/ABHA health ID integration, GST-compliant invoicing (CGST+SGST), MCI/NMC doctor registration verification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Enterprise RBAC: </w:t>
      </w:r>
      <w:r>
        <w:rPr>
          <w:rFonts w:ascii="Calibri" w:hAnsi="Calibri"/>
          <w:sz w:val="20"/>
        </w:rPr>
        <w:t>6-tier role hierarchy (L1 Super Admin → L6 Patient) with 200+ permissions, @PreAuthorize guard on every service method, JWT + MFA for L1-L3 roles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Clinical Excellence: </w:t>
      </w:r>
      <w:r>
        <w:rPr>
          <w:rFonts w:ascii="Calibri" w:hAnsi="Calibri"/>
          <w:sz w:val="20"/>
        </w:rPr>
        <w:t>SOAP-based EMR, ICD-10 diagnosis coding, drug interaction checker (Rxnorm), FIFO batch-aware dispensing, NABL-aligned lab workflows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Scalable Infrastructure: </w:t>
      </w:r>
      <w:r>
        <w:rPr>
          <w:rFonts w:ascii="Calibri" w:hAnsi="Calibri"/>
          <w:sz w:val="20"/>
        </w:rPr>
        <w:t>Kubernetes with horizontal pod autoscaling, Redis caching layer, Elasticsearch for BI aggregation, S3 document storage (Mumbai + Singapore DR)</w:t>
      </w:r>
    </w:p>
    <w:p>
      <w:r>
        <w:br w:type="page"/>
      </w:r>
    </w:p>
    <w:p>
      <w:pPr>
        <w:pStyle w:val="Heading1"/>
      </w:pPr>
      <w:r>
        <w:t>2. Project Objectives &amp; Success Criteria</w:t>
      </w:r>
    </w:p>
    <w:p>
      <w:pPr>
        <w:pStyle w:val="Heading2"/>
      </w:pPr>
      <w:r>
        <w:t>2.1 Business Objectives</w:t>
      </w:r>
    </w:p>
    <w:p>
      <w:pPr>
        <w:pStyle w:val="ListBullet"/>
      </w:pPr>
      <w:r/>
      <w:r>
        <w:rPr>
          <w:rFonts w:ascii="Calibri" w:hAnsi="Calibri"/>
          <w:sz w:val="20"/>
        </w:rPr>
        <w:t>Digitize end-to-end hospital operations across OPD, IPD, Pharmacy, Lab, Finance, HR, and Inventory workflows</w:t>
      </w:r>
    </w:p>
    <w:p>
      <w:pPr>
        <w:pStyle w:val="ListBullet"/>
      </w:pPr>
      <w:r/>
      <w:r>
        <w:rPr>
          <w:rFonts w:ascii="Calibri" w:hAnsi="Calibri"/>
          <w:sz w:val="20"/>
        </w:rPr>
        <w:t>Enable multi-branch hospital chains to operate on a single unified platform with branch-level data segregation</w:t>
      </w:r>
    </w:p>
    <w:p>
      <w:pPr>
        <w:pStyle w:val="ListBullet"/>
      </w:pPr>
      <w:r/>
      <w:r>
        <w:rPr>
          <w:rFonts w:ascii="Calibri" w:hAnsi="Calibri"/>
          <w:sz w:val="20"/>
        </w:rPr>
        <w:t>Achieve NABH/JCI accreditation readiness through standardized clinical workflows and audit trails</w:t>
      </w:r>
    </w:p>
    <w:p>
      <w:pPr>
        <w:pStyle w:val="ListBullet"/>
      </w:pPr>
      <w:r/>
      <w:r>
        <w:rPr>
          <w:rFonts w:ascii="Calibri" w:hAnsi="Calibri"/>
          <w:sz w:val="20"/>
        </w:rPr>
        <w:t>Reduce patient wait times by 40% through real-time token queue management and appointment scheduling</w:t>
      </w:r>
    </w:p>
    <w:p>
      <w:pPr>
        <w:pStyle w:val="ListBullet"/>
      </w:pPr>
      <w:r/>
      <w:r>
        <w:rPr>
          <w:rFonts w:ascii="Calibri" w:hAnsi="Calibri"/>
          <w:sz w:val="20"/>
        </w:rPr>
        <w:t>Eliminate revenue leakage through automated charge capture from OPD, Pharmacy, Lab, and IPD to Finance</w:t>
      </w:r>
    </w:p>
    <w:p>
      <w:pPr>
        <w:pStyle w:val="ListBullet"/>
      </w:pPr>
      <w:r/>
      <w:r>
        <w:rPr>
          <w:rFonts w:ascii="Calibri" w:hAnsi="Calibri"/>
          <w:sz w:val="20"/>
        </w:rPr>
        <w:t>Ensure 100% regulatory compliance with DISHA, ABDM, GST, PF/ESIC, and IT Act 2000 requirements</w:t>
      </w:r>
    </w:p>
    <w:p>
      <w:pPr>
        <w:pStyle w:val="ListBullet"/>
      </w:pPr>
      <w:r/>
      <w:r>
        <w:rPr>
          <w:rFonts w:ascii="Calibri" w:hAnsi="Calibri"/>
          <w:sz w:val="20"/>
        </w:rPr>
        <w:t>Provide self-service patient engagement through PWA portal with appointment booking, report access, and online payments</w:t>
      </w:r>
    </w:p>
    <w:p>
      <w:pPr>
        <w:pStyle w:val="Heading2"/>
      </w:pPr>
      <w:r>
        <w:t>2.2 Technical Objectives</w:t>
      </w:r>
    </w:p>
    <w:p>
      <w:pPr>
        <w:pStyle w:val="ListBullet"/>
      </w:pPr>
      <w:r/>
      <w:r>
        <w:rPr>
          <w:rFonts w:ascii="Calibri" w:hAnsi="Calibri"/>
          <w:sz w:val="20"/>
        </w:rPr>
        <w:t>Achieve 99.9% platform uptime SLA with &lt; 500ms API P95 latency</w:t>
      </w:r>
    </w:p>
    <w:p>
      <w:pPr>
        <w:pStyle w:val="ListBullet"/>
      </w:pPr>
      <w:r/>
      <w:r>
        <w:rPr>
          <w:rFonts w:ascii="Calibri" w:hAnsi="Calibri"/>
          <w:sz w:val="20"/>
        </w:rPr>
        <w:t>Support 50+ concurrent tenants with schema-level data isolation</w:t>
      </w:r>
    </w:p>
    <w:p>
      <w:pPr>
        <w:pStyle w:val="ListBullet"/>
      </w:pPr>
      <w:r/>
      <w:r>
        <w:rPr>
          <w:rFonts w:ascii="Calibri" w:hAnsi="Calibri"/>
          <w:sz w:val="20"/>
        </w:rPr>
        <w:t>Process 10,000+ Kafka events per second with &lt; 2 second end-to-end propagation</w:t>
      </w:r>
    </w:p>
    <w:p>
      <w:pPr>
        <w:pStyle w:val="ListBullet"/>
      </w:pPr>
      <w:r/>
      <w:r>
        <w:rPr>
          <w:rFonts w:ascii="Calibri" w:hAnsi="Calibri"/>
          <w:sz w:val="20"/>
        </w:rPr>
        <w:t>Maintain RTO of 4 hours and RPO of 15 minutes for disaster recovery</w:t>
      </w:r>
    </w:p>
    <w:p>
      <w:pPr>
        <w:pStyle w:val="ListBullet"/>
      </w:pPr>
      <w:r/>
      <w:r>
        <w:rPr>
          <w:rFonts w:ascii="Calibri" w:hAnsi="Calibri"/>
          <w:sz w:val="20"/>
        </w:rPr>
        <w:t>Achieve OWASP Top 10 compliance with zero critical/high vulnerabilities at launch</w:t>
      </w:r>
    </w:p>
    <w:p>
      <w:pPr>
        <w:pStyle w:val="ListBullet"/>
      </w:pPr>
      <w:r/>
      <w:r>
        <w:rPr>
          <w:rFonts w:ascii="Calibri" w:hAnsi="Calibri"/>
          <w:sz w:val="20"/>
        </w:rPr>
        <w:t>Deliver 80+ interactive wireframe screens across all 12 modules</w:t>
      </w:r>
    </w:p>
    <w:p>
      <w:pPr>
        <w:pStyle w:val="ListBullet"/>
      </w:pPr>
      <w:r/>
      <w:r>
        <w:rPr>
          <w:rFonts w:ascii="Calibri" w:hAnsi="Calibri"/>
          <w:sz w:val="20"/>
        </w:rPr>
        <w:t>Implement 200+ RBAC permissions with runtime enforcement on every API endpoint</w:t>
      </w:r>
    </w:p>
    <w:p>
      <w:pPr>
        <w:pStyle w:val="Heading2"/>
      </w:pPr>
      <w:r>
        <w:t>2.3 Success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Criterion</w:t>
            </w:r>
          </w:p>
        </w:tc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Measurement Method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Platform Uptime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99.9% (Monthly)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Kubernetes health probes + Prometheus</w:t>
            </w:r>
          </w:p>
        </w:tc>
      </w:tr>
      <w:tr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API Response Time (P95)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&lt; 500ms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APM tool (Datadog/New Relic)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Patient Registration Time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&lt; 3 minutes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Time-to-UHID measurement</w:t>
            </w:r>
          </w:p>
        </w:tc>
      </w:tr>
      <w:tr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Prescription-to-Dispensing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&lt; 60 seconds (Kafka event)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Event timestamp delta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Lab TAT (Routine)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&lt; 4 hours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Sample collection → report validated</w:t>
            </w:r>
          </w:p>
        </w:tc>
      </w:tr>
      <w:tr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Revenue Leakage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&lt; 0.1%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Finance reconciliation audit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DISHA Consent Coverage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100% patient records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Audit module report</w:t>
            </w:r>
          </w:p>
        </w:tc>
      </w:tr>
      <w:tr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User Adoption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&gt; 90% active users by Month 3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Login analytics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Patient Portal Adoption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&gt; 30% patients by Month 6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PWA registration rate</w:t>
            </w:r>
          </w:p>
        </w:tc>
      </w:tr>
      <w:tr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Zero Critical Defects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0 P1 bugs in production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JIRA defect tracking</w:t>
            </w:r>
          </w:p>
        </w:tc>
      </w:tr>
    </w:tbl>
    <w:p>
      <w:r>
        <w:br w:type="page"/>
      </w:r>
    </w:p>
    <w:p>
      <w:pPr>
        <w:pStyle w:val="Heading1"/>
      </w:pPr>
      <w:r>
        <w:t>3. Scope of Work — Overview</w:t>
      </w:r>
    </w:p>
    <w:p>
      <w:r>
        <w:t>The HMS Enterprise Platform comprises 12 integrated modules, 3 cross-cutting system capabilities, and a comprehensive deployment and support framework. This section provides the high-level scope; detailed module specifications follow in Section 4.</w:t>
      </w:r>
    </w:p>
    <w:p>
      <w:pPr>
        <w:pStyle w:val="Heading2"/>
      </w:pPr>
      <w:r>
        <w:t>3.1 Module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008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Module ID</w:t>
            </w:r>
          </w:p>
        </w:tc>
        <w:tc>
          <w:tcPr>
            <w:tcW w:type="dxa" w:w="2592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Module Name</w:t>
            </w:r>
          </w:p>
        </w:tc>
        <w:tc>
          <w:tcPr>
            <w:tcW w:type="dxa" w:w="144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864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Screens</w:t>
            </w:r>
          </w:p>
        </w:tc>
        <w:tc>
          <w:tcPr>
            <w:tcW w:type="dxa" w:w="4608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Key Capability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sz w:val="18"/>
              </w:rPr>
              <w:t>M01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18"/>
              </w:rPr>
              <w:t>OPD &amp; Clinical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18"/>
              </w:rPr>
              <w:t>Clinical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sz w:val="18"/>
              </w:rPr>
              <w:t>Patient registration, token queue, EMR, e-prescription</w:t>
            </w:r>
          </w:p>
        </w:tc>
      </w:tr>
      <w:tr>
        <w:tc>
          <w:tcPr>
            <w:tcW w:type="dxa" w:w="1008"/>
            <w:shd w:fill="F7F9FC"/>
          </w:tcPr>
          <w:p>
            <w:r/>
            <w:r>
              <w:rPr>
                <w:rFonts w:ascii="Calibri" w:hAnsi="Calibri"/>
                <w:sz w:val="18"/>
              </w:rPr>
              <w:t>M02</w:t>
            </w:r>
          </w:p>
        </w:tc>
        <w:tc>
          <w:tcPr>
            <w:tcW w:type="dxa" w:w="2592"/>
            <w:shd w:fill="F7F9FC"/>
          </w:tcPr>
          <w:p>
            <w:r/>
            <w:r>
              <w:rPr>
                <w:rFonts w:ascii="Calibri" w:hAnsi="Calibri"/>
                <w:sz w:val="18"/>
              </w:rPr>
              <w:t>Pharmacy &amp; Drug Management</w:t>
            </w:r>
          </w:p>
        </w:tc>
        <w:tc>
          <w:tcPr>
            <w:tcW w:type="dxa" w:w="1440"/>
            <w:shd w:fill="F7F9FC"/>
          </w:tcPr>
          <w:p>
            <w:r/>
            <w:r>
              <w:rPr>
                <w:rFonts w:ascii="Calibri" w:hAnsi="Calibri"/>
                <w:sz w:val="18"/>
              </w:rPr>
              <w:t>Clinical</w:t>
            </w:r>
          </w:p>
        </w:tc>
        <w:tc>
          <w:tcPr>
            <w:tcW w:type="dxa" w:w="864"/>
            <w:shd w:fill="F7F9FC"/>
          </w:tcPr>
          <w:p>
            <w:r/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4608"/>
            <w:shd w:fill="F7F9FC"/>
          </w:tcPr>
          <w:p>
            <w:r/>
            <w:r>
              <w:rPr>
                <w:rFonts w:ascii="Calibri" w:hAnsi="Calibri"/>
                <w:sz w:val="18"/>
              </w:rPr>
              <w:t>FIFO dispensing, drug interactions, billing, procurement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sz w:val="18"/>
              </w:rPr>
              <w:t>M03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18"/>
              </w:rPr>
              <w:t>Laboratory &amp; Diagnostics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18"/>
              </w:rPr>
              <w:t>Clinical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sz w:val="18"/>
              </w:rPr>
              <w:t>Sample tracking, result validation, NABL-aligned TAT</w:t>
            </w:r>
          </w:p>
        </w:tc>
      </w:tr>
      <w:tr>
        <w:tc>
          <w:tcPr>
            <w:tcW w:type="dxa" w:w="1008"/>
            <w:shd w:fill="F7F9FC"/>
          </w:tcPr>
          <w:p>
            <w:r/>
            <w:r>
              <w:rPr>
                <w:rFonts w:ascii="Calibri" w:hAnsi="Calibri"/>
                <w:sz w:val="18"/>
              </w:rPr>
              <w:t>M04</w:t>
            </w:r>
          </w:p>
        </w:tc>
        <w:tc>
          <w:tcPr>
            <w:tcW w:type="dxa" w:w="2592"/>
            <w:shd w:fill="F7F9FC"/>
          </w:tcPr>
          <w:p>
            <w:r/>
            <w:r>
              <w:rPr>
                <w:rFonts w:ascii="Calibri" w:hAnsi="Calibri"/>
                <w:sz w:val="18"/>
              </w:rPr>
              <w:t>Finance &amp; Billing</w:t>
            </w:r>
          </w:p>
        </w:tc>
        <w:tc>
          <w:tcPr>
            <w:tcW w:type="dxa" w:w="1440"/>
            <w:shd w:fill="F7F9FC"/>
          </w:tcPr>
          <w:p>
            <w:r/>
            <w:r>
              <w:rPr>
                <w:rFonts w:ascii="Calibri" w:hAnsi="Calibri"/>
                <w:sz w:val="18"/>
              </w:rPr>
              <w:t>Administrative</w:t>
            </w:r>
          </w:p>
        </w:tc>
        <w:tc>
          <w:tcPr>
            <w:tcW w:type="dxa" w:w="864"/>
            <w:shd w:fill="F7F9FC"/>
          </w:tcPr>
          <w:p>
            <w:r/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4608"/>
            <w:shd w:fill="F7F9FC"/>
          </w:tcPr>
          <w:p>
            <w:r/>
            <w:r>
              <w:rPr>
                <w:rFonts w:ascii="Calibri" w:hAnsi="Calibri"/>
                <w:sz w:val="18"/>
              </w:rPr>
              <w:t>Auto charge capture, TPA/insurance, GST, day-close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sz w:val="18"/>
              </w:rPr>
              <w:t>M05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18"/>
              </w:rPr>
              <w:t>HR &amp; Payroll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18"/>
              </w:rPr>
              <w:t>Administrative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sz w:val="18"/>
              </w:rPr>
              <w:t>Doctor profiles, biometric attendance, payroll, compliance</w:t>
            </w:r>
          </w:p>
        </w:tc>
      </w:tr>
      <w:tr>
        <w:tc>
          <w:tcPr>
            <w:tcW w:type="dxa" w:w="1008"/>
            <w:shd w:fill="F7F9FC"/>
          </w:tcPr>
          <w:p>
            <w:r/>
            <w:r>
              <w:rPr>
                <w:rFonts w:ascii="Calibri" w:hAnsi="Calibri"/>
                <w:sz w:val="18"/>
              </w:rPr>
              <w:t>M06</w:t>
            </w:r>
          </w:p>
        </w:tc>
        <w:tc>
          <w:tcPr>
            <w:tcW w:type="dxa" w:w="2592"/>
            <w:shd w:fill="F7F9FC"/>
          </w:tcPr>
          <w:p>
            <w:r/>
            <w:r>
              <w:rPr>
                <w:rFonts w:ascii="Calibri" w:hAnsi="Calibri"/>
                <w:sz w:val="18"/>
              </w:rPr>
              <w:t>Inventory &amp; Procurement</w:t>
            </w:r>
          </w:p>
        </w:tc>
        <w:tc>
          <w:tcPr>
            <w:tcW w:type="dxa" w:w="1440"/>
            <w:shd w:fill="F7F9FC"/>
          </w:tcPr>
          <w:p>
            <w:r/>
            <w:r>
              <w:rPr>
                <w:rFonts w:ascii="Calibri" w:hAnsi="Calibri"/>
                <w:sz w:val="18"/>
              </w:rPr>
              <w:t>Administrative</w:t>
            </w:r>
          </w:p>
        </w:tc>
        <w:tc>
          <w:tcPr>
            <w:tcW w:type="dxa" w:w="864"/>
            <w:shd w:fill="F7F9FC"/>
          </w:tcPr>
          <w:p>
            <w:r/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4608"/>
            <w:shd w:fill="F7F9FC"/>
          </w:tcPr>
          <w:p>
            <w:r/>
            <w:r>
              <w:rPr>
                <w:rFonts w:ascii="Calibri" w:hAnsi="Calibri"/>
                <w:sz w:val="18"/>
              </w:rPr>
              <w:t>Stock management, PO workflow, vendor management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sz w:val="18"/>
              </w:rPr>
              <w:t>M07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18"/>
              </w:rPr>
              <w:t>Business Intelligence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18"/>
              </w:rPr>
              <w:t>Analytics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sz w:val="18"/>
              </w:rPr>
              <w:t>Executive dashboards, KPI monitoring, report builder</w:t>
            </w:r>
          </w:p>
        </w:tc>
      </w:tr>
      <w:tr>
        <w:tc>
          <w:tcPr>
            <w:tcW w:type="dxa" w:w="1008"/>
            <w:shd w:fill="F7F9FC"/>
          </w:tcPr>
          <w:p>
            <w:r/>
            <w:r>
              <w:rPr>
                <w:rFonts w:ascii="Calibri" w:hAnsi="Calibri"/>
                <w:sz w:val="18"/>
              </w:rPr>
              <w:t>M08</w:t>
            </w:r>
          </w:p>
        </w:tc>
        <w:tc>
          <w:tcPr>
            <w:tcW w:type="dxa" w:w="2592"/>
            <w:shd w:fill="F7F9FC"/>
          </w:tcPr>
          <w:p>
            <w:r/>
            <w:r>
              <w:rPr>
                <w:rFonts w:ascii="Calibri" w:hAnsi="Calibri"/>
                <w:sz w:val="18"/>
              </w:rPr>
              <w:t>Patient Portal (PWA)</w:t>
            </w:r>
          </w:p>
        </w:tc>
        <w:tc>
          <w:tcPr>
            <w:tcW w:type="dxa" w:w="1440"/>
            <w:shd w:fill="F7F9FC"/>
          </w:tcPr>
          <w:p>
            <w:r/>
            <w:r>
              <w:rPr>
                <w:rFonts w:ascii="Calibri" w:hAnsi="Calibri"/>
                <w:sz w:val="18"/>
              </w:rPr>
              <w:t>Engagement</w:t>
            </w:r>
          </w:p>
        </w:tc>
        <w:tc>
          <w:tcPr>
            <w:tcW w:type="dxa" w:w="864"/>
            <w:shd w:fill="F7F9FC"/>
          </w:tcPr>
          <w:p>
            <w:r/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4608"/>
            <w:shd w:fill="F7F9FC"/>
          </w:tcPr>
          <w:p>
            <w:r/>
            <w:r>
              <w:rPr>
                <w:rFonts w:ascii="Calibri" w:hAnsi="Calibri"/>
                <w:sz w:val="18"/>
              </w:rPr>
              <w:t>Self-service booking, health records, online payment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sz w:val="18"/>
              </w:rPr>
              <w:t>M09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18"/>
              </w:rPr>
              <w:t>Audit &amp; Compliance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18"/>
              </w:rPr>
              <w:t>Governance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sz w:val="18"/>
              </w:rPr>
              <w:t>Immutable audit log, DISHA compliance, security monitoring</w:t>
            </w:r>
          </w:p>
        </w:tc>
      </w:tr>
      <w:tr>
        <w:tc>
          <w:tcPr>
            <w:tcW w:type="dxa" w:w="1008"/>
            <w:shd w:fill="F7F9FC"/>
          </w:tcPr>
          <w:p>
            <w:r/>
            <w:r>
              <w:rPr>
                <w:rFonts w:ascii="Calibri" w:hAnsi="Calibri"/>
                <w:sz w:val="18"/>
              </w:rPr>
              <w:t>M10</w:t>
            </w:r>
          </w:p>
        </w:tc>
        <w:tc>
          <w:tcPr>
            <w:tcW w:type="dxa" w:w="2592"/>
            <w:shd w:fill="F7F9FC"/>
          </w:tcPr>
          <w:p>
            <w:r/>
            <w:r>
              <w:rPr>
                <w:rFonts w:ascii="Calibri" w:hAnsi="Calibri"/>
                <w:sz w:val="18"/>
              </w:rPr>
              <w:t>IPD (Inpatient)</w:t>
            </w:r>
          </w:p>
        </w:tc>
        <w:tc>
          <w:tcPr>
            <w:tcW w:type="dxa" w:w="1440"/>
            <w:shd w:fill="F7F9FC"/>
          </w:tcPr>
          <w:p>
            <w:r/>
            <w:r>
              <w:rPr>
                <w:rFonts w:ascii="Calibri" w:hAnsi="Calibri"/>
                <w:sz w:val="18"/>
              </w:rPr>
              <w:t>Clinical</w:t>
            </w:r>
          </w:p>
        </w:tc>
        <w:tc>
          <w:tcPr>
            <w:tcW w:type="dxa" w:w="864"/>
            <w:shd w:fill="F7F9FC"/>
          </w:tcPr>
          <w:p>
            <w:r/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4608"/>
            <w:shd w:fill="F7F9FC"/>
          </w:tcPr>
          <w:p>
            <w:r/>
            <w:r>
              <w:rPr>
                <w:rFonts w:ascii="Calibri" w:hAnsi="Calibri"/>
                <w:sz w:val="18"/>
              </w:rPr>
              <w:t>Bed management, nursing station, doctor rounds, discharge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sz w:val="18"/>
              </w:rPr>
              <w:t>M11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18"/>
              </w:rPr>
              <w:t>Appointment Scheduling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18"/>
              </w:rPr>
              <w:t>Clinical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sz w:val="18"/>
              </w:rPr>
              <w:t>Doctor schedules, real-time booking, no-show tracking</w:t>
            </w:r>
          </w:p>
        </w:tc>
      </w:tr>
      <w:tr>
        <w:tc>
          <w:tcPr>
            <w:tcW w:type="dxa" w:w="1008"/>
            <w:shd w:fill="F7F9FC"/>
          </w:tcPr>
          <w:p>
            <w:r/>
            <w:r>
              <w:rPr>
                <w:rFonts w:ascii="Calibri" w:hAnsi="Calibri"/>
                <w:sz w:val="18"/>
              </w:rPr>
              <w:t>M12</w:t>
            </w:r>
          </w:p>
        </w:tc>
        <w:tc>
          <w:tcPr>
            <w:tcW w:type="dxa" w:w="2592"/>
            <w:shd w:fill="F7F9FC"/>
          </w:tcPr>
          <w:p>
            <w:r/>
            <w:r>
              <w:rPr>
                <w:rFonts w:ascii="Calibri" w:hAnsi="Calibri"/>
                <w:sz w:val="18"/>
              </w:rPr>
              <w:t>Platform Administration</w:t>
            </w:r>
          </w:p>
        </w:tc>
        <w:tc>
          <w:tcPr>
            <w:tcW w:type="dxa" w:w="1440"/>
            <w:shd w:fill="F7F9FC"/>
          </w:tcPr>
          <w:p>
            <w:r/>
            <w:r>
              <w:rPr>
                <w:rFonts w:ascii="Calibri" w:hAnsi="Calibri"/>
                <w:sz w:val="18"/>
              </w:rPr>
              <w:t>Infrastructure</w:t>
            </w:r>
          </w:p>
        </w:tc>
        <w:tc>
          <w:tcPr>
            <w:tcW w:type="dxa" w:w="864"/>
            <w:shd w:fill="F7F9FC"/>
          </w:tcPr>
          <w:p>
            <w:r/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4608"/>
            <w:shd w:fill="F7F9FC"/>
          </w:tcPr>
          <w:p>
            <w:r/>
            <w:r>
              <w:rPr>
                <w:rFonts w:ascii="Calibri" w:hAnsi="Calibri"/>
                <w:sz w:val="18"/>
              </w:rPr>
              <w:t>Tenant lifecycle, health monitoring, global config</w:t>
            </w:r>
          </w:p>
        </w:tc>
      </w:tr>
    </w:tbl>
    <w:p>
      <w:pPr>
        <w:pStyle w:val="Heading2"/>
      </w:pPr>
      <w:r>
        <w:t>3.2 Cross-Cutting Capabilities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432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18"/>
              </w:rPr>
              <w:t>Authentication &amp; Authorization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18"/>
              </w:rPr>
              <w:t>6-tier RBAC, JWT (15min) + Refresh tokens, MFA for L1-L3, tenant-aware @PreAuthorize guards</w:t>
            </w:r>
          </w:p>
        </w:tc>
      </w:tr>
      <w:tr>
        <w:tc>
          <w:tcPr>
            <w:tcW w:type="dxa" w:w="4320"/>
            <w:shd w:fill="F7F9FC"/>
          </w:tcPr>
          <w:p>
            <w:r/>
            <w:r>
              <w:rPr>
                <w:rFonts w:ascii="Calibri" w:hAnsi="Calibri"/>
                <w:sz w:val="18"/>
              </w:rPr>
              <w:t>Event-Driven Architecture</w:t>
            </w:r>
          </w:p>
        </w:tc>
        <w:tc>
          <w:tcPr>
            <w:tcW w:type="dxa" w:w="4320"/>
            <w:shd w:fill="F7F9FC"/>
          </w:tcPr>
          <w:p>
            <w:r/>
            <w:r>
              <w:rPr>
                <w:rFonts w:ascii="Calibri" w:hAnsi="Calibri"/>
                <w:sz w:val="18"/>
              </w:rPr>
              <w:t>Apache Kafka (6 topic namespaces), DLQ + 3 retries, idempotent consumers, Socket.IO live updates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18"/>
              </w:rPr>
              <w:t>Notification Engine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18"/>
              </w:rPr>
              <w:t>SMS (Twilio/MSG91), WhatsApp (WABA), Email, Push (FCM), multi-language templates</w:t>
            </w:r>
          </w:p>
        </w:tc>
      </w:tr>
      <w:tr>
        <w:tc>
          <w:tcPr>
            <w:tcW w:type="dxa" w:w="4320"/>
            <w:shd w:fill="F7F9FC"/>
          </w:tcPr>
          <w:p>
            <w:r/>
            <w:r>
              <w:rPr>
                <w:rFonts w:ascii="Calibri" w:hAnsi="Calibri"/>
                <w:sz w:val="18"/>
              </w:rPr>
              <w:t>Document Management</w:t>
            </w:r>
          </w:p>
        </w:tc>
        <w:tc>
          <w:tcPr>
            <w:tcW w:type="dxa" w:w="4320"/>
            <w:shd w:fill="F7F9FC"/>
          </w:tcPr>
          <w:p>
            <w:r/>
            <w:r>
              <w:rPr>
                <w:rFonts w:ascii="Calibri" w:hAnsi="Calibri"/>
                <w:sz w:val="18"/>
              </w:rPr>
              <w:t>S3 storage (Mumbai + Singapore), presigned URLs (72h), AES-256 encryption at rest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18"/>
              </w:rPr>
              <w:t>Backup &amp; DR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18"/>
              </w:rPr>
              <w:t>PostgreSQL WAL archiving, 7-day PITR, RTO 4h, RPO 15min, automated daily snapshots</w:t>
            </w:r>
          </w:p>
        </w:tc>
      </w:tr>
    </w:tbl>
    <w:p>
      <w:pPr>
        <w:pStyle w:val="Heading2"/>
      </w:pPr>
      <w:r>
        <w:t>3.3 Out of Scope</w:t>
      </w:r>
    </w:p>
    <w:p>
      <w:pPr>
        <w:pStyle w:val="ListBullet"/>
      </w:pPr>
      <w:r/>
      <w:r>
        <w:rPr>
          <w:rFonts w:ascii="Calibri" w:hAnsi="Calibri"/>
          <w:sz w:val="20"/>
        </w:rPr>
        <w:t>Radiology Information System (RIS) / PACS integration — Phase 2 consideration</w:t>
      </w:r>
    </w:p>
    <w:p>
      <w:pPr>
        <w:pStyle w:val="ListBullet"/>
      </w:pPr>
      <w:r/>
      <w:r>
        <w:rPr>
          <w:rFonts w:ascii="Calibri" w:hAnsi="Calibri"/>
          <w:sz w:val="20"/>
        </w:rPr>
        <w:t>Blood Bank Management — Phase 2 consideration</w:t>
      </w:r>
    </w:p>
    <w:p>
      <w:pPr>
        <w:pStyle w:val="ListBullet"/>
      </w:pPr>
      <w:r/>
      <w:r>
        <w:rPr>
          <w:rFonts w:ascii="Calibri" w:hAnsi="Calibri"/>
          <w:sz w:val="20"/>
        </w:rPr>
        <w:t>Operation Theatre (OT) Scheduling — Phase 2 consideration</w:t>
      </w:r>
    </w:p>
    <w:p>
      <w:pPr>
        <w:pStyle w:val="ListBullet"/>
      </w:pPr>
      <w:r/>
      <w:r>
        <w:rPr>
          <w:rFonts w:ascii="Calibri" w:hAnsi="Calibri"/>
          <w:sz w:val="20"/>
        </w:rPr>
        <w:t>CSSD (Central Sterile Supply Department) — Phase 2 consideration</w:t>
      </w:r>
    </w:p>
    <w:p>
      <w:pPr>
        <w:pStyle w:val="ListBullet"/>
      </w:pPr>
      <w:r/>
      <w:r>
        <w:rPr>
          <w:rFonts w:ascii="Calibri" w:hAnsi="Calibri"/>
          <w:sz w:val="20"/>
        </w:rPr>
        <w:t>Dietary Management System — Phase 2 consideration</w:t>
      </w:r>
    </w:p>
    <w:p>
      <w:pPr>
        <w:pStyle w:val="ListBullet"/>
      </w:pPr>
      <w:r/>
      <w:r>
        <w:rPr>
          <w:rFonts w:ascii="Calibri" w:hAnsi="Calibri"/>
          <w:sz w:val="20"/>
        </w:rPr>
        <w:t>Ambulance / Emergency Triage — Phase 2 consideration</w:t>
      </w:r>
    </w:p>
    <w:p>
      <w:pPr>
        <w:pStyle w:val="ListBullet"/>
      </w:pPr>
      <w:r/>
      <w:r>
        <w:rPr>
          <w:rFonts w:ascii="Calibri" w:hAnsi="Calibri"/>
          <w:sz w:val="20"/>
        </w:rPr>
        <w:t>Mortuary Management — Phase 2 consideration</w:t>
      </w:r>
    </w:p>
    <w:p>
      <w:pPr>
        <w:pStyle w:val="ListBullet"/>
      </w:pPr>
      <w:r/>
      <w:r>
        <w:rPr>
          <w:rFonts w:ascii="Calibri" w:hAnsi="Calibri"/>
          <w:sz w:val="20"/>
        </w:rPr>
        <w:t>Biomedical Waste Tracking — Phase 2 consideration</w:t>
      </w:r>
    </w:p>
    <w:p>
      <w:pPr>
        <w:pStyle w:val="ListBullet"/>
      </w:pPr>
      <w:r/>
      <w:r>
        <w:rPr>
          <w:rFonts w:ascii="Calibri" w:hAnsi="Calibri"/>
          <w:sz w:val="20"/>
        </w:rPr>
        <w:t>Telemedicine / Video Consultation — Phase 2 consideration</w:t>
      </w:r>
    </w:p>
    <w:p>
      <w:pPr>
        <w:pStyle w:val="ListBullet"/>
      </w:pPr>
      <w:r/>
      <w:r>
        <w:rPr>
          <w:rFonts w:ascii="Calibri" w:hAnsi="Calibri"/>
          <w:sz w:val="20"/>
        </w:rPr>
        <w:t>AI/ML Clinical Decision Support (CDSS) — Phase 2 consideration</w:t>
      </w:r>
    </w:p>
    <w:p>
      <w:pPr>
        <w:pStyle w:val="ListBullet"/>
      </w:pPr>
      <w:r/>
      <w:r>
        <w:rPr>
          <w:rFonts w:ascii="Calibri" w:hAnsi="Calibri"/>
          <w:sz w:val="20"/>
        </w:rPr>
        <w:t>Third-party EHR data migration from legacy systems</w:t>
      </w:r>
    </w:p>
    <w:p>
      <w:pPr>
        <w:pStyle w:val="ListBullet"/>
      </w:pPr>
      <w:r/>
      <w:r>
        <w:rPr>
          <w:rFonts w:ascii="Calibri" w:hAnsi="Calibri"/>
          <w:sz w:val="20"/>
        </w:rPr>
        <w:t>Hardware procurement (biometric devices, barcode scanners, kiosks)</w:t>
      </w:r>
    </w:p>
    <w:p>
      <w:pPr>
        <w:pStyle w:val="ListBullet"/>
      </w:pPr>
      <w:r/>
      <w:r>
        <w:rPr>
          <w:rFonts w:ascii="Calibri" w:hAnsi="Calibri"/>
          <w:sz w:val="20"/>
        </w:rPr>
        <w:t>Internet connectivity and LAN infrastructure at client sites</w:t>
      </w:r>
    </w:p>
    <w:p>
      <w:pPr>
        <w:pStyle w:val="ListBullet"/>
      </w:pPr>
      <w:r/>
      <w:r>
        <w:rPr>
          <w:rFonts w:ascii="Calibri" w:hAnsi="Calibri"/>
          <w:sz w:val="20"/>
        </w:rPr>
        <w:t>Custom report development beyond the standard report builder</w:t>
      </w:r>
    </w:p>
    <w:p>
      <w:pPr>
        <w:shd w:fill="FFF7ED"/>
      </w:pPr>
      <w:r>
        <w:rPr>
          <w:rFonts w:ascii="Calibri" w:hAnsi="Calibri"/>
          <w:b/>
          <w:color w:val="B45309"/>
          <w:sz w:val="18"/>
        </w:rPr>
        <w:t xml:space="preserve">NOTE: </w:t>
      </w:r>
      <w:r>
        <w:rPr>
          <w:rFonts w:ascii="Calibri" w:hAnsi="Calibri"/>
          <w:sz w:val="18"/>
        </w:rPr>
        <w:t>Items marked "Phase 2 consideration" may be included in subsequent SOW amendments through the Change Control process defined in Section 14.</w:t>
      </w:r>
    </w:p>
    <w:p>
      <w:r>
        <w:br w:type="page"/>
      </w:r>
    </w:p>
    <w:p>
      <w:pPr>
        <w:pStyle w:val="Heading1"/>
      </w:pPr>
      <w:r>
        <w:t>4. Detailed Module Specifications</w:t>
      </w:r>
    </w:p>
    <w:p>
      <w:r>
        <w:t>Each module specification includes: functional description, screen inventory, workflow steps, data entities, integration points, role-based access, use cases, and edge cases/error handling scenarios.</w:t>
      </w:r>
    </w:p>
    <w:p>
      <w:pPr>
        <w:pStyle w:val="Heading2"/>
      </w:pPr>
      <w:r>
        <w:t>4.01 M01 — OPD &amp; Clinical Operations</w:t>
      </w:r>
    </w:p>
    <w:p>
      <w:pPr>
        <w:shd w:fill="E8EDF3"/>
      </w:pPr>
      <w:r>
        <w:rPr>
          <w:rFonts w:ascii="Calibri" w:hAnsi="Calibri"/>
          <w:b/>
          <w:sz w:val="20"/>
        </w:rPr>
        <w:t xml:space="preserve">Category: Clinical  |  </w:t>
      </w:r>
      <w:r>
        <w:rPr>
          <w:rFonts w:ascii="Calibri" w:hAnsi="Calibri"/>
          <w:sz w:val="20"/>
        </w:rPr>
        <w:t>Primary patient entry point managing registration, token queue, doctor consultations (SOAP-based EMR), e-prescriptions, lab orders, and discharge summaries.</w:t>
      </w:r>
    </w:p>
    <w:p>
      <w:pPr>
        <w:pStyle w:val="Heading3"/>
      </w:pPr>
      <w:r>
        <w:t>Screens (7)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Screen</w:t>
            </w:r>
          </w:p>
        </w:tc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576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Key Fields / Features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Patient Registration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New patient UHID generation with demographics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sz w:val="18"/>
              </w:rPr>
              <w:t>Name, DOB, Gender, Aadhaar, Phone, ABHA ID, Blood Group, Emergency Contact, DISHA Consent checkboxes</w:t>
            </w:r>
          </w:p>
        </w:tc>
      </w:tr>
      <w:tr>
        <w:tc>
          <w:tcPr>
            <w:tcW w:type="dxa" w:w="2160"/>
            <w:shd w:fill="F7F9FC"/>
          </w:tcPr>
          <w:p>
            <w:r/>
            <w:r>
              <w:rPr>
                <w:rFonts w:ascii="Calibri" w:hAnsi="Calibri"/>
                <w:sz w:val="18"/>
              </w:rPr>
              <w:t>Token Queue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Real-time department-wise queue with color-coded status</w:t>
            </w:r>
          </w:p>
        </w:tc>
        <w:tc>
          <w:tcPr>
            <w:tcW w:type="dxa" w:w="5760"/>
            <w:shd w:fill="F7F9FC"/>
          </w:tcPr>
          <w:p>
            <w:r/>
            <w:r>
              <w:rPr>
                <w:rFonts w:ascii="Calibri" w:hAnsi="Calibri"/>
                <w:sz w:val="18"/>
              </w:rPr>
              <w:t>Token No, Patient, Doctor, Status (Waiting/In-Consult/Done/No-Show), Auto-assign, Priority override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Doctor Consultation (EMR)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SOAP-format clinical documentation with ICD-10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sz w:val="18"/>
              </w:rPr>
              <w:t>Subjective, Objective (Vitals: BP/Pulse/Temp/SpO2/Weight), Assessment (ICD-10 search), Plan, History tabs</w:t>
            </w:r>
          </w:p>
        </w:tc>
      </w:tr>
      <w:tr>
        <w:tc>
          <w:tcPr>
            <w:tcW w:type="dxa" w:w="2160"/>
            <w:shd w:fill="F7F9FC"/>
          </w:tcPr>
          <w:p>
            <w:r/>
            <w:r>
              <w:rPr>
                <w:rFonts w:ascii="Calibri" w:hAnsi="Calibri"/>
                <w:sz w:val="18"/>
              </w:rPr>
              <w:t>E-Prescription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Drug prescribing with interaction alerts</w:t>
            </w:r>
          </w:p>
        </w:tc>
        <w:tc>
          <w:tcPr>
            <w:tcW w:type="dxa" w:w="5760"/>
            <w:shd w:fill="F7F9FC"/>
          </w:tcPr>
          <w:p>
            <w:r/>
            <w:r>
              <w:rPr>
                <w:rFonts w:ascii="Calibri" w:hAnsi="Calibri"/>
                <w:sz w:val="18"/>
              </w:rPr>
              <w:t>Drug name (autocomplete from formulary), Dosage, Frequency, Duration, Route, Interaction alerts, Print/Digital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Lab Order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Test panel ordering with priority flags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sz w:val="18"/>
              </w:rPr>
              <w:t>Test panel search, Priority (Routine/Urgent/STAT), Clinical notes, Fasting requirement, Specimen type</w:t>
            </w:r>
          </w:p>
        </w:tc>
      </w:tr>
      <w:tr>
        <w:tc>
          <w:tcPr>
            <w:tcW w:type="dxa" w:w="2160"/>
            <w:shd w:fill="F7F9FC"/>
          </w:tcPr>
          <w:p>
            <w:r/>
            <w:r>
              <w:rPr>
                <w:rFonts w:ascii="Calibri" w:hAnsi="Calibri"/>
                <w:sz w:val="18"/>
              </w:rPr>
              <w:t>Discharge Summary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Structured discharge with follow-up</w:t>
            </w:r>
          </w:p>
        </w:tc>
        <w:tc>
          <w:tcPr>
            <w:tcW w:type="dxa" w:w="5760"/>
            <w:shd w:fill="F7F9FC"/>
          </w:tcPr>
          <w:p>
            <w:r/>
            <w:r>
              <w:rPr>
                <w:rFonts w:ascii="Calibri" w:hAnsi="Calibri"/>
                <w:sz w:val="18"/>
              </w:rPr>
              <w:t>Diagnosis, Procedures, Medications at discharge, Follow-up date, Referrals, Diet instructions, PDF generation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OPD Dashboard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Department-level operational metrics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sz w:val="18"/>
              </w:rPr>
              <w:t>Today's patients, Avg wait time, Consultations completed, Revenue, Doctor utilization, No-show rate</w:t>
            </w:r>
          </w:p>
        </w:tc>
      </w:tr>
    </w:tbl>
    <w:p>
      <w:pPr>
        <w:pStyle w:val="Heading3"/>
      </w:pPr>
      <w:r>
        <w:t>Workflow</w:t>
      </w:r>
    </w:p>
    <w:p>
      <w:r>
        <w:t>Patient Registration → Token Generation → Queue Assignment → Doctor Consultation (SOAP) → E-Prescription/Lab Order → Discharge Summary → Kafka events emitted to Pharmacy, Lab, Finance, Audit</w:t>
      </w:r>
    </w:p>
    <w:p>
      <w:pPr>
        <w:pStyle w:val="Heading3"/>
      </w:pPr>
      <w:r>
        <w:t>Integration Flow</w:t>
      </w:r>
    </w:p>
    <w:p>
      <w:r>
        <w:t>OPD → Pharmacy (prescription.created) → Laboratory (lab.order.created) → Finance (consultation.charged) → Patient Portal (summary.available) → Audit (all events logged)</w:t>
      </w:r>
    </w:p>
    <w:p>
      <w:pPr>
        <w:pStyle w:val="Heading3"/>
      </w:pPr>
      <w:r>
        <w:t>Data Entities</w:t>
      </w:r>
    </w:p>
    <w:p>
      <w:pPr>
        <w:pStyle w:val="ListBullet"/>
      </w:pPr>
      <w:r/>
      <w:r>
        <w:rPr>
          <w:rFonts w:ascii="Calibri" w:hAnsi="Calibri"/>
          <w:b/>
          <w:sz w:val="20"/>
        </w:rPr>
        <w:t xml:space="preserve">Patient: </w:t>
      </w:r>
      <w:r>
        <w:rPr>
          <w:rFonts w:ascii="Calibri" w:hAnsi="Calibri"/>
          <w:sz w:val="20"/>
        </w:rPr>
        <w:t>id, uhid, tenantId, branchId, name, dob, gender, aadhaar, phone, email, abhaId, bloodGroup, allergies[], emergencyContact, dishaConsent{}</w:t>
      </w:r>
    </w:p>
    <w:p>
      <w:pPr>
        <w:pStyle w:val="ListBullet"/>
      </w:pPr>
      <w:r/>
      <w:r>
        <w:rPr>
          <w:rFonts w:ascii="Calibri" w:hAnsi="Calibri"/>
          <w:b/>
          <w:sz w:val="20"/>
        </w:rPr>
        <w:t xml:space="preserve">Consultation: </w:t>
      </w:r>
      <w:r>
        <w:rPr>
          <w:rFonts w:ascii="Calibri" w:hAnsi="Calibri"/>
          <w:sz w:val="20"/>
        </w:rPr>
        <w:t>id, patientId, doctorId, tokenId, soap{subjective, objective{vitals}, assessment{icd10Codes[]}, plan}, prescriptions[], labOrders[], followUpDate</w:t>
      </w:r>
    </w:p>
    <w:p>
      <w:pPr>
        <w:pStyle w:val="ListBullet"/>
      </w:pPr>
      <w:r/>
      <w:r>
        <w:rPr>
          <w:rFonts w:ascii="Calibri" w:hAnsi="Calibri"/>
          <w:b/>
          <w:sz w:val="20"/>
        </w:rPr>
        <w:t xml:space="preserve">Token: </w:t>
      </w:r>
      <w:r>
        <w:rPr>
          <w:rFonts w:ascii="Calibri" w:hAnsi="Calibri"/>
          <w:sz w:val="20"/>
        </w:rPr>
        <w:t>id, patientId, deptId, doctorId, tokenNo, status, priority, estimatedWait, calledAt, completedAt</w:t>
      </w:r>
    </w:p>
    <w:p>
      <w:pPr>
        <w:pStyle w:val="ListBullet"/>
      </w:pPr>
      <w:r/>
      <w:r>
        <w:rPr>
          <w:rFonts w:ascii="Calibri" w:hAnsi="Calibri"/>
          <w:b/>
          <w:sz w:val="20"/>
        </w:rPr>
        <w:t xml:space="preserve">DischargeSummary: </w:t>
      </w:r>
      <w:r>
        <w:rPr>
          <w:rFonts w:ascii="Calibri" w:hAnsi="Calibri"/>
          <w:sz w:val="20"/>
        </w:rPr>
        <w:t>id, consultationId, diagnosis[], procedures[], medicationsAtDischarge[], followUp, instructions, pdfUrl</w:t>
      </w:r>
    </w:p>
    <w:p>
      <w:pPr>
        <w:pStyle w:val="Heading3"/>
      </w:pPr>
      <w:r>
        <w:t>Use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52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UC ID</w:t>
            </w:r>
          </w:p>
        </w:tc>
        <w:tc>
          <w:tcPr>
            <w:tcW w:type="dxa" w:w="2592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Use Case</w:t>
            </w:r>
          </w:p>
        </w:tc>
        <w:tc>
          <w:tcPr>
            <w:tcW w:type="dxa" w:w="144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Actor</w:t>
            </w:r>
          </w:p>
        </w:tc>
        <w:tc>
          <w:tcPr>
            <w:tcW w:type="dxa" w:w="216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Precondition</w:t>
            </w:r>
          </w:p>
        </w:tc>
        <w:tc>
          <w:tcPr>
            <w:tcW w:type="dxa" w:w="360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Flow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sz w:val="18"/>
              </w:rPr>
              <w:t>UC-M01-01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18"/>
              </w:rPr>
              <w:t>Register new walk-in patient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18"/>
              </w:rPr>
              <w:t>L5 Receptionist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Patient not in system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Enter demographics → Verify Aadhaar → Generate UHID → Collect DISHA consent → Issue token</w:t>
            </w:r>
          </w:p>
        </w:tc>
      </w:tr>
      <w:tr>
        <w:tc>
          <w:tcPr>
            <w:tcW w:type="dxa" w:w="1152"/>
            <w:shd w:fill="F7F9FC"/>
          </w:tcPr>
          <w:p>
            <w:r/>
            <w:r>
              <w:rPr>
                <w:rFonts w:ascii="Calibri" w:hAnsi="Calibri"/>
                <w:sz w:val="18"/>
              </w:rPr>
              <w:t>UC-M01-02</w:t>
            </w:r>
          </w:p>
        </w:tc>
        <w:tc>
          <w:tcPr>
            <w:tcW w:type="dxa" w:w="2592"/>
            <w:shd w:fill="F7F9FC"/>
          </w:tcPr>
          <w:p>
            <w:r/>
            <w:r>
              <w:rPr>
                <w:rFonts w:ascii="Calibri" w:hAnsi="Calibri"/>
                <w:sz w:val="18"/>
              </w:rPr>
              <w:t>Register returning patient</w:t>
            </w:r>
          </w:p>
        </w:tc>
        <w:tc>
          <w:tcPr>
            <w:tcW w:type="dxa" w:w="1440"/>
            <w:shd w:fill="F7F9FC"/>
          </w:tcPr>
          <w:p>
            <w:r/>
            <w:r>
              <w:rPr>
                <w:rFonts w:ascii="Calibri" w:hAnsi="Calibri"/>
                <w:sz w:val="18"/>
              </w:rPr>
              <w:t>L5 Receptionist</w:t>
            </w:r>
          </w:p>
        </w:tc>
        <w:tc>
          <w:tcPr>
            <w:tcW w:type="dxa" w:w="2160"/>
            <w:shd w:fill="F7F9FC"/>
          </w:tcPr>
          <w:p>
            <w:r/>
            <w:r>
              <w:rPr>
                <w:rFonts w:ascii="Calibri" w:hAnsi="Calibri"/>
                <w:sz w:val="18"/>
              </w:rPr>
              <w:t>Patient has UHID</w:t>
            </w:r>
          </w:p>
        </w:tc>
        <w:tc>
          <w:tcPr>
            <w:tcW w:type="dxa" w:w="3600"/>
            <w:shd w:fill="F7F9FC"/>
          </w:tcPr>
          <w:p>
            <w:r/>
            <w:r>
              <w:rPr>
                <w:rFonts w:ascii="Calibri" w:hAnsi="Calibri"/>
                <w:sz w:val="18"/>
              </w:rPr>
              <w:t>Search by UHID/Phone/Name → Verify identity → Issue token for current visit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sz w:val="18"/>
              </w:rPr>
              <w:t>UC-M01-03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18"/>
              </w:rPr>
              <w:t>Conduct SOAP consultation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18"/>
              </w:rPr>
              <w:t>L5 Doctor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Patient called from queue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Open patient EMR → Record SOAP → Add ICD-10 → Prescribe drugs → Order labs → Save</w:t>
            </w:r>
          </w:p>
        </w:tc>
      </w:tr>
      <w:tr>
        <w:tc>
          <w:tcPr>
            <w:tcW w:type="dxa" w:w="1152"/>
            <w:shd w:fill="F7F9FC"/>
          </w:tcPr>
          <w:p>
            <w:r/>
            <w:r>
              <w:rPr>
                <w:rFonts w:ascii="Calibri" w:hAnsi="Calibri"/>
                <w:sz w:val="18"/>
              </w:rPr>
              <w:t>UC-M01-04</w:t>
            </w:r>
          </w:p>
        </w:tc>
        <w:tc>
          <w:tcPr>
            <w:tcW w:type="dxa" w:w="2592"/>
            <w:shd w:fill="F7F9FC"/>
          </w:tcPr>
          <w:p>
            <w:r/>
            <w:r>
              <w:rPr>
                <w:rFonts w:ascii="Calibri" w:hAnsi="Calibri"/>
                <w:sz w:val="18"/>
              </w:rPr>
              <w:t>Emergency priority override</w:t>
            </w:r>
          </w:p>
        </w:tc>
        <w:tc>
          <w:tcPr>
            <w:tcW w:type="dxa" w:w="1440"/>
            <w:shd w:fill="F7F9FC"/>
          </w:tcPr>
          <w:p>
            <w:r/>
            <w:r>
              <w:rPr>
                <w:rFonts w:ascii="Calibri" w:hAnsi="Calibri"/>
                <w:sz w:val="18"/>
              </w:rPr>
              <w:t>L4 Dept Head</w:t>
            </w:r>
          </w:p>
        </w:tc>
        <w:tc>
          <w:tcPr>
            <w:tcW w:type="dxa" w:w="2160"/>
            <w:shd w:fill="F7F9FC"/>
          </w:tcPr>
          <w:p>
            <w:r/>
            <w:r>
              <w:rPr>
                <w:rFonts w:ascii="Calibri" w:hAnsi="Calibri"/>
                <w:sz w:val="18"/>
              </w:rPr>
              <w:t>Emergency patient arrives</w:t>
            </w:r>
          </w:p>
        </w:tc>
        <w:tc>
          <w:tcPr>
            <w:tcW w:type="dxa" w:w="3600"/>
            <w:shd w:fill="F7F9FC"/>
          </w:tcPr>
          <w:p>
            <w:r/>
            <w:r>
              <w:rPr>
                <w:rFonts w:ascii="Calibri" w:hAnsi="Calibri"/>
                <w:sz w:val="18"/>
              </w:rPr>
              <w:t>Override queue priority → Assign to next available doctor → Flag as emergency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sz w:val="18"/>
              </w:rPr>
              <w:t>UC-M01-05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18"/>
              </w:rPr>
              <w:t>Generate discharge summary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18"/>
              </w:rPr>
              <w:t>L5 Doctor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Consultation complete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Review visit → Compile summary → Add follow-up → Generate PDF → Patient notified</w:t>
            </w:r>
          </w:p>
        </w:tc>
      </w:tr>
      <w:tr>
        <w:tc>
          <w:tcPr>
            <w:tcW w:type="dxa" w:w="1152"/>
            <w:shd w:fill="F7F9FC"/>
          </w:tcPr>
          <w:p>
            <w:r/>
            <w:r>
              <w:rPr>
                <w:rFonts w:ascii="Calibri" w:hAnsi="Calibri"/>
                <w:sz w:val="18"/>
              </w:rPr>
              <w:t>UC-M01-06</w:t>
            </w:r>
          </w:p>
        </w:tc>
        <w:tc>
          <w:tcPr>
            <w:tcW w:type="dxa" w:w="2592"/>
            <w:shd w:fill="F7F9FC"/>
          </w:tcPr>
          <w:p>
            <w:r/>
            <w:r>
              <w:rPr>
                <w:rFonts w:ascii="Calibri" w:hAnsi="Calibri"/>
                <w:sz w:val="18"/>
              </w:rPr>
              <w:t>Pre-booked appointment check-in</w:t>
            </w:r>
          </w:p>
        </w:tc>
        <w:tc>
          <w:tcPr>
            <w:tcW w:type="dxa" w:w="1440"/>
            <w:shd w:fill="F7F9FC"/>
          </w:tcPr>
          <w:p>
            <w:r/>
            <w:r>
              <w:rPr>
                <w:rFonts w:ascii="Calibri" w:hAnsi="Calibri"/>
                <w:sz w:val="18"/>
              </w:rPr>
              <w:t>L5 Receptionist</w:t>
            </w:r>
          </w:p>
        </w:tc>
        <w:tc>
          <w:tcPr>
            <w:tcW w:type="dxa" w:w="2160"/>
            <w:shd w:fill="F7F9FC"/>
          </w:tcPr>
          <w:p>
            <w:r/>
            <w:r>
              <w:rPr>
                <w:rFonts w:ascii="Calibri" w:hAnsi="Calibri"/>
                <w:sz w:val="18"/>
              </w:rPr>
              <w:t>Appointment exists in M11</w:t>
            </w:r>
          </w:p>
        </w:tc>
        <w:tc>
          <w:tcPr>
            <w:tcW w:type="dxa" w:w="3600"/>
            <w:shd w:fill="F7F9FC"/>
          </w:tcPr>
          <w:p>
            <w:r/>
            <w:r>
              <w:rPr>
                <w:rFonts w:ascii="Calibri" w:hAnsi="Calibri"/>
                <w:sz w:val="18"/>
              </w:rPr>
              <w:t>Scan QR / enter booking code → Auto-issue token → Pre-load patient context for doctor</w:t>
            </w:r>
          </w:p>
        </w:tc>
      </w:tr>
    </w:tbl>
    <w:p>
      <w:pPr>
        <w:pStyle w:val="Heading3"/>
      </w:pPr>
      <w:r>
        <w:t>Edge Cases &amp; Error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Edge Case / Scenario</w:t>
            </w:r>
          </w:p>
        </w:tc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 System Behavior</w:t>
            </w:r>
          </w:p>
        </w:tc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Duplicate patient (same Aadhaar)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System flags potential duplicate with merge suggestion; prevents duplicate UHID creation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P1</w:t>
            </w:r>
          </w:p>
        </w:tc>
      </w:tr>
      <w:tr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Doctor unavailable mid-consultation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Token reassigned to alternate doctor; partial SOAP data preserved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P2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Aadhaar verification API timeout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Allow registration with manual verification flag; retry in background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P2</w:t>
            </w:r>
          </w:p>
        </w:tc>
      </w:tr>
      <w:tr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Patient leaves without discharge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Auto-close consultation after 24h inactivity with "Patient Left Against Medical Advice" flag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P3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Concurrent token generation (race condition)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Atomic sequence generation with PostgreSQL SERIAL; pessimistic locking on token counter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P1</w:t>
            </w:r>
          </w:p>
        </w:tc>
      </w:tr>
      <w:tr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ABHA ID validation failure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Proceed without ABHA linkage; queue for manual ABDM verification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P3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ICD-10 code not found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Allow free-text provisional diagnosis; flag for coding team review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P2</w:t>
            </w:r>
          </w:p>
        </w:tc>
      </w:tr>
      <w:tr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Drug allergy detected during prescription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Hard-stop alert requiring doctor acknowledgment before proceeding; logged to audit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P1</w:t>
            </w:r>
          </w:p>
        </w:tc>
      </w:tr>
    </w:tbl>
    <w:p>
      <w:r>
        <w:br w:type="page"/>
      </w:r>
    </w:p>
    <w:p>
      <w:pPr>
        <w:pStyle w:val="Heading2"/>
      </w:pPr>
      <w:r>
        <w:t>4.02 M02 — Pharmacy &amp; Drug Management</w:t>
      </w:r>
    </w:p>
    <w:p>
      <w:pPr>
        <w:shd w:fill="E8EDF3"/>
      </w:pPr>
      <w:r>
        <w:rPr>
          <w:rFonts w:ascii="Calibri" w:hAnsi="Calibri"/>
          <w:b/>
          <w:sz w:val="20"/>
        </w:rPr>
        <w:t xml:space="preserve">Category: Clinical  |  </w:t>
      </w:r>
      <w:r>
        <w:rPr>
          <w:rFonts w:ascii="Calibri" w:hAnsi="Calibri"/>
          <w:sz w:val="20"/>
        </w:rPr>
        <w:t>Full lifecycle drug dispensing from prescription receipt through FIFO-based stock allocation, drug interaction checking, pharmacy billing with GST, and automated procurement reorder.</w:t>
      </w:r>
    </w:p>
    <w:p>
      <w:pPr>
        <w:pStyle w:val="Heading3"/>
      </w:pPr>
      <w:r>
        <w:t>Screens (7)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Screen</w:t>
            </w:r>
          </w:p>
        </w:tc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576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Key Fields / Features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Prescription Worklist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Real-time incoming prescriptions via Kafka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sz w:val="18"/>
              </w:rPr>
              <w:t>Patient, Doctor, Rx Items, Priority, Status (Pending/Dispensing/Dispensed/Cancelled), Timestamp</w:t>
            </w:r>
          </w:p>
        </w:tc>
      </w:tr>
      <w:tr>
        <w:tc>
          <w:tcPr>
            <w:tcW w:type="dxa" w:w="2160"/>
            <w:shd w:fill="F7F9FC"/>
          </w:tcPr>
          <w:p>
            <w:r/>
            <w:r>
              <w:rPr>
                <w:rFonts w:ascii="Calibri" w:hAnsi="Calibri"/>
                <w:sz w:val="18"/>
              </w:rPr>
              <w:t>Drug Dispensing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FIFO batch selection with interaction check</w:t>
            </w:r>
          </w:p>
        </w:tc>
        <w:tc>
          <w:tcPr>
            <w:tcW w:type="dxa" w:w="5760"/>
            <w:shd w:fill="F7F9FC"/>
          </w:tcPr>
          <w:p>
            <w:r/>
            <w:r>
              <w:rPr>
                <w:rFonts w:ascii="Calibri" w:hAnsi="Calibri"/>
                <w:sz w:val="18"/>
              </w:rPr>
              <w:t>Drug, Batch No, Expiry, Qty Available, Qty to Dispense, Substitution suggestions, Interaction alerts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Pharmacy Billing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Itemised invoice with multi-mode payment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sz w:val="18"/>
              </w:rPr>
              <w:t>Drug/Batch/Qty/MRP/Disc%/GST/Amount line items, Payment Mode (Cash/Card/UPI/TPA/Credit), GST breakup (CGST+SGST), QR receipt</w:t>
            </w:r>
          </w:p>
        </w:tc>
      </w:tr>
      <w:tr>
        <w:tc>
          <w:tcPr>
            <w:tcW w:type="dxa" w:w="2160"/>
            <w:shd w:fill="F7F9FC"/>
          </w:tcPr>
          <w:p>
            <w:r/>
            <w:r>
              <w:rPr>
                <w:rFonts w:ascii="Calibri" w:hAnsi="Calibri"/>
                <w:sz w:val="18"/>
              </w:rPr>
              <w:t>Stock Ledger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Real-time branch-level drug inventory</w:t>
            </w:r>
          </w:p>
        </w:tc>
        <w:tc>
          <w:tcPr>
            <w:tcW w:type="dxa" w:w="5760"/>
            <w:shd w:fill="F7F9FC"/>
          </w:tcPr>
          <w:p>
            <w:r/>
            <w:r>
              <w:rPr>
                <w:rFonts w:ascii="Calibri" w:hAnsi="Calibri"/>
                <w:sz w:val="18"/>
              </w:rPr>
              <w:t>Drug, Category, Current Stock, Reorder Level, Last Dispensed, Expiry Alert, Branch filter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Purchase Order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PO creation with approval workflow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sz w:val="18"/>
              </w:rPr>
              <w:t>Vendor, Items[], Quantities, Unit Cost, Total, Approval Status, PO Number, Expected Delivery</w:t>
            </w:r>
          </w:p>
        </w:tc>
      </w:tr>
      <w:tr>
        <w:tc>
          <w:tcPr>
            <w:tcW w:type="dxa" w:w="2160"/>
            <w:shd w:fill="F7F9FC"/>
          </w:tcPr>
          <w:p>
            <w:r/>
            <w:r>
              <w:rPr>
                <w:rFonts w:ascii="Calibri" w:hAnsi="Calibri"/>
                <w:sz w:val="18"/>
              </w:rPr>
              <w:t>GRN Entry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Goods receipt with quality check</w:t>
            </w:r>
          </w:p>
        </w:tc>
        <w:tc>
          <w:tcPr>
            <w:tcW w:type="dxa" w:w="5760"/>
            <w:shd w:fill="F7F9FC"/>
          </w:tcPr>
          <w:p>
            <w:r/>
            <w:r>
              <w:rPr>
                <w:rFonts w:ascii="Calibri" w:hAnsi="Calibri"/>
                <w:sz w:val="18"/>
              </w:rPr>
              <w:t>PO Reference, Received Items, Batch Numbers, Expiry Dates, Quality Check Status, Invoice Reconciliation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Inter-Branch Transfer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Surplus stock reallocation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sz w:val="18"/>
              </w:rPr>
              <w:t>Source Branch, Destination Branch, Drug, Qty, Batch, Approval, Transit Status</w:t>
            </w:r>
          </w:p>
        </w:tc>
      </w:tr>
    </w:tbl>
    <w:p>
      <w:pPr>
        <w:pStyle w:val="Heading3"/>
      </w:pPr>
      <w:r>
        <w:t>Workflow</w:t>
      </w:r>
    </w:p>
    <w:p>
      <w:r>
        <w:t>Prescription Received (Kafka) → Drug Availability Check (FIFO) → Drug Interaction Screening → Dispensing &amp; Stock Decrement → Pharmacy Billing &amp; Invoice → Auto-Post to Finance (Kafka) → Procurement Reorder (if below threshold)</w:t>
      </w:r>
    </w:p>
    <w:p>
      <w:pPr>
        <w:pStyle w:val="Heading3"/>
      </w:pPr>
      <w:r>
        <w:t>Data Entities</w:t>
      </w:r>
    </w:p>
    <w:p>
      <w:pPr>
        <w:pStyle w:val="ListBullet"/>
      </w:pPr>
      <w:r/>
      <w:r>
        <w:rPr>
          <w:rFonts w:ascii="Calibri" w:hAnsi="Calibri"/>
          <w:b/>
          <w:sz w:val="20"/>
        </w:rPr>
        <w:t xml:space="preserve">Drug: </w:t>
      </w:r>
      <w:r>
        <w:rPr>
          <w:rFonts w:ascii="Calibri" w:hAnsi="Calibri"/>
          <w:sz w:val="20"/>
        </w:rPr>
        <w:t>id, name, generic, category, hsnCode, gstRate, interactions[], contraindications[], scheduleType</w:t>
      </w:r>
    </w:p>
    <w:p>
      <w:pPr>
        <w:pStyle w:val="ListBullet"/>
      </w:pPr>
      <w:r/>
      <w:r>
        <w:rPr>
          <w:rFonts w:ascii="Calibri" w:hAnsi="Calibri"/>
          <w:b/>
          <w:sz w:val="20"/>
        </w:rPr>
        <w:t xml:space="preserve">DrugBatch: </w:t>
      </w:r>
      <w:r>
        <w:rPr>
          <w:rFonts w:ascii="Calibri" w:hAnsi="Calibri"/>
          <w:sz w:val="20"/>
        </w:rPr>
        <w:t>id, drugId, batchNo, expiry, quantity, supplierId, costPrice, mfgDate</w:t>
      </w:r>
    </w:p>
    <w:p>
      <w:pPr>
        <w:pStyle w:val="ListBullet"/>
      </w:pPr>
      <w:r/>
      <w:r>
        <w:rPr>
          <w:rFonts w:ascii="Calibri" w:hAnsi="Calibri"/>
          <w:b/>
          <w:sz w:val="20"/>
        </w:rPr>
        <w:t xml:space="preserve">StockLedger: </w:t>
      </w:r>
      <w:r>
        <w:rPr>
          <w:rFonts w:ascii="Calibri" w:hAnsi="Calibri"/>
          <w:sz w:val="20"/>
        </w:rPr>
        <w:t>id, drugId, branchId, currentQty, reorderLevel, lastUpdated, fifoQueue[]</w:t>
      </w:r>
    </w:p>
    <w:p>
      <w:pPr>
        <w:pStyle w:val="ListBullet"/>
      </w:pPr>
      <w:r/>
      <w:r>
        <w:rPr>
          <w:rFonts w:ascii="Calibri" w:hAnsi="Calibri"/>
          <w:b/>
          <w:sz w:val="20"/>
        </w:rPr>
        <w:t xml:space="preserve">DispensRecord: </w:t>
      </w:r>
      <w:r>
        <w:rPr>
          <w:rFonts w:ascii="Calibri" w:hAnsi="Calibri"/>
          <w:sz w:val="20"/>
        </w:rPr>
        <w:t>id, prescriptionId, patientId, drugs[], batchIds[], pharmacistId, timestamp</w:t>
      </w:r>
    </w:p>
    <w:p>
      <w:pPr>
        <w:pStyle w:val="ListBullet"/>
      </w:pPr>
      <w:r/>
      <w:r>
        <w:rPr>
          <w:rFonts w:ascii="Calibri" w:hAnsi="Calibri"/>
          <w:b/>
          <w:sz w:val="20"/>
        </w:rPr>
        <w:t xml:space="preserve">PharmacyInvoice: </w:t>
      </w:r>
      <w:r>
        <w:rPr>
          <w:rFonts w:ascii="Calibri" w:hAnsi="Calibri"/>
          <w:sz w:val="20"/>
        </w:rPr>
        <w:t>id, dispensRecordId, patientId, lineItems[], gstBreakup{cgst, sgst}, totalAmt, paymentMode, receiptUrl</w:t>
      </w:r>
    </w:p>
    <w:p>
      <w:pPr>
        <w:pStyle w:val="ListBullet"/>
      </w:pPr>
      <w:r/>
      <w:r>
        <w:rPr>
          <w:rFonts w:ascii="Calibri" w:hAnsi="Calibri"/>
          <w:b/>
          <w:sz w:val="20"/>
        </w:rPr>
        <w:t xml:space="preserve">PurchaseOrder: </w:t>
      </w:r>
      <w:r>
        <w:rPr>
          <w:rFonts w:ascii="Calibri" w:hAnsi="Calibri"/>
          <w:sz w:val="20"/>
        </w:rPr>
        <w:t>id, branchId, vendorId, items[], status, approvals[], totalAmt, expectedDelivery</w:t>
      </w:r>
    </w:p>
    <w:p>
      <w:pPr>
        <w:pStyle w:val="ListBullet"/>
      </w:pPr>
      <w:r/>
      <w:r>
        <w:rPr>
          <w:rFonts w:ascii="Calibri" w:hAnsi="Calibri"/>
          <w:b/>
          <w:sz w:val="20"/>
        </w:rPr>
        <w:t xml:space="preserve">GRN: </w:t>
      </w:r>
      <w:r>
        <w:rPr>
          <w:rFonts w:ascii="Calibri" w:hAnsi="Calibri"/>
          <w:sz w:val="20"/>
        </w:rPr>
        <w:t>id, poId, receivedItems[], qualityCheck, invoiceRef, receivedBy, timestamp</w:t>
      </w:r>
    </w:p>
    <w:p>
      <w:pPr>
        <w:pStyle w:val="Heading3"/>
      </w:pPr>
      <w:r>
        <w:t>Use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UC ID</w:t>
            </w:r>
          </w:p>
        </w:tc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Use Case</w:t>
            </w:r>
          </w:p>
        </w:tc>
        <w:tc>
          <w:tcPr>
            <w:tcW w:type="dxa" w:w="1728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Actor</w:t>
            </w:r>
          </w:p>
        </w:tc>
        <w:tc>
          <w:tcPr>
            <w:tcW w:type="dxa" w:w="504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Flow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sz w:val="18"/>
              </w:rPr>
              <w:t>UC-M02-01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Dispense prescribed drugs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L5 Pharmacist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sz w:val="18"/>
              </w:rPr>
              <w:t>View worklist → Select Rx → FIFO batch auto-selected → Verify interactions → Dispense → Stock decremented</w:t>
            </w:r>
          </w:p>
        </w:tc>
      </w:tr>
      <w:tr>
        <w:tc>
          <w:tcPr>
            <w:tcW w:type="dxa" w:w="1152"/>
            <w:shd w:fill="F7F9FC"/>
          </w:tcPr>
          <w:p>
            <w:r/>
            <w:r>
              <w:rPr>
                <w:rFonts w:ascii="Calibri" w:hAnsi="Calibri"/>
                <w:sz w:val="18"/>
              </w:rPr>
              <w:t>UC-M02-02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Generate pharmacy invoice</w:t>
            </w:r>
          </w:p>
        </w:tc>
        <w:tc>
          <w:tcPr>
            <w:tcW w:type="dxa" w:w="1728"/>
            <w:shd w:fill="F7F9FC"/>
          </w:tcPr>
          <w:p>
            <w:r/>
            <w:r>
              <w:rPr>
                <w:rFonts w:ascii="Calibri" w:hAnsi="Calibri"/>
                <w:sz w:val="18"/>
              </w:rPr>
              <w:t>L5 Pharmacist</w:t>
            </w:r>
          </w:p>
        </w:tc>
        <w:tc>
          <w:tcPr>
            <w:tcW w:type="dxa" w:w="5040"/>
            <w:shd w:fill="F7F9FC"/>
          </w:tcPr>
          <w:p>
            <w:r/>
            <w:r>
              <w:rPr>
                <w:rFonts w:ascii="Calibri" w:hAnsi="Calibri"/>
                <w:sz w:val="18"/>
              </w:rPr>
              <w:t>Post-dispensing → Auto-generate line items with GST → Select payment mode → Print QR receipt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sz w:val="18"/>
              </w:rPr>
              <w:t>UC-M02-03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Handle controlled substance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L5 Pharmacist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sz w:val="18"/>
              </w:rPr>
              <w:t>Verify Schedule H/H1 compliance → Require doctor authorization → Double-entry log → Regulatory report</w:t>
            </w:r>
          </w:p>
        </w:tc>
      </w:tr>
      <w:tr>
        <w:tc>
          <w:tcPr>
            <w:tcW w:type="dxa" w:w="1152"/>
            <w:shd w:fill="F7F9FC"/>
          </w:tcPr>
          <w:p>
            <w:r/>
            <w:r>
              <w:rPr>
                <w:rFonts w:ascii="Calibri" w:hAnsi="Calibri"/>
                <w:sz w:val="18"/>
              </w:rPr>
              <w:t>UC-M02-04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Process drug return</w:t>
            </w:r>
          </w:p>
        </w:tc>
        <w:tc>
          <w:tcPr>
            <w:tcW w:type="dxa" w:w="1728"/>
            <w:shd w:fill="F7F9FC"/>
          </w:tcPr>
          <w:p>
            <w:r/>
            <w:r>
              <w:rPr>
                <w:rFonts w:ascii="Calibri" w:hAnsi="Calibri"/>
                <w:sz w:val="18"/>
              </w:rPr>
              <w:t>L5 Pharmacist</w:t>
            </w:r>
          </w:p>
        </w:tc>
        <w:tc>
          <w:tcPr>
            <w:tcW w:type="dxa" w:w="5040"/>
            <w:shd w:fill="F7F9FC"/>
          </w:tcPr>
          <w:p>
            <w:r/>
            <w:r>
              <w:rPr>
                <w:rFonts w:ascii="Calibri" w:hAnsi="Calibri"/>
                <w:sz w:val="18"/>
              </w:rPr>
              <w:t>Verify within return window → Inspect packaging → Credit note → Restock if unopened → Refund initiated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sz w:val="18"/>
              </w:rPr>
              <w:t>UC-M02-05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Emergency stock requisition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L4 Pharmacy HOD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sz w:val="18"/>
              </w:rPr>
              <w:t>Bypass normal PO → Emergency flag → Auto-approval → Post-approval audit within 24h mandatory</w:t>
            </w:r>
          </w:p>
        </w:tc>
      </w:tr>
      <w:tr>
        <w:tc>
          <w:tcPr>
            <w:tcW w:type="dxa" w:w="1152"/>
            <w:shd w:fill="F7F9FC"/>
          </w:tcPr>
          <w:p>
            <w:r/>
            <w:r>
              <w:rPr>
                <w:rFonts w:ascii="Calibri" w:hAnsi="Calibri"/>
                <w:sz w:val="18"/>
              </w:rPr>
              <w:t>UC-M02-06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Inter-branch stock transfer</w:t>
            </w:r>
          </w:p>
        </w:tc>
        <w:tc>
          <w:tcPr>
            <w:tcW w:type="dxa" w:w="1728"/>
            <w:shd w:fill="F7F9FC"/>
          </w:tcPr>
          <w:p>
            <w:r/>
            <w:r>
              <w:rPr>
                <w:rFonts w:ascii="Calibri" w:hAnsi="Calibri"/>
                <w:sz w:val="18"/>
              </w:rPr>
              <w:t>L3 Branch Admin</w:t>
            </w:r>
          </w:p>
        </w:tc>
        <w:tc>
          <w:tcPr>
            <w:tcW w:type="dxa" w:w="5040"/>
            <w:shd w:fill="F7F9FC"/>
          </w:tcPr>
          <w:p>
            <w:r/>
            <w:r>
              <w:rPr>
                <w:rFonts w:ascii="Calibri" w:hAnsi="Calibri"/>
                <w:sz w:val="18"/>
              </w:rPr>
              <w:t>Identify surplus → Create transfer request → Destination approval → Transit tracking → GRN at destination</w:t>
            </w:r>
          </w:p>
        </w:tc>
      </w:tr>
    </w:tbl>
    <w:p>
      <w:pPr>
        <w:pStyle w:val="Heading3"/>
      </w:pPr>
      <w:r>
        <w:t>Edge Cases &amp; Error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Edge Case / Scenario</w:t>
            </w:r>
          </w:p>
        </w:tc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 System Behavior</w:t>
            </w:r>
          </w:p>
        </w:tc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Drug out of stock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Suggest generic substitutes from formulary; alert doctor for approval; queue for emergency procurement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P1</w:t>
            </w:r>
          </w:p>
        </w:tc>
      </w:tr>
      <w:tr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Expired batch in FIFO queue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Auto-skip expired batches; flag for quarantine; alert Store Manager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P1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Drug interaction detected (severe)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Hard-stop dispensing; require prescribing doctor override with reason; full audit trail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P1</w:t>
            </w:r>
          </w:p>
        </w:tc>
      </w:tr>
      <w:tr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Partial dispensing (insufficient stock)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Dispense available qty; back-order remainder; notify patient of pickup date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P2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GRN quantity mismatch with PO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Flag discrepancy; require Store Manager sign-off; vendor debit note auto-generated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P2</w:t>
            </w:r>
          </w:p>
        </w:tc>
      </w:tr>
      <w:tr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TPA payment rejection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Fallback to patient self-pay; generate revised invoice; TPA dispute workflow initiated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P2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Concurrent dispensing of same batch (race)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Atomic stock decrement with row-level locking; second request fails gracefully with retry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P1</w:t>
            </w:r>
          </w:p>
        </w:tc>
      </w:tr>
      <w:tr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Barcode scanner malfunction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Manual drug/batch entry fallback with mandatory double-verification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P3</w:t>
            </w:r>
          </w:p>
        </w:tc>
      </w:tr>
    </w:tbl>
    <w:p>
      <w:r>
        <w:br w:type="page"/>
      </w:r>
    </w:p>
    <w:p>
      <w:pPr>
        <w:pStyle w:val="Heading2"/>
      </w:pPr>
      <w:r>
        <w:t>4.03 M03 — Laboratory &amp; Diagnostics</w:t>
      </w:r>
    </w:p>
    <w:p>
      <w:pPr>
        <w:shd w:fill="E8EDF3"/>
      </w:pPr>
      <w:r>
        <w:rPr>
          <w:rFonts w:ascii="Calibri" w:hAnsi="Calibri"/>
          <w:b/>
          <w:sz w:val="20"/>
        </w:rPr>
        <w:t xml:space="preserve">Category: Clinical  |  </w:t>
      </w:r>
      <w:r>
        <w:rPr>
          <w:rFonts w:ascii="Calibri" w:hAnsi="Calibri"/>
          <w:sz w:val="20"/>
        </w:rPr>
        <w:t>Complete pathology and diagnostics workflow from test order receipt through sample collection (barcode tracking), result entry, pathologist validation, report generation, and TAT monitoring.</w:t>
      </w:r>
    </w:p>
    <w:p>
      <w:pPr>
        <w:pStyle w:val="Heading3"/>
      </w:pPr>
      <w:r>
        <w:t>Screens (6)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Screen</w:t>
            </w:r>
          </w:p>
        </w:tc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576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Key Fields / Features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Lab Worklist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Incoming test orders from OPD/IPD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sz w:val="18"/>
              </w:rPr>
              <w:t>Patient, Ordered By, Tests[], Priority, Status, Sample Required, Timestamp</w:t>
            </w:r>
          </w:p>
        </w:tc>
      </w:tr>
      <w:tr>
        <w:tc>
          <w:tcPr>
            <w:tcW w:type="dxa" w:w="2160"/>
            <w:shd w:fill="F7F9FC"/>
          </w:tcPr>
          <w:p>
            <w:r/>
            <w:r>
              <w:rPr>
                <w:rFonts w:ascii="Calibri" w:hAnsi="Calibri"/>
                <w:sz w:val="18"/>
              </w:rPr>
              <w:t>Sample Collection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Barcode-tracked specimen collection</w:t>
            </w:r>
          </w:p>
        </w:tc>
        <w:tc>
          <w:tcPr>
            <w:tcW w:type="dxa" w:w="5760"/>
            <w:shd w:fill="F7F9FC"/>
          </w:tcPr>
          <w:p>
            <w:r/>
            <w:r>
              <w:rPr>
                <w:rFonts w:ascii="Calibri" w:hAnsi="Calibri"/>
                <w:sz w:val="18"/>
              </w:rPr>
              <w:t>Barcode ID, Patient, Specimen Type, Collection Time, Collector, Fasting verified, Chain of custody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Result Entry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Technician enters test values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sz w:val="18"/>
              </w:rPr>
              <w:t>Test, Parameter, Value, Unit, Normal Range, Flag (Normal/Abnormal/Critical), Instrument interface</w:t>
            </w:r>
          </w:p>
        </w:tc>
      </w:tr>
      <w:tr>
        <w:tc>
          <w:tcPr>
            <w:tcW w:type="dxa" w:w="2160"/>
            <w:shd w:fill="F7F9FC"/>
          </w:tcPr>
          <w:p>
            <w:r/>
            <w:r>
              <w:rPr>
                <w:rFonts w:ascii="Calibri" w:hAnsi="Calibri"/>
                <w:sz w:val="18"/>
              </w:rPr>
              <w:t>Result Validation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Pathologist review and sign-off</w:t>
            </w:r>
          </w:p>
        </w:tc>
        <w:tc>
          <w:tcPr>
            <w:tcW w:type="dxa" w:w="5760"/>
            <w:shd w:fill="F7F9FC"/>
          </w:tcPr>
          <w:p>
            <w:r/>
            <w:r>
              <w:rPr>
                <w:rFonts w:ascii="Calibri" w:hAnsi="Calibri"/>
                <w:sz w:val="18"/>
              </w:rPr>
              <w:t>Results summary, Historical comparison, Critical value alerts, Digital signature, Reject with reason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Lab Report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Patient-facing formatted report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sz w:val="18"/>
              </w:rPr>
              <w:t>Header, Test results table, Interpretation, Pathologist signature, FHIR export, S3 presigned URL (72h)</w:t>
            </w:r>
          </w:p>
        </w:tc>
      </w:tr>
      <w:tr>
        <w:tc>
          <w:tcPr>
            <w:tcW w:type="dxa" w:w="2160"/>
            <w:shd w:fill="F7F9FC"/>
          </w:tcPr>
          <w:p>
            <w:r/>
            <w:r>
              <w:rPr>
                <w:rFonts w:ascii="Calibri" w:hAnsi="Calibri"/>
                <w:sz w:val="18"/>
              </w:rPr>
              <w:t>TAT Monitor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Turn-around-time tracking dashboard</w:t>
            </w:r>
          </w:p>
        </w:tc>
        <w:tc>
          <w:tcPr>
            <w:tcW w:type="dxa" w:w="5760"/>
            <w:shd w:fill="F7F9FC"/>
          </w:tcPr>
          <w:p>
            <w:r/>
            <w:r>
              <w:rPr>
                <w:rFonts w:ascii="Calibri" w:hAnsi="Calibri"/>
                <w:sz w:val="18"/>
              </w:rPr>
              <w:t>Test-wise TAT, Breached TATs, Department efficiency, Bottleneck analysis, NABL benchmarks</w:t>
            </w:r>
          </w:p>
        </w:tc>
      </w:tr>
    </w:tbl>
    <w:p>
      <w:pPr>
        <w:pStyle w:val="Heading3"/>
      </w:pPr>
      <w:r>
        <w:t>Data Entities</w:t>
      </w:r>
    </w:p>
    <w:p>
      <w:pPr>
        <w:pStyle w:val="ListBullet"/>
      </w:pPr>
      <w:r/>
      <w:r>
        <w:rPr>
          <w:rFonts w:ascii="Calibri" w:hAnsi="Calibri"/>
          <w:b/>
          <w:sz w:val="20"/>
        </w:rPr>
        <w:t xml:space="preserve">LabOrder: </w:t>
      </w:r>
      <w:r>
        <w:rPr>
          <w:rFonts w:ascii="Calibri" w:hAnsi="Calibri"/>
          <w:sz w:val="20"/>
        </w:rPr>
        <w:t>id, consultationId, patientId, orderedBy, tests[], priority, status, orderedAt</w:t>
      </w:r>
    </w:p>
    <w:p>
      <w:pPr>
        <w:pStyle w:val="ListBullet"/>
      </w:pPr>
      <w:r/>
      <w:r>
        <w:rPr>
          <w:rFonts w:ascii="Calibri" w:hAnsi="Calibri"/>
          <w:b/>
          <w:sz w:val="20"/>
        </w:rPr>
        <w:t xml:space="preserve">Sample: </w:t>
      </w:r>
      <w:r>
        <w:rPr>
          <w:rFonts w:ascii="Calibri" w:hAnsi="Calibri"/>
          <w:sz w:val="20"/>
        </w:rPr>
        <w:t>id, labOrderId, barcodeId, specimenType, collectedBy, collectedAt, condition, storageTemp</w:t>
      </w:r>
    </w:p>
    <w:p>
      <w:pPr>
        <w:pStyle w:val="ListBullet"/>
      </w:pPr>
      <w:r/>
      <w:r>
        <w:rPr>
          <w:rFonts w:ascii="Calibri" w:hAnsi="Calibri"/>
          <w:b/>
          <w:sz w:val="20"/>
        </w:rPr>
        <w:t xml:space="preserve">LabResult: </w:t>
      </w:r>
      <w:r>
        <w:rPr>
          <w:rFonts w:ascii="Calibri" w:hAnsi="Calibri"/>
          <w:sz w:val="20"/>
        </w:rPr>
        <w:t>id, sampleId, testId, parameters[{name, value, unit, normalRange, flag}], enteredBy, enteredAt</w:t>
      </w:r>
    </w:p>
    <w:p>
      <w:pPr>
        <w:pStyle w:val="ListBullet"/>
      </w:pPr>
      <w:r/>
      <w:r>
        <w:rPr>
          <w:rFonts w:ascii="Calibri" w:hAnsi="Calibri"/>
          <w:b/>
          <w:sz w:val="20"/>
        </w:rPr>
        <w:t xml:space="preserve">LabReport: </w:t>
      </w:r>
      <w:r>
        <w:rPr>
          <w:rFonts w:ascii="Calibri" w:hAnsi="Calibri"/>
          <w:sz w:val="20"/>
        </w:rPr>
        <w:t>id, resultId, patientId, validatedBy, validatedAt, reportUrl, fhirBundle, expiresAt</w:t>
      </w:r>
    </w:p>
    <w:p>
      <w:pPr>
        <w:pStyle w:val="Heading3"/>
      </w:pPr>
      <w:r>
        <w:t>Use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UC ID</w:t>
            </w:r>
          </w:p>
        </w:tc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Use Case</w:t>
            </w:r>
          </w:p>
        </w:tc>
        <w:tc>
          <w:tcPr>
            <w:tcW w:type="dxa" w:w="1728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Actor</w:t>
            </w:r>
          </w:p>
        </w:tc>
        <w:tc>
          <w:tcPr>
            <w:tcW w:type="dxa" w:w="504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Flow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sz w:val="18"/>
              </w:rPr>
              <w:t>UC-M03-01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Process routine lab order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L5 Technician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sz w:val="18"/>
              </w:rPr>
              <w:t>Receive order → Collect sample → Barcode label → Process → Enter results → Pathologist validates → Report generated</w:t>
            </w:r>
          </w:p>
        </w:tc>
      </w:tr>
      <w:tr>
        <w:tc>
          <w:tcPr>
            <w:tcW w:type="dxa" w:w="1152"/>
            <w:shd w:fill="F7F9FC"/>
          </w:tcPr>
          <w:p>
            <w:r/>
            <w:r>
              <w:rPr>
                <w:rFonts w:ascii="Calibri" w:hAnsi="Calibri"/>
                <w:sz w:val="18"/>
              </w:rPr>
              <w:t>UC-M03-02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Handle critical value</w:t>
            </w:r>
          </w:p>
        </w:tc>
        <w:tc>
          <w:tcPr>
            <w:tcW w:type="dxa" w:w="1728"/>
            <w:shd w:fill="F7F9FC"/>
          </w:tcPr>
          <w:p>
            <w:r/>
            <w:r>
              <w:rPr>
                <w:rFonts w:ascii="Calibri" w:hAnsi="Calibri"/>
                <w:sz w:val="18"/>
              </w:rPr>
              <w:t>L5 Technician</w:t>
            </w:r>
          </w:p>
        </w:tc>
        <w:tc>
          <w:tcPr>
            <w:tcW w:type="dxa" w:w="5040"/>
            <w:shd w:fill="F7F9FC"/>
          </w:tcPr>
          <w:p>
            <w:r/>
            <w:r>
              <w:rPr>
                <w:rFonts w:ascii="Calibri" w:hAnsi="Calibri"/>
                <w:sz w:val="18"/>
              </w:rPr>
              <w:t>Result flagged critical → Immediate alert to ordering doctor → Phone confirmation required → Logged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sz w:val="18"/>
              </w:rPr>
              <w:t>UC-M03-03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Reject invalid sample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L5 Technician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sz w:val="18"/>
              </w:rPr>
              <w:t>Identify hemolyzed/clotted sample → Reject with reason → Re-collection order auto-generated → Patient notified</w:t>
            </w:r>
          </w:p>
        </w:tc>
      </w:tr>
      <w:tr>
        <w:tc>
          <w:tcPr>
            <w:tcW w:type="dxa" w:w="1152"/>
            <w:shd w:fill="F7F9FC"/>
          </w:tcPr>
          <w:p>
            <w:r/>
            <w:r>
              <w:rPr>
                <w:rFonts w:ascii="Calibri" w:hAnsi="Calibri"/>
                <w:sz w:val="18"/>
              </w:rPr>
              <w:t>UC-M03-04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STAT priority processing</w:t>
            </w:r>
          </w:p>
        </w:tc>
        <w:tc>
          <w:tcPr>
            <w:tcW w:type="dxa" w:w="1728"/>
            <w:shd w:fill="F7F9FC"/>
          </w:tcPr>
          <w:p>
            <w:r/>
            <w:r>
              <w:rPr>
                <w:rFonts w:ascii="Calibri" w:hAnsi="Calibri"/>
                <w:sz w:val="18"/>
              </w:rPr>
              <w:t>L4 Lab HOD</w:t>
            </w:r>
          </w:p>
        </w:tc>
        <w:tc>
          <w:tcPr>
            <w:tcW w:type="dxa" w:w="5040"/>
            <w:shd w:fill="F7F9FC"/>
          </w:tcPr>
          <w:p>
            <w:r/>
            <w:r>
              <w:rPr>
                <w:rFonts w:ascii="Calibri" w:hAnsi="Calibri"/>
                <w:sz w:val="18"/>
              </w:rPr>
              <w:t>Override queue priority → Assign dedicated resource → TAT target: 1 hour → Escalation if breached</w:t>
            </w:r>
          </w:p>
        </w:tc>
      </w:tr>
    </w:tbl>
    <w:p>
      <w:pPr>
        <w:pStyle w:val="Heading3"/>
      </w:pPr>
      <w:r>
        <w:t>Edge Cases &amp; Error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Edge Case / Scenario</w:t>
            </w:r>
          </w:p>
        </w:tc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 System Behavior</w:t>
            </w:r>
          </w:p>
        </w:tc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Sample barcode unreadable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Manual entry with patient verification; flag for barcode printer maintenance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P2</w:t>
            </w:r>
          </w:p>
        </w:tc>
      </w:tr>
      <w:tr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Result outside instrument range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Auto-flag for manual verification; dilution protocol suggested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P1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Pathologist rejects result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Re-run notification to technician; sample re-collection if needed; original result archived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P2</w:t>
            </w:r>
          </w:p>
        </w:tc>
      </w:tr>
      <w:tr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TAT SLA breach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Auto-escalation to Lab HOD; reason code mandatory; KPI impact recorded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P2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FHIR export failure for ABHA patient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Queue for retry; manual ABDM push option; patient notified of delay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P3</w:t>
            </w:r>
          </w:p>
        </w:tc>
      </w:tr>
      <w:tr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Instrument interface timeout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Manual result entry fallback; instrument health check triggered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P2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Duplicate lab order for same test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Alert ordering doctor; require confirmation if within 24h window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P2</w:t>
            </w:r>
          </w:p>
        </w:tc>
      </w:tr>
    </w:tbl>
    <w:p>
      <w:r>
        <w:br w:type="page"/>
      </w:r>
    </w:p>
    <w:p>
      <w:pPr>
        <w:pStyle w:val="Heading2"/>
      </w:pPr>
      <w:r>
        <w:t>4.04 M04 — Finance &amp; Billing</w:t>
      </w:r>
    </w:p>
    <w:p>
      <w:pPr>
        <w:shd w:fill="E8EDF3"/>
      </w:pPr>
      <w:r>
        <w:rPr>
          <w:rFonts w:ascii="Calibri" w:hAnsi="Calibri"/>
          <w:b/>
          <w:sz w:val="20"/>
        </w:rPr>
        <w:t xml:space="preserve">Category: Administrative  |  </w:t>
      </w:r>
      <w:r>
        <w:rPr>
          <w:rFonts w:ascii="Calibri" w:hAnsi="Calibri"/>
          <w:sz w:val="20"/>
        </w:rPr>
        <w:t>Revenue backbone aggregating charges from OPD, Pharmacy, Lab, and IPD. Handles TPA/insurance claims, GST-compliant invoicing, payment collection, day-end reconciliation, and financial dashboards.</w:t>
      </w:r>
    </w:p>
    <w:p>
      <w:pPr>
        <w:pStyle w:val="Heading3"/>
      </w:pPr>
      <w:r>
        <w:t>Screens (6)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Screen</w:t>
            </w:r>
          </w:p>
        </w:tc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576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Key Fields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Patient Bill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Consolidated itemised bill from all departments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sz w:val="18"/>
              </w:rPr>
              <w:t>UHID, Consultation charges, Drug charges, Lab charges, IPD charges, Discounts, Tax, Grand Total</w:t>
            </w:r>
          </w:p>
        </w:tc>
      </w:tr>
      <w:tr>
        <w:tc>
          <w:tcPr>
            <w:tcW w:type="dxa" w:w="2160"/>
            <w:shd w:fill="F7F9FC"/>
          </w:tcPr>
          <w:p>
            <w:r/>
            <w:r>
              <w:rPr>
                <w:rFonts w:ascii="Calibri" w:hAnsi="Calibri"/>
                <w:sz w:val="18"/>
              </w:rPr>
              <w:t>Payment Collection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Multi-mode payment processing</w:t>
            </w:r>
          </w:p>
        </w:tc>
        <w:tc>
          <w:tcPr>
            <w:tcW w:type="dxa" w:w="5760"/>
            <w:shd w:fill="F7F9FC"/>
          </w:tcPr>
          <w:p>
            <w:r/>
            <w:r>
              <w:rPr>
                <w:rFonts w:ascii="Calibri" w:hAnsi="Calibri"/>
                <w:sz w:val="18"/>
              </w:rPr>
              <w:t>Bill reference, Payment mode (Cash/Card/UPI/NEFT/Cheque), Amount, Receipt generation, Partial payment tracking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TPA Insurance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Third-party administrator claim management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sz w:val="18"/>
              </w:rPr>
              <w:t>Insurance provider, Policy no, Pre-auth amount, Claim amount, Status (Submitted/Approved/Rejected/Settled), TAT</w:t>
            </w:r>
          </w:p>
        </w:tc>
      </w:tr>
      <w:tr>
        <w:tc>
          <w:tcPr>
            <w:tcW w:type="dxa" w:w="2160"/>
            <w:shd w:fill="F7F9FC"/>
          </w:tcPr>
          <w:p>
            <w:r/>
            <w:r>
              <w:rPr>
                <w:rFonts w:ascii="Calibri" w:hAnsi="Calibri"/>
                <w:sz w:val="18"/>
              </w:rPr>
              <w:t>GST Invoice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Tax-compliant invoice generation</w:t>
            </w:r>
          </w:p>
        </w:tc>
        <w:tc>
          <w:tcPr>
            <w:tcW w:type="dxa" w:w="5760"/>
            <w:shd w:fill="F7F9FC"/>
          </w:tcPr>
          <w:p>
            <w:r/>
            <w:r>
              <w:rPr>
                <w:rFonts w:ascii="Calibri" w:hAnsi="Calibri"/>
                <w:sz w:val="18"/>
              </w:rPr>
              <w:t>GSTIN, HSN codes, Taxable amount, CGST, SGST, IGST, Invoice number sequence, E-invoice integration ready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Day-End Close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Shift-wise cash reconciliation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sz w:val="18"/>
              </w:rPr>
              <w:t>Shift, Cashier, Expected amount, Actual collected, Variance, UPI settlements, Card settlements, Sign-off</w:t>
            </w:r>
          </w:p>
        </w:tc>
      </w:tr>
      <w:tr>
        <w:tc>
          <w:tcPr>
            <w:tcW w:type="dxa" w:w="2160"/>
            <w:shd w:fill="F7F9FC"/>
          </w:tcPr>
          <w:p>
            <w:r/>
            <w:r>
              <w:rPr>
                <w:rFonts w:ascii="Calibri" w:hAnsi="Calibri"/>
                <w:sz w:val="18"/>
              </w:rPr>
              <w:t>Revenue Dashboard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Real-time financial analytics</w:t>
            </w:r>
          </w:p>
        </w:tc>
        <w:tc>
          <w:tcPr>
            <w:tcW w:type="dxa" w:w="5760"/>
            <w:shd w:fill="F7F9FC"/>
          </w:tcPr>
          <w:p>
            <w:r/>
            <w:r>
              <w:rPr>
                <w:rFonts w:ascii="Calibri" w:hAnsi="Calibri"/>
                <w:sz w:val="18"/>
              </w:rPr>
              <w:t>Revenue by dept/branch, Collection ratio, Outstanding, TPA pending, Day/Week/Month trends, Comparative analysis</w:t>
            </w:r>
          </w:p>
        </w:tc>
      </w:tr>
    </w:tbl>
    <w:p>
      <w:pPr>
        <w:pStyle w:val="Heading3"/>
      </w:pPr>
      <w:r>
        <w:t>Data Entities</w:t>
      </w:r>
    </w:p>
    <w:p>
      <w:pPr>
        <w:pStyle w:val="ListBullet"/>
      </w:pPr>
      <w:r/>
      <w:r>
        <w:rPr>
          <w:rFonts w:ascii="Calibri" w:hAnsi="Calibri"/>
          <w:b/>
          <w:sz w:val="20"/>
        </w:rPr>
        <w:t xml:space="preserve">PatientBill: </w:t>
      </w:r>
      <w:r>
        <w:rPr>
          <w:rFonts w:ascii="Calibri" w:hAnsi="Calibri"/>
          <w:sz w:val="20"/>
        </w:rPr>
        <w:t>id, patientId, visitId, lineItems[{source, description, amount, taxCode}], discount, tax{cgst, sgst}, grandTotal, status</w:t>
      </w:r>
    </w:p>
    <w:p>
      <w:pPr>
        <w:pStyle w:val="ListBullet"/>
      </w:pPr>
      <w:r/>
      <w:r>
        <w:rPr>
          <w:rFonts w:ascii="Calibri" w:hAnsi="Calibri"/>
          <w:b/>
          <w:sz w:val="20"/>
        </w:rPr>
        <w:t xml:space="preserve">Payment: </w:t>
      </w:r>
      <w:r>
        <w:rPr>
          <w:rFonts w:ascii="Calibri" w:hAnsi="Calibri"/>
          <w:sz w:val="20"/>
        </w:rPr>
        <w:t>id, billId, mode, amount, reference, collectedBy, receiptUrl, timestamp</w:t>
      </w:r>
    </w:p>
    <w:p>
      <w:pPr>
        <w:pStyle w:val="ListBullet"/>
      </w:pPr>
      <w:r/>
      <w:r>
        <w:rPr>
          <w:rFonts w:ascii="Calibri" w:hAnsi="Calibri"/>
          <w:b/>
          <w:sz w:val="20"/>
        </w:rPr>
        <w:t xml:space="preserve">TPAClaim: </w:t>
      </w:r>
      <w:r>
        <w:rPr>
          <w:rFonts w:ascii="Calibri" w:hAnsi="Calibri"/>
          <w:sz w:val="20"/>
        </w:rPr>
        <w:t>id, billId, insurerId, policyNo, preAuthAmt, claimedAmt, approvedAmt, status, submittedAt, settledAt</w:t>
      </w:r>
    </w:p>
    <w:p>
      <w:pPr>
        <w:pStyle w:val="ListBullet"/>
      </w:pPr>
      <w:r/>
      <w:r>
        <w:rPr>
          <w:rFonts w:ascii="Calibri" w:hAnsi="Calibri"/>
          <w:b/>
          <w:sz w:val="20"/>
        </w:rPr>
        <w:t xml:space="preserve">DayClose: </w:t>
      </w:r>
      <w:r>
        <w:rPr>
          <w:rFonts w:ascii="Calibri" w:hAnsi="Calibri"/>
          <w:sz w:val="20"/>
        </w:rPr>
        <w:t>id, branchId, shiftId, cashierId, expectedAmt, actualAmt, variance, signedOffBy, closedAt</w:t>
      </w:r>
    </w:p>
    <w:p>
      <w:pPr>
        <w:pStyle w:val="ListBullet"/>
      </w:pPr>
      <w:r/>
      <w:r>
        <w:rPr>
          <w:rFonts w:ascii="Calibri" w:hAnsi="Calibri"/>
          <w:b/>
          <w:sz w:val="20"/>
        </w:rPr>
        <w:t xml:space="preserve">GSTInvoice: </w:t>
      </w:r>
      <w:r>
        <w:rPr>
          <w:rFonts w:ascii="Calibri" w:hAnsi="Calibri"/>
          <w:sz w:val="20"/>
        </w:rPr>
        <w:t>id, billId, gstin, hsnCodes[], taxableAmt, cgst, sgst, igst, invoiceNo, eInvoiceIRN</w:t>
      </w:r>
    </w:p>
    <w:p>
      <w:pPr>
        <w:pStyle w:val="Heading3"/>
      </w:pPr>
      <w:r>
        <w:t>Use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UC ID</w:t>
            </w:r>
          </w:p>
        </w:tc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Use Case</w:t>
            </w:r>
          </w:p>
        </w:tc>
        <w:tc>
          <w:tcPr>
            <w:tcW w:type="dxa" w:w="1728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Actor</w:t>
            </w:r>
          </w:p>
        </w:tc>
        <w:tc>
          <w:tcPr>
            <w:tcW w:type="dxa" w:w="504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Flow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sz w:val="18"/>
              </w:rPr>
              <w:t>UC-M04-01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Auto-capture OPD charges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System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sz w:val="18"/>
              </w:rPr>
              <w:t>Consultation complete → Kafka event → Finance creates line item → Added to patient bill automatically</w:t>
            </w:r>
          </w:p>
        </w:tc>
      </w:tr>
      <w:tr>
        <w:tc>
          <w:tcPr>
            <w:tcW w:type="dxa" w:w="1152"/>
            <w:shd w:fill="F7F9FC"/>
          </w:tcPr>
          <w:p>
            <w:r/>
            <w:r>
              <w:rPr>
                <w:rFonts w:ascii="Calibri" w:hAnsi="Calibri"/>
                <w:sz w:val="18"/>
              </w:rPr>
              <w:t>UC-M04-02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Process TPA pre-authorization</w:t>
            </w:r>
          </w:p>
        </w:tc>
        <w:tc>
          <w:tcPr>
            <w:tcW w:type="dxa" w:w="1728"/>
            <w:shd w:fill="F7F9FC"/>
          </w:tcPr>
          <w:p>
            <w:r/>
            <w:r>
              <w:rPr>
                <w:rFonts w:ascii="Calibri" w:hAnsi="Calibri"/>
                <w:sz w:val="18"/>
              </w:rPr>
              <w:t>L5 Billing Staff</w:t>
            </w:r>
          </w:p>
        </w:tc>
        <w:tc>
          <w:tcPr>
            <w:tcW w:type="dxa" w:w="5040"/>
            <w:shd w:fill="F7F9FC"/>
          </w:tcPr>
          <w:p>
            <w:r/>
            <w:r>
              <w:rPr>
                <w:rFonts w:ascii="Calibri" w:hAnsi="Calibri"/>
                <w:sz w:val="18"/>
              </w:rPr>
              <w:t>Patient presents insurance → Submit pre-auth → TPA approval (API/manual) → Approved amount applied to bill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sz w:val="18"/>
              </w:rPr>
              <w:t>UC-M04-03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Day-end cash reconciliation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L3 Branch Admin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sz w:val="18"/>
              </w:rPr>
              <w:t>Cashier counts cash → Enter actual amounts → System compares expected → Flag variance → Admin sign-off</w:t>
            </w:r>
          </w:p>
        </w:tc>
      </w:tr>
      <w:tr>
        <w:tc>
          <w:tcPr>
            <w:tcW w:type="dxa" w:w="1152"/>
            <w:shd w:fill="F7F9FC"/>
          </w:tcPr>
          <w:p>
            <w:r/>
            <w:r>
              <w:rPr>
                <w:rFonts w:ascii="Calibri" w:hAnsi="Calibri"/>
                <w:sz w:val="18"/>
              </w:rPr>
              <w:t>UC-M04-04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Generate GST invoice</w:t>
            </w:r>
          </w:p>
        </w:tc>
        <w:tc>
          <w:tcPr>
            <w:tcW w:type="dxa" w:w="1728"/>
            <w:shd w:fill="F7F9FC"/>
          </w:tcPr>
          <w:p>
            <w:r/>
            <w:r>
              <w:rPr>
                <w:rFonts w:ascii="Calibri" w:hAnsi="Calibri"/>
                <w:sz w:val="18"/>
              </w:rPr>
              <w:t>System</w:t>
            </w:r>
          </w:p>
        </w:tc>
        <w:tc>
          <w:tcPr>
            <w:tcW w:type="dxa" w:w="5040"/>
            <w:shd w:fill="F7F9FC"/>
          </w:tcPr>
          <w:p>
            <w:r/>
            <w:r>
              <w:rPr>
                <w:rFonts w:ascii="Calibri" w:hAnsi="Calibri"/>
                <w:sz w:val="18"/>
              </w:rPr>
              <w:t>Payment received → Auto-generate GST invoice with HSN codes → Sequential invoice number → E-invoice ready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sz w:val="18"/>
              </w:rPr>
              <w:t>UC-M04-05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Handle partial payment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L5 Billing Staff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sz w:val="18"/>
              </w:rPr>
              <w:t>Patient pays partial → Record payment → Outstanding balance tracked → Follow-up reminder scheduled</w:t>
            </w:r>
          </w:p>
        </w:tc>
      </w:tr>
    </w:tbl>
    <w:p>
      <w:pPr>
        <w:pStyle w:val="Heading3"/>
      </w:pPr>
      <w:r>
        <w:t>Edge Cases &amp; Error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Edge Case / Scenario</w:t>
            </w:r>
          </w:p>
        </w:tc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 System Behavior</w:t>
            </w:r>
          </w:p>
        </w:tc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Bill generated but payment gateway timeout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Payment status set to "Pending Verification"; auto-reconcile on webhook callback; manual verification after 30min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P1</w:t>
            </w:r>
          </w:p>
        </w:tc>
      </w:tr>
      <w:tr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TPA claim rejected after service delivered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Convert to self-pay; notify patient; generate revised bill; escalate to billing manager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P1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Day-close variance &gt; 1%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Mandatory written explanation from cashier; Branch Admin investigation; flagged in audit trail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P2</w:t>
            </w:r>
          </w:p>
        </w:tc>
      </w:tr>
      <w:tr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Concurrent bill updates from multiple departments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Optimistic locking on bill record; retry on conflict; eventual consistency via Kafka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P1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GST rate change mid-billing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Apply rate effective at time of service; system-wide rate update via Global Config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P2</w:t>
            </w:r>
          </w:p>
        </w:tc>
      </w:tr>
      <w:tr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Refund processing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Original payment mode refund preferred; credit note generated; GST reversal entry; Finance HOD approval required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P2</w:t>
            </w:r>
          </w:p>
        </w:tc>
      </w:tr>
    </w:tbl>
    <w:p>
      <w:r>
        <w:br w:type="page"/>
      </w:r>
    </w:p>
    <w:p>
      <w:pPr>
        <w:pStyle w:val="Heading2"/>
      </w:pPr>
      <w:r>
        <w:t>4.05 M05 — HR &amp; Payroll Management</w:t>
      </w:r>
    </w:p>
    <w:p>
      <w:pPr>
        <w:shd w:fill="E8EDF3"/>
      </w:pPr>
      <w:r>
        <w:rPr>
          <w:rFonts w:ascii="Calibri" w:hAnsi="Calibri"/>
          <w:b/>
          <w:sz w:val="20"/>
        </w:rPr>
        <w:t xml:space="preserve">Category: Administrative  |  </w:t>
      </w:r>
      <w:r>
        <w:rPr>
          <w:rFonts w:ascii="Calibri" w:hAnsi="Calibri"/>
          <w:sz w:val="20"/>
        </w:rPr>
        <w:t>Complete employee lifecycle from digital onboarding to payroll processing, doctor profile management with appointment module linkage, biometric attendance integration, leave management, and statutory compliance (PF/ESIC/PT).</w:t>
      </w:r>
    </w:p>
    <w:p>
      <w:pPr>
        <w:pStyle w:val="Heading3"/>
      </w:pPr>
      <w:r>
        <w:t>Screens (7)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Screen</w:t>
            </w:r>
          </w:p>
        </w:tc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576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Key Fields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Employee Onboarding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Digital onboarding with document collection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sz w:val="18"/>
              </w:rPr>
              <w:t>Name, Designation, Grade, Branch, Dept, Aadhaar, PAN, Bank A/C, Documents upload, Credentials generation</w:t>
            </w:r>
          </w:p>
        </w:tc>
      </w:tr>
      <w:tr>
        <w:tc>
          <w:tcPr>
            <w:tcW w:type="dxa" w:w="2160"/>
            <w:shd w:fill="F7F9FC"/>
          </w:tcPr>
          <w:p>
            <w:r/>
            <w:r>
              <w:rPr>
                <w:rFonts w:ascii="Calibri" w:hAnsi="Calibri"/>
                <w:sz w:val="18"/>
              </w:rPr>
              <w:t>Doctor Profiles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Doctor directory linked to M11 Appointments</w:t>
            </w:r>
          </w:p>
        </w:tc>
        <w:tc>
          <w:tcPr>
            <w:tcW w:type="dxa" w:w="5760"/>
            <w:shd w:fill="F7F9FC"/>
          </w:tcPr>
          <w:p>
            <w:r/>
            <w:r>
              <w:rPr>
                <w:rFonts w:ascii="Calibri" w:hAnsi="Calibri"/>
                <w:sz w:val="18"/>
              </w:rPr>
              <w:t>EmpID, Name, Specialty, Qualification, MCI/NMC Reg No, Consulting Fee, Revenue Share %, Schedule, License Expiry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Attendance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Biometric-synced attendance tracking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sz w:val="18"/>
              </w:rPr>
              <w:t>Employee, Date, Check-in, Check-out, Hours, Status (Present/Absent/Late/Half-day), Override with justification</w:t>
            </w:r>
          </w:p>
        </w:tc>
      </w:tr>
      <w:tr>
        <w:tc>
          <w:tcPr>
            <w:tcW w:type="dxa" w:w="2160"/>
            <w:shd w:fill="F7F9FC"/>
          </w:tcPr>
          <w:p>
            <w:r/>
            <w:r>
              <w:rPr>
                <w:rFonts w:ascii="Calibri" w:hAnsi="Calibri"/>
                <w:sz w:val="18"/>
              </w:rPr>
              <w:t>Leave Management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Leave application and approval workflow</w:t>
            </w:r>
          </w:p>
        </w:tc>
        <w:tc>
          <w:tcPr>
            <w:tcW w:type="dxa" w:w="5760"/>
            <w:shd w:fill="F7F9FC"/>
          </w:tcPr>
          <w:p>
            <w:r/>
            <w:r>
              <w:rPr>
                <w:rFonts w:ascii="Calibri" w:hAnsi="Calibri"/>
                <w:sz w:val="18"/>
              </w:rPr>
              <w:t>Employee, Leave type (CL/SL/EL/Maternity/Paternity), From-To dates, Reason, Approver, Balance, Status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Payroll Run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Monthly payroll computation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sz w:val="18"/>
              </w:rPr>
              <w:t>Month, Branch, Employees processed, Gross, Deductions (PF/ESIC/PT/TDS), Net, Bank file generation</w:t>
            </w:r>
          </w:p>
        </w:tc>
      </w:tr>
      <w:tr>
        <w:tc>
          <w:tcPr>
            <w:tcW w:type="dxa" w:w="2160"/>
            <w:shd w:fill="F7F9FC"/>
          </w:tcPr>
          <w:p>
            <w:r/>
            <w:r>
              <w:rPr>
                <w:rFonts w:ascii="Calibri" w:hAnsi="Calibri"/>
                <w:sz w:val="18"/>
              </w:rPr>
              <w:t>Payslip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Individual employee payslip</w:t>
            </w:r>
          </w:p>
        </w:tc>
        <w:tc>
          <w:tcPr>
            <w:tcW w:type="dxa" w:w="5760"/>
            <w:shd w:fill="F7F9FC"/>
          </w:tcPr>
          <w:p>
            <w:r/>
            <w:r>
              <w:rPr>
                <w:rFonts w:ascii="Calibri" w:hAnsi="Calibri"/>
                <w:sz w:val="18"/>
              </w:rPr>
              <w:t>Employee, Month, Earnings breakdown, Deductions breakdown, Net pay, YTD figures, PDF download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Compliance Export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Statutory report generation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sz w:val="18"/>
              </w:rPr>
              <w:t>PF challan, ESIC contribution, PT returns, Form 16, TDS returns, Employee register</w:t>
            </w:r>
          </w:p>
        </w:tc>
      </w:tr>
    </w:tbl>
    <w:p>
      <w:pPr>
        <w:pStyle w:val="Heading3"/>
      </w:pPr>
      <w:r>
        <w:t>Data Entities</w:t>
      </w:r>
    </w:p>
    <w:p>
      <w:pPr>
        <w:pStyle w:val="ListBullet"/>
      </w:pPr>
      <w:r/>
      <w:r>
        <w:rPr>
          <w:rFonts w:ascii="Calibri" w:hAnsi="Calibri"/>
          <w:b/>
          <w:sz w:val="20"/>
        </w:rPr>
        <w:t xml:space="preserve">Employee: </w:t>
      </w:r>
      <w:r>
        <w:rPr>
          <w:rFonts w:ascii="Calibri" w:hAnsi="Calibri"/>
          <w:sz w:val="20"/>
        </w:rPr>
        <w:t>id, empCode, tenantId, branchId, deptId, name, designation, grade, joiningDate, documents[], bankDetails{}</w:t>
      </w:r>
    </w:p>
    <w:p>
      <w:pPr>
        <w:pStyle w:val="ListBullet"/>
      </w:pPr>
      <w:r/>
      <w:r>
        <w:rPr>
          <w:rFonts w:ascii="Calibri" w:hAnsi="Calibri"/>
          <w:b/>
          <w:sz w:val="20"/>
        </w:rPr>
        <w:t xml:space="preserve">DoctorProfile: </w:t>
      </w:r>
      <w:r>
        <w:rPr>
          <w:rFonts w:ascii="Calibri" w:hAnsi="Calibri"/>
          <w:sz w:val="20"/>
        </w:rPr>
        <w:t>id, empId, specialty, mciRegNo, qualifications[], consultFee, revenueSharePct, linkedScheduleId, licenseExpiry</w:t>
      </w:r>
    </w:p>
    <w:p>
      <w:pPr>
        <w:pStyle w:val="ListBullet"/>
      </w:pPr>
      <w:r/>
      <w:r>
        <w:rPr>
          <w:rFonts w:ascii="Calibri" w:hAnsi="Calibri"/>
          <w:b/>
          <w:sz w:val="20"/>
        </w:rPr>
        <w:t xml:space="preserve">AttendanceRecord: </w:t>
      </w:r>
      <w:r>
        <w:rPr>
          <w:rFonts w:ascii="Calibri" w:hAnsi="Calibri"/>
          <w:sz w:val="20"/>
        </w:rPr>
        <w:t>id, empId, date, checkIn, checkOut, status, biometricSource, overrideBy, justification</w:t>
      </w:r>
    </w:p>
    <w:p>
      <w:pPr>
        <w:pStyle w:val="ListBullet"/>
      </w:pPr>
      <w:r/>
      <w:r>
        <w:rPr>
          <w:rFonts w:ascii="Calibri" w:hAnsi="Calibri"/>
          <w:b/>
          <w:sz w:val="20"/>
        </w:rPr>
        <w:t xml:space="preserve">LeaveRequest: </w:t>
      </w:r>
      <w:r>
        <w:rPr>
          <w:rFonts w:ascii="Calibri" w:hAnsi="Calibri"/>
          <w:sz w:val="20"/>
        </w:rPr>
        <w:t>id, empId, type, fromDate, toDate, reason, approvedBy, status, balanceAfter</w:t>
      </w:r>
    </w:p>
    <w:p>
      <w:pPr>
        <w:pStyle w:val="ListBullet"/>
      </w:pPr>
      <w:r/>
      <w:r>
        <w:rPr>
          <w:rFonts w:ascii="Calibri" w:hAnsi="Calibri"/>
          <w:b/>
          <w:sz w:val="20"/>
        </w:rPr>
        <w:t xml:space="preserve">PayrollRun: </w:t>
      </w:r>
      <w:r>
        <w:rPr>
          <w:rFonts w:ascii="Calibri" w:hAnsi="Calibri"/>
          <w:sz w:val="20"/>
        </w:rPr>
        <w:t>id, branchId, month, year, runBy, processedAt, totalGross, totalNet, bankFileUrl</w:t>
      </w:r>
    </w:p>
    <w:p>
      <w:pPr>
        <w:pStyle w:val="ListBullet"/>
      </w:pPr>
      <w:r/>
      <w:r>
        <w:rPr>
          <w:rFonts w:ascii="Calibri" w:hAnsi="Calibri"/>
          <w:b/>
          <w:sz w:val="20"/>
        </w:rPr>
        <w:t xml:space="preserve">PayrollDetail: </w:t>
      </w:r>
      <w:r>
        <w:rPr>
          <w:rFonts w:ascii="Calibri" w:hAnsi="Calibri"/>
          <w:sz w:val="20"/>
        </w:rPr>
        <w:t>id, runId, empId, grossSalary, earnings{}, deductions{pf, esic, pt, tds}, netSalary, payslipUrl</w:t>
      </w:r>
    </w:p>
    <w:p>
      <w:pPr>
        <w:pStyle w:val="Heading3"/>
      </w:pPr>
      <w:r>
        <w:t>Doctor Profile ↔ Appointments Integration</w:t>
      </w:r>
    </w:p>
    <w:p>
      <w:r>
        <w:t>Doctor Profiles in M05 are bidirectionally linked to Doctor Schedules in M11 (Appointment Scheduling). When a doctor profile is created or updated, a Kafka event (doctor.profile.updated) is emitted to the hms.hr.events topic. The Appointment module consumes this event to synchronize specialty data, consulting fees, and availability schedules. Conversely, appointment statistics (patients MTD, no-show rate) flow back to the Doctor Profile dashboard for HR performance tracking.</w:t>
      </w:r>
    </w:p>
    <w:p>
      <w:pPr>
        <w:pStyle w:val="Heading3"/>
      </w:pPr>
      <w:r>
        <w:t>Edge Cases &amp; Error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Edge Case / Scenario</w:t>
            </w:r>
          </w:p>
        </w:tc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 System Behavior</w:t>
            </w:r>
          </w:p>
        </w:tc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Biometric device offline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Fallback to manual attendance entry; sync when device reconnects; flag manual entries for review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P2</w:t>
            </w:r>
          </w:p>
        </w:tc>
      </w:tr>
      <w:tr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Payroll run with missing attendance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Block payroll for affected employees; notify HR; allow override with justification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P1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Doctor license expired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Auto-suspend from appointment scheduling; alert HR and Branch Admin; consultation capability blocked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P1</w:t>
            </w:r>
          </w:p>
        </w:tc>
      </w:tr>
      <w:tr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Leave balance insufficient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Allow Loss of Pay (LOP) option; require HOD approval for advance leave; payroll auto-adjusts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P2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Mid-month salary revision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Pro-rata calculation from effective date; arrears computed automatically; reflected in next payroll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P2</w:t>
            </w:r>
          </w:p>
        </w:tc>
      </w:tr>
      <w:tr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Employee transfer between branches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Close payroll at source branch; open at destination; attendance history carried forward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P2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PF/ESIC rate change by government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Global Config update → All tenant payroll engines updated → Effective from specified date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P2</w:t>
            </w:r>
          </w:p>
        </w:tc>
      </w:tr>
      <w:tr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Duplicate biometric registration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Alert HR; prevent duplicate; require identity verification before resolution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P1</w:t>
            </w:r>
          </w:p>
        </w:tc>
      </w:tr>
    </w:tbl>
    <w:p>
      <w:r>
        <w:br w:type="page"/>
      </w:r>
    </w:p>
    <w:p>
      <w:pPr>
        <w:pStyle w:val="Heading2"/>
      </w:pPr>
      <w:r>
        <w:t>4.06 M06 — Inventory &amp; Procurement</w:t>
      </w:r>
    </w:p>
    <w:p>
      <w:pPr>
        <w:shd w:fill="E8EDF3"/>
      </w:pPr>
      <w:r>
        <w:rPr>
          <w:rFonts w:ascii="Calibri" w:hAnsi="Calibri"/>
          <w:b/>
          <w:sz w:val="20"/>
        </w:rPr>
        <w:t xml:space="preserve">Category: Administrative  |  </w:t>
      </w:r>
      <w:r>
        <w:rPr>
          <w:rFonts w:ascii="Calibri" w:hAnsi="Calibri"/>
          <w:sz w:val="20"/>
        </w:rPr>
        <w:t>Hospital consumables, medical equipment, and non-pharmaceutical supplies management with automated reorder, multi-level PO approval workflow, vendor management, and asset tracking.</w:t>
      </w:r>
    </w:p>
    <w:p>
      <w:pPr>
        <w:pStyle w:val="Heading3"/>
      </w:pPr>
      <w:r>
        <w:t>Screens (5)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Screen</w:t>
            </w:r>
          </w:p>
        </w:tc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576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Key Fields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Stock Dashboard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Real-time inventory levels with alerts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sz w:val="18"/>
              </w:rPr>
              <w:t>Item, Category, Current Stock, Reorder Level, Last Received, Expiry (if applicable), Branch, Status</w:t>
            </w:r>
          </w:p>
        </w:tc>
      </w:tr>
      <w:tr>
        <w:tc>
          <w:tcPr>
            <w:tcW w:type="dxa" w:w="2160"/>
            <w:shd w:fill="F7F9FC"/>
          </w:tcPr>
          <w:p>
            <w:r/>
            <w:r>
              <w:rPr>
                <w:rFonts w:ascii="Calibri" w:hAnsi="Calibri"/>
                <w:sz w:val="18"/>
              </w:rPr>
              <w:t>Purchase Requisition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Auto/manual purchase request creation</w:t>
            </w:r>
          </w:p>
        </w:tc>
        <w:tc>
          <w:tcPr>
            <w:tcW w:type="dxa" w:w="5760"/>
            <w:shd w:fill="F7F9FC"/>
          </w:tcPr>
          <w:p>
            <w:r/>
            <w:r>
              <w:rPr>
                <w:rFonts w:ascii="Calibri" w:hAnsi="Calibri"/>
                <w:sz w:val="18"/>
              </w:rPr>
              <w:t>Item, Qty Required, Estimated Cost, Priority, Justification, Requester, Auto-triggered flag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Approval Queue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Multi-level PO approval workflow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sz w:val="18"/>
              </w:rPr>
              <w:t>PR Reference, Items, Amount, Approver, Level (≤₹10K→Store Mgr, ₹10K-50K→Branch Admin, ≥₹50K→Tenant Admin)</w:t>
            </w:r>
          </w:p>
        </w:tc>
      </w:tr>
      <w:tr>
        <w:tc>
          <w:tcPr>
            <w:tcW w:type="dxa" w:w="2160"/>
            <w:shd w:fill="F7F9FC"/>
          </w:tcPr>
          <w:p>
            <w:r/>
            <w:r>
              <w:rPr>
                <w:rFonts w:ascii="Calibri" w:hAnsi="Calibri"/>
                <w:sz w:val="18"/>
              </w:rPr>
              <w:t>Vendor Management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Supplier database with performance tracking</w:t>
            </w:r>
          </w:p>
        </w:tc>
        <w:tc>
          <w:tcPr>
            <w:tcW w:type="dxa" w:w="5760"/>
            <w:shd w:fill="F7F9FC"/>
          </w:tcPr>
          <w:p>
            <w:r/>
            <w:r>
              <w:rPr>
                <w:rFonts w:ascii="Calibri" w:hAnsi="Calibri"/>
                <w:sz w:val="18"/>
              </w:rPr>
              <w:t>Vendor name, GSTIN, Categories, Payment terms, Delivery rating, Quality rating, Blacklist status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Asset Register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Fixed asset tracking with depreciation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sz w:val="18"/>
              </w:rPr>
              <w:t>Asset ID, Description, Location, Purchase date, Cost, Depreciation method, Current value, AMC status</w:t>
            </w:r>
          </w:p>
        </w:tc>
      </w:tr>
    </w:tbl>
    <w:p>
      <w:pPr>
        <w:pStyle w:val="Heading3"/>
      </w:pPr>
      <w:r>
        <w:t>Edge Cases &amp; Error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Edge Case / Scenario</w:t>
            </w:r>
          </w:p>
        </w:tc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 System Behavior</w:t>
            </w:r>
          </w:p>
        </w:tc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PO approval pending &gt; 24 hours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Auto-escalation to next approval level; email reminder to pending approver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P2</w:t>
            </w:r>
          </w:p>
        </w:tc>
      </w:tr>
      <w:tr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Emergency procurement bypass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Allow with emergency flag; mandatory post-approval within 24h; audit trail required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P1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Vendor blacklisted after PO issued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Flag existing PO; allow completion or cancellation; prevent new POs to vendor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P2</w:t>
            </w:r>
          </w:p>
        </w:tc>
      </w:tr>
      <w:tr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Stock below zero (data integrity)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Prevent negative stock with database constraint; alert for investigation; reconciliation workflow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P1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Asset transferred without record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Physical audit reconciliation; discrepancy report; accountability assignment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P3</w:t>
            </w:r>
          </w:p>
        </w:tc>
      </w:tr>
    </w:tbl>
    <w:p>
      <w:r>
        <w:br w:type="page"/>
      </w:r>
    </w:p>
    <w:p>
      <w:pPr>
        <w:pStyle w:val="Heading2"/>
      </w:pPr>
      <w:r>
        <w:t>4.07 M07 — Business Intelligence &amp; Analytics</w:t>
      </w:r>
    </w:p>
    <w:p>
      <w:pPr>
        <w:shd w:fill="E8EDF3"/>
      </w:pPr>
      <w:r>
        <w:rPr>
          <w:rFonts w:ascii="Calibri" w:hAnsi="Calibri"/>
          <w:b/>
          <w:sz w:val="20"/>
        </w:rPr>
        <w:t xml:space="preserve">Category: Analytics  |  </w:t>
      </w:r>
      <w:r>
        <w:rPr>
          <w:rFonts w:ascii="Calibri" w:hAnsi="Calibri"/>
          <w:sz w:val="20"/>
        </w:rPr>
        <w:t>Executive dashboards, branch-level analytics, custom report builder, and KPI monitoring with threshold-based alerting. Powered by Elasticsearch aggregation pipeline.</w:t>
      </w:r>
    </w:p>
    <w:p>
      <w:pPr>
        <w:pStyle w:val="Heading3"/>
      </w:pPr>
      <w:r>
        <w:t>Screens (4)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Screen</w:t>
            </w:r>
          </w:p>
        </w:tc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576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Key Fields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Executive Dashboard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Org-wide KPIs and trends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sz w:val="18"/>
              </w:rPr>
              <w:t>Revenue (today/MTD/YTD), Patient footfall, Avg revenue/patient, Collection ratio, Top departments, Trend charts</w:t>
            </w:r>
          </w:p>
        </w:tc>
      </w:tr>
      <w:tr>
        <w:tc>
          <w:tcPr>
            <w:tcW w:type="dxa" w:w="2160"/>
            <w:shd w:fill="F7F9FC"/>
          </w:tcPr>
          <w:p>
            <w:r/>
            <w:r>
              <w:rPr>
                <w:rFonts w:ascii="Calibri" w:hAnsi="Calibri"/>
                <w:sz w:val="18"/>
              </w:rPr>
              <w:t>Branch Dashboard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Branch-level operational metrics</w:t>
            </w:r>
          </w:p>
        </w:tc>
        <w:tc>
          <w:tcPr>
            <w:tcW w:type="dxa" w:w="5760"/>
            <w:shd w:fill="F7F9FC"/>
          </w:tcPr>
          <w:p>
            <w:r/>
            <w:r>
              <w:rPr>
                <w:rFonts w:ascii="Calibri" w:hAnsi="Calibri"/>
                <w:sz w:val="18"/>
              </w:rPr>
              <w:t>Branch-specific OPD/IPD/Pharmacy/Lab metrics, Staff utilization, Revenue vs target, Comparison with other branches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Report Builder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Custom report generator with filters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sz w:val="18"/>
              </w:rPr>
              <w:t>Module selector, Date range, Branch/Dept filter, Metric selection, Chart type, Export (PDF/Excel/CSV)</w:t>
            </w:r>
          </w:p>
        </w:tc>
      </w:tr>
      <w:tr>
        <w:tc>
          <w:tcPr>
            <w:tcW w:type="dxa" w:w="2160"/>
            <w:shd w:fill="F7F9FC"/>
          </w:tcPr>
          <w:p>
            <w:r/>
            <w:r>
              <w:rPr>
                <w:rFonts w:ascii="Calibri" w:hAnsi="Calibri"/>
                <w:sz w:val="18"/>
              </w:rPr>
              <w:t>KPI Monitor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Real-time KPI tracking with alerting</w:t>
            </w:r>
          </w:p>
        </w:tc>
        <w:tc>
          <w:tcPr>
            <w:tcW w:type="dxa" w:w="5760"/>
            <w:shd w:fill="F7F9FC"/>
          </w:tcPr>
          <w:p>
            <w:r/>
            <w:r>
              <w:rPr>
                <w:rFonts w:ascii="Calibri" w:hAnsi="Calibri"/>
                <w:sz w:val="18"/>
              </w:rPr>
              <w:t>KPI name, Current value, Target, Threshold, Status (Green/Amber/Red), Trend, Alert history, Drill-down</w:t>
            </w:r>
          </w:p>
        </w:tc>
      </w:tr>
    </w:tbl>
    <w:p>
      <w:pPr>
        <w:pStyle w:val="Heading3"/>
      </w:pPr>
      <w:r>
        <w:t>KPI 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KPI</w:t>
            </w:r>
          </w:p>
        </w:tc>
        <w:tc>
          <w:tcPr>
            <w:tcW w:type="dxa" w:w="360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Formula</w:t>
            </w:r>
          </w:p>
        </w:tc>
        <w:tc>
          <w:tcPr>
            <w:tcW w:type="dxa" w:w="216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216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Alert Threshold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OPD Patient Wait Time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Token issued → Consultation start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&lt; 20 min avg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&gt; 30 min</w:t>
            </w:r>
          </w:p>
        </w:tc>
      </w:tr>
      <w:tr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Pharmacy Dispensing TAT</w:t>
            </w:r>
          </w:p>
        </w:tc>
        <w:tc>
          <w:tcPr>
            <w:tcW w:type="dxa" w:w="3600"/>
            <w:shd w:fill="F7F9FC"/>
          </w:tcPr>
          <w:p>
            <w:r/>
            <w:r>
              <w:rPr>
                <w:rFonts w:ascii="Calibri" w:hAnsi="Calibri"/>
                <w:sz w:val="18"/>
              </w:rPr>
              <w:t>Prescription received → Dispensed</w:t>
            </w:r>
          </w:p>
        </w:tc>
        <w:tc>
          <w:tcPr>
            <w:tcW w:type="dxa" w:w="2160"/>
            <w:shd w:fill="F7F9FC"/>
          </w:tcPr>
          <w:p>
            <w:r/>
            <w:r>
              <w:rPr>
                <w:rFonts w:ascii="Calibri" w:hAnsi="Calibri"/>
                <w:sz w:val="18"/>
              </w:rPr>
              <w:t>&lt; 10 min</w:t>
            </w:r>
          </w:p>
        </w:tc>
        <w:tc>
          <w:tcPr>
            <w:tcW w:type="dxa" w:w="2160"/>
            <w:shd w:fill="F7F9FC"/>
          </w:tcPr>
          <w:p>
            <w:r/>
            <w:r>
              <w:rPr>
                <w:rFonts w:ascii="Calibri" w:hAnsi="Calibri"/>
                <w:sz w:val="18"/>
              </w:rPr>
              <w:t>&gt; 15 min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Lab Report TAT (Routine)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Sample collected → Report validated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&lt; 4 hours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&gt; 6 hours</w:t>
            </w:r>
          </w:p>
        </w:tc>
      </w:tr>
      <w:tr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Collection Ratio</w:t>
            </w:r>
          </w:p>
        </w:tc>
        <w:tc>
          <w:tcPr>
            <w:tcW w:type="dxa" w:w="3600"/>
            <w:shd w:fill="F7F9FC"/>
          </w:tcPr>
          <w:p>
            <w:r/>
            <w:r>
              <w:rPr>
                <w:rFonts w:ascii="Calibri" w:hAnsi="Calibri"/>
                <w:sz w:val="18"/>
              </w:rPr>
              <w:t>Amount collected / Amount billed</w:t>
            </w:r>
          </w:p>
        </w:tc>
        <w:tc>
          <w:tcPr>
            <w:tcW w:type="dxa" w:w="2160"/>
            <w:shd w:fill="F7F9FC"/>
          </w:tcPr>
          <w:p>
            <w:r/>
            <w:r>
              <w:rPr>
                <w:rFonts w:ascii="Calibri" w:hAnsi="Calibri"/>
                <w:sz w:val="18"/>
              </w:rPr>
              <w:t>&gt; 95%</w:t>
            </w:r>
          </w:p>
        </w:tc>
        <w:tc>
          <w:tcPr>
            <w:tcW w:type="dxa" w:w="2160"/>
            <w:shd w:fill="F7F9FC"/>
          </w:tcPr>
          <w:p>
            <w:r/>
            <w:r>
              <w:rPr>
                <w:rFonts w:ascii="Calibri" w:hAnsi="Calibri"/>
                <w:sz w:val="18"/>
              </w:rPr>
              <w:t>&lt; 90%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Bed Occupancy Rate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Occupied beds / Total beds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70-85%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&gt; 95% or &lt; 50%</w:t>
            </w:r>
          </w:p>
        </w:tc>
      </w:tr>
      <w:tr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No-Show Rate</w:t>
            </w:r>
          </w:p>
        </w:tc>
        <w:tc>
          <w:tcPr>
            <w:tcW w:type="dxa" w:w="3600"/>
            <w:shd w:fill="F7F9FC"/>
          </w:tcPr>
          <w:p>
            <w:r/>
            <w:r>
              <w:rPr>
                <w:rFonts w:ascii="Calibri" w:hAnsi="Calibri"/>
                <w:sz w:val="18"/>
              </w:rPr>
              <w:t>No-shows / Total appointments</w:t>
            </w:r>
          </w:p>
        </w:tc>
        <w:tc>
          <w:tcPr>
            <w:tcW w:type="dxa" w:w="2160"/>
            <w:shd w:fill="F7F9FC"/>
          </w:tcPr>
          <w:p>
            <w:r/>
            <w:r>
              <w:rPr>
                <w:rFonts w:ascii="Calibri" w:hAnsi="Calibri"/>
                <w:sz w:val="18"/>
              </w:rPr>
              <w:t>&lt; 10%</w:t>
            </w:r>
          </w:p>
        </w:tc>
        <w:tc>
          <w:tcPr>
            <w:tcW w:type="dxa" w:w="2160"/>
            <w:shd w:fill="F7F9FC"/>
          </w:tcPr>
          <w:p>
            <w:r/>
            <w:r>
              <w:rPr>
                <w:rFonts w:ascii="Calibri" w:hAnsi="Calibri"/>
                <w:sz w:val="18"/>
              </w:rPr>
              <w:t>&gt; 15%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Revenue Per Patient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Total revenue / Total patients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Benchmark based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&lt; 80% of benchmark</w:t>
            </w:r>
          </w:p>
        </w:tc>
      </w:tr>
      <w:tr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Staff Utilization</w:t>
            </w:r>
          </w:p>
        </w:tc>
        <w:tc>
          <w:tcPr>
            <w:tcW w:type="dxa" w:w="3600"/>
            <w:shd w:fill="F7F9FC"/>
          </w:tcPr>
          <w:p>
            <w:r/>
            <w:r>
              <w:rPr>
                <w:rFonts w:ascii="Calibri" w:hAnsi="Calibri"/>
                <w:sz w:val="18"/>
              </w:rPr>
              <w:t>Productive hours / Total hours</w:t>
            </w:r>
          </w:p>
        </w:tc>
        <w:tc>
          <w:tcPr>
            <w:tcW w:type="dxa" w:w="2160"/>
            <w:shd w:fill="F7F9FC"/>
          </w:tcPr>
          <w:p>
            <w:r/>
            <w:r>
              <w:rPr>
                <w:rFonts w:ascii="Calibri" w:hAnsi="Calibri"/>
                <w:sz w:val="18"/>
              </w:rPr>
              <w:t>&gt; 80%</w:t>
            </w:r>
          </w:p>
        </w:tc>
        <w:tc>
          <w:tcPr>
            <w:tcW w:type="dxa" w:w="2160"/>
            <w:shd w:fill="F7F9FC"/>
          </w:tcPr>
          <w:p>
            <w:r/>
            <w:r>
              <w:rPr>
                <w:rFonts w:ascii="Calibri" w:hAnsi="Calibri"/>
                <w:sz w:val="18"/>
              </w:rPr>
              <w:t>&lt; 70%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API P95 Latency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95th percentile response 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&lt; 500ms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&gt; 1000ms</w:t>
            </w:r>
          </w:p>
        </w:tc>
      </w:tr>
      <w:tr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Kafka Consumer Lag</w:t>
            </w:r>
          </w:p>
        </w:tc>
        <w:tc>
          <w:tcPr>
            <w:tcW w:type="dxa" w:w="3600"/>
            <w:shd w:fill="F7F9FC"/>
          </w:tcPr>
          <w:p>
            <w:r/>
            <w:r>
              <w:rPr>
                <w:rFonts w:ascii="Calibri" w:hAnsi="Calibri"/>
                <w:sz w:val="18"/>
              </w:rPr>
              <w:t>Messages pending consumption</w:t>
            </w:r>
          </w:p>
        </w:tc>
        <w:tc>
          <w:tcPr>
            <w:tcW w:type="dxa" w:w="2160"/>
            <w:shd w:fill="F7F9FC"/>
          </w:tcPr>
          <w:p>
            <w:r/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2160"/>
            <w:shd w:fill="F7F9FC"/>
          </w:tcPr>
          <w:p>
            <w:r/>
            <w:r>
              <w:rPr>
                <w:rFonts w:ascii="Calibri" w:hAnsi="Calibri"/>
                <w:sz w:val="18"/>
              </w:rPr>
              <w:t>&gt; 100</w:t>
            </w:r>
          </w:p>
        </w:tc>
      </w:tr>
    </w:tbl>
    <w:p>
      <w:r>
        <w:br w:type="page"/>
      </w:r>
    </w:p>
    <w:p>
      <w:pPr>
        <w:pStyle w:val="Heading2"/>
      </w:pPr>
      <w:r>
        <w:t>4.08 M08 — Patient Portal (PWA)</w:t>
      </w:r>
    </w:p>
    <w:p>
      <w:pPr>
        <w:shd w:fill="E8EDF3"/>
      </w:pPr>
      <w:r>
        <w:rPr>
          <w:rFonts w:ascii="Calibri" w:hAnsi="Calibri"/>
          <w:b/>
          <w:sz w:val="20"/>
        </w:rPr>
        <w:t xml:space="preserve">Category: Engagement  |  </w:t>
      </w:r>
      <w:r>
        <w:rPr>
          <w:rFonts w:ascii="Calibri" w:hAnsi="Calibri"/>
          <w:sz w:val="20"/>
        </w:rPr>
        <w:t>Progressive Web App providing patients self-service access to appointment booking, health records, lab reports, online payments, family account management, and notification preferences.</w:t>
      </w:r>
    </w:p>
    <w:p>
      <w:pPr>
        <w:pStyle w:val="Heading3"/>
      </w:pPr>
      <w:r>
        <w:t>Screens (5)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Screen</w:t>
            </w:r>
          </w:p>
        </w:tc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576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Key Fields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Patient Login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OTP-based authentication with ABHA link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sz w:val="18"/>
              </w:rPr>
              <w:t>Phone/Email, OTP, ABHA ID link option, Family account switcher, Biometric (optional)</w:t>
            </w:r>
          </w:p>
        </w:tc>
      </w:tr>
      <w:tr>
        <w:tc>
          <w:tcPr>
            <w:tcW w:type="dxa" w:w="2160"/>
            <w:shd w:fill="F7F9FC"/>
          </w:tcPr>
          <w:p>
            <w:r/>
            <w:r>
              <w:rPr>
                <w:rFonts w:ascii="Calibri" w:hAnsi="Calibri"/>
                <w:sz w:val="18"/>
              </w:rPr>
              <w:t>Appointment Booking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Real-time slot selection</w:t>
            </w:r>
          </w:p>
        </w:tc>
        <w:tc>
          <w:tcPr>
            <w:tcW w:type="dxa" w:w="5760"/>
            <w:shd w:fill="F7F9FC"/>
          </w:tcPr>
          <w:p>
            <w:r/>
            <w:r>
              <w:rPr>
                <w:rFonts w:ascii="Calibri" w:hAnsi="Calibri"/>
                <w:sz w:val="18"/>
              </w:rPr>
              <w:t>Branch, Department, Doctor (with specialty/fee), Date, Available slots, Booking confirmation, SMS/Email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Health Records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Consolidated medical history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sz w:val="18"/>
              </w:rPr>
              <w:t>Visit history, Prescriptions, Lab reports (S3 presigned URL, 72h validity), Discharge summaries, Vitals trends</w:t>
            </w:r>
          </w:p>
        </w:tc>
      </w:tr>
      <w:tr>
        <w:tc>
          <w:tcPr>
            <w:tcW w:type="dxa" w:w="2160"/>
            <w:shd w:fill="F7F9FC"/>
          </w:tcPr>
          <w:p>
            <w:r/>
            <w:r>
              <w:rPr>
                <w:rFonts w:ascii="Calibri" w:hAnsi="Calibri"/>
                <w:sz w:val="18"/>
              </w:rPr>
              <w:t>Online Payment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Outstanding bill payment</w:t>
            </w:r>
          </w:p>
        </w:tc>
        <w:tc>
          <w:tcPr>
            <w:tcW w:type="dxa" w:w="5760"/>
            <w:shd w:fill="F7F9FC"/>
          </w:tcPr>
          <w:p>
            <w:r/>
            <w:r>
              <w:rPr>
                <w:rFonts w:ascii="Calibri" w:hAnsi="Calibri"/>
                <w:sz w:val="18"/>
              </w:rPr>
              <w:t>Bill summary, Payment gateway (Razorpay/Paytm), UPI/Card/NetBanking, Receipt download, Payment history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Notifications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Multi-channel notification preferences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sz w:val="18"/>
              </w:rPr>
              <w:t>Appointment reminders, Lab reports ready, Payment receipts, Channel preference (SMS/WhatsApp/Email/Push)</w:t>
            </w:r>
          </w:p>
        </w:tc>
      </w:tr>
    </w:tbl>
    <w:p>
      <w:pPr>
        <w:pStyle w:val="Heading3"/>
      </w:pPr>
      <w:r>
        <w:t>Edge Cases &amp; Error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Edge Case / Scenario</w:t>
            </w:r>
          </w:p>
        </w:tc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 System Behavior</w:t>
            </w:r>
          </w:p>
        </w:tc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Patient books conflicting appointment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System prevents double-booking for same patient; suggest alternative slots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P1</w:t>
            </w:r>
          </w:p>
        </w:tc>
      </w:tr>
      <w:tr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Payment gateway failure mid-transaction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Transaction marked pending; auto-reconcile on webhook; manual check after 30min timeout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P1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Family account — minor patient consent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Guardian consent mandatory; DISHA minor-specific consent flow; age verification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P1</w:t>
            </w:r>
          </w:p>
        </w:tc>
      </w:tr>
      <w:tr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Lab report not yet available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Show "Processing" status with estimated time; push notification when ready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P3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ABHA ID linking failure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Proceed without ABHA; queue for manual linkage; patient notified of benefits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P3</w:t>
            </w:r>
          </w:p>
        </w:tc>
      </w:tr>
      <w:tr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OTP delivery failure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Retry via alternate channel (SMS→WhatsApp); fallback to email OTP; support escalation after 3 failures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P2</w:t>
            </w:r>
          </w:p>
        </w:tc>
      </w:tr>
    </w:tbl>
    <w:p>
      <w:r>
        <w:br w:type="page"/>
      </w:r>
    </w:p>
    <w:p>
      <w:pPr>
        <w:pStyle w:val="Heading2"/>
      </w:pPr>
      <w:r>
        <w:t>4.09 M09 — Audit &amp; Compliance</w:t>
      </w:r>
    </w:p>
    <w:p>
      <w:pPr>
        <w:shd w:fill="E8EDF3"/>
      </w:pPr>
      <w:r>
        <w:rPr>
          <w:rFonts w:ascii="Calibri" w:hAnsi="Calibri"/>
          <w:b/>
          <w:sz w:val="20"/>
        </w:rPr>
        <w:t xml:space="preserve">Category: Governance  |  </w:t>
      </w:r>
      <w:r>
        <w:rPr>
          <w:rFonts w:ascii="Calibri" w:hAnsi="Calibri"/>
          <w:sz w:val="20"/>
        </w:rPr>
        <w:t>Immutable audit logging of all system events, security monitoring, DISHA Act compliance management, and backup status monitoring. 7-year retention with PostgreSQL row-level security.</w:t>
      </w:r>
    </w:p>
    <w:p>
      <w:pPr>
        <w:pStyle w:val="Heading3"/>
      </w:pPr>
      <w:r>
        <w:t>Screens (4)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Screen</w:t>
            </w:r>
          </w:p>
        </w:tc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576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Key Fields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Audit Log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Immutable event log with search/filter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sz w:val="18"/>
              </w:rPr>
              <w:t>Timestamp, User, Module, Action, Entity, Before/After JSON diff, IP Address, Session ID, Tenant</w:t>
            </w:r>
          </w:p>
        </w:tc>
      </w:tr>
      <w:tr>
        <w:tc>
          <w:tcPr>
            <w:tcW w:type="dxa" w:w="2160"/>
            <w:shd w:fill="F7F9FC"/>
          </w:tcPr>
          <w:p>
            <w:r/>
            <w:r>
              <w:rPr>
                <w:rFonts w:ascii="Calibri" w:hAnsi="Calibri"/>
                <w:sz w:val="18"/>
              </w:rPr>
              <w:t>Security Monitor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Real-time threat detection dashboard</w:t>
            </w:r>
          </w:p>
        </w:tc>
        <w:tc>
          <w:tcPr>
            <w:tcW w:type="dxa" w:w="5760"/>
            <w:shd w:fill="F7F9FC"/>
          </w:tcPr>
          <w:p>
            <w:r/>
            <w:r>
              <w:rPr>
                <w:rFonts w:ascii="Calibri" w:hAnsi="Calibri"/>
                <w:sz w:val="18"/>
              </w:rPr>
              <w:t>Failed logins (brute-force detection), Unusual access patterns, Privilege escalation attempts, Active sessions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DISHA Compliance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Consent management and compliance tracker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sz w:val="18"/>
              </w:rPr>
              <w:t>Patient consent status, Data sharing consent, Research consent, Guardian consent (minors), Consent audit trail</w:t>
            </w:r>
          </w:p>
        </w:tc>
      </w:tr>
      <w:tr>
        <w:tc>
          <w:tcPr>
            <w:tcW w:type="dxa" w:w="2160"/>
            <w:shd w:fill="F7F9FC"/>
          </w:tcPr>
          <w:p>
            <w:r/>
            <w:r>
              <w:rPr>
                <w:rFonts w:ascii="Calibri" w:hAnsi="Calibri"/>
                <w:sz w:val="18"/>
              </w:rPr>
              <w:t>Backup Status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DR and backup monitoring</w:t>
            </w:r>
          </w:p>
        </w:tc>
        <w:tc>
          <w:tcPr>
            <w:tcW w:type="dxa" w:w="5760"/>
            <w:shd w:fill="F7F9FC"/>
          </w:tcPr>
          <w:p>
            <w:r/>
            <w:r>
              <w:rPr>
                <w:rFonts w:ascii="Calibri" w:hAnsi="Calibri"/>
                <w:sz w:val="18"/>
              </w:rPr>
              <w:t>Last backup time, Backup size, S3 sync status (Mumbai + Singapore), WAL archiving, PITR window, RTO/RPO status</w:t>
            </w:r>
          </w:p>
        </w:tc>
      </w:tr>
    </w:tbl>
    <w:p>
      <w:pPr>
        <w:pStyle w:val="Heading3"/>
      </w:pPr>
      <w:r>
        <w:t>Data Entities</w:t>
      </w:r>
    </w:p>
    <w:p>
      <w:pPr>
        <w:pStyle w:val="ListBullet"/>
      </w:pPr>
      <w:r/>
      <w:r>
        <w:rPr>
          <w:rFonts w:ascii="Calibri" w:hAnsi="Calibri"/>
          <w:b/>
          <w:sz w:val="20"/>
        </w:rPr>
        <w:t xml:space="preserve">AuditEvent: </w:t>
      </w:r>
      <w:r>
        <w:rPr>
          <w:rFonts w:ascii="Calibri" w:hAnsi="Calibri"/>
          <w:sz w:val="20"/>
        </w:rPr>
        <w:t>id, tenantId, branchId, userId, module, action, entity, entityId, beforeState, afterState, ipAddress, sessionId, timestamp</w:t>
      </w:r>
    </w:p>
    <w:p>
      <w:pPr>
        <w:pStyle w:val="ListBullet"/>
      </w:pPr>
      <w:r/>
      <w:r>
        <w:rPr>
          <w:rFonts w:ascii="Calibri" w:hAnsi="Calibri"/>
          <w:b/>
          <w:sz w:val="20"/>
        </w:rPr>
        <w:t xml:space="preserve">SecurityAlert: </w:t>
      </w:r>
      <w:r>
        <w:rPr>
          <w:rFonts w:ascii="Calibri" w:hAnsi="Calibri"/>
          <w:sz w:val="20"/>
        </w:rPr>
        <w:t>id, type, severity, userId, description, detectedAt, resolvedAt, resolvedBy</w:t>
      </w:r>
    </w:p>
    <w:p>
      <w:pPr>
        <w:pStyle w:val="ListBullet"/>
      </w:pPr>
      <w:r/>
      <w:r>
        <w:rPr>
          <w:rFonts w:ascii="Calibri" w:hAnsi="Calibri"/>
          <w:b/>
          <w:sz w:val="20"/>
        </w:rPr>
        <w:t xml:space="preserve">DISHAConsent: </w:t>
      </w:r>
      <w:r>
        <w:rPr>
          <w:rFonts w:ascii="Calibri" w:hAnsi="Calibri"/>
          <w:sz w:val="20"/>
        </w:rPr>
        <w:t>id, patientId, consentType, granted, grantedAt, revokedAt, guardianId, documentUrl</w:t>
      </w:r>
    </w:p>
    <w:p>
      <w:pPr>
        <w:pStyle w:val="ListBullet"/>
      </w:pPr>
      <w:r/>
      <w:r>
        <w:rPr>
          <w:rFonts w:ascii="Calibri" w:hAnsi="Calibri"/>
          <w:b/>
          <w:sz w:val="20"/>
        </w:rPr>
        <w:t xml:space="preserve">BackupRecord: </w:t>
      </w:r>
      <w:r>
        <w:rPr>
          <w:rFonts w:ascii="Calibri" w:hAnsi="Calibri"/>
          <w:sz w:val="20"/>
        </w:rPr>
        <w:t>id, type, startedAt, completedAt, sizeBytes, s3Path, region, status, pitrWindow</w:t>
      </w:r>
    </w:p>
    <w:p>
      <w:pPr>
        <w:pStyle w:val="Heading3"/>
      </w:pPr>
      <w:r>
        <w:t>Compliance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Regulation</w:t>
            </w:r>
          </w:p>
        </w:tc>
        <w:tc>
          <w:tcPr>
            <w:tcW w:type="dxa" w:w="360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576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Implementation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DISHA Act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Patient consent for data collection, sharing, research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sz w:val="18"/>
              </w:rPr>
              <w:t>Consent checkboxes at registration; granular consent management; revocation workflow; 7-year audit retention</w:t>
            </w:r>
          </w:p>
        </w:tc>
      </w:tr>
      <w:tr>
        <w:tc>
          <w:tcPr>
            <w:tcW w:type="dxa" w:w="1728"/>
            <w:shd w:fill="F7F9FC"/>
          </w:tcPr>
          <w:p>
            <w:r/>
            <w:r>
              <w:rPr>
                <w:rFonts w:ascii="Calibri" w:hAnsi="Calibri"/>
                <w:sz w:val="18"/>
              </w:rPr>
              <w:t>ABDM/ABHA</w:t>
            </w:r>
          </w:p>
        </w:tc>
        <w:tc>
          <w:tcPr>
            <w:tcW w:type="dxa" w:w="3600"/>
            <w:shd w:fill="F7F9FC"/>
          </w:tcPr>
          <w:p>
            <w:r/>
            <w:r>
              <w:rPr>
                <w:rFonts w:ascii="Calibri" w:hAnsi="Calibri"/>
                <w:sz w:val="18"/>
              </w:rPr>
              <w:t>Ayushman Bharat Digital Mission health ID integration</w:t>
            </w:r>
          </w:p>
        </w:tc>
        <w:tc>
          <w:tcPr>
            <w:tcW w:type="dxa" w:w="5760"/>
            <w:shd w:fill="F7F9FC"/>
          </w:tcPr>
          <w:p>
            <w:r/>
            <w:r>
              <w:rPr>
                <w:rFonts w:ascii="Calibri" w:hAnsi="Calibri"/>
                <w:sz w:val="18"/>
              </w:rPr>
              <w:t>ABHA ID field in patient registration; FHIR-compliant health record exchange; lab report push to ABDM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IT Act 2000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Data protection and electronic records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sz w:val="18"/>
              </w:rPr>
              <w:t>AES-256 encryption at rest; TLS 1.3 in transit; digital signatures on reports; access logging</w:t>
            </w:r>
          </w:p>
        </w:tc>
      </w:tr>
      <w:tr>
        <w:tc>
          <w:tcPr>
            <w:tcW w:type="dxa" w:w="1728"/>
            <w:shd w:fill="F7F9FC"/>
          </w:tcPr>
          <w:p>
            <w:r/>
            <w:r>
              <w:rPr>
                <w:rFonts w:ascii="Calibri" w:hAnsi="Calibri"/>
                <w:sz w:val="18"/>
              </w:rPr>
              <w:t>GST Compliance</w:t>
            </w:r>
          </w:p>
        </w:tc>
        <w:tc>
          <w:tcPr>
            <w:tcW w:type="dxa" w:w="3600"/>
            <w:shd w:fill="F7F9FC"/>
          </w:tcPr>
          <w:p>
            <w:r/>
            <w:r>
              <w:rPr>
                <w:rFonts w:ascii="Calibri" w:hAnsi="Calibri"/>
                <w:sz w:val="18"/>
              </w:rPr>
              <w:t>Tax-compliant invoicing</w:t>
            </w:r>
          </w:p>
        </w:tc>
        <w:tc>
          <w:tcPr>
            <w:tcW w:type="dxa" w:w="5760"/>
            <w:shd w:fill="F7F9FC"/>
          </w:tcPr>
          <w:p>
            <w:r/>
            <w:r>
              <w:rPr>
                <w:rFonts w:ascii="Calibri" w:hAnsi="Calibri"/>
                <w:sz w:val="18"/>
              </w:rPr>
              <w:t>HSN code mapping; CGST/SGST/IGST computation; E-invoice IRN generation; GST return data export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PF/ESIC Act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Statutory employee deductions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sz w:val="18"/>
              </w:rPr>
              <w:t>Auto-computation in payroll; challan generation; government format export</w:t>
            </w:r>
          </w:p>
        </w:tc>
      </w:tr>
      <w:tr>
        <w:tc>
          <w:tcPr>
            <w:tcW w:type="dxa" w:w="1728"/>
            <w:shd w:fill="F7F9FC"/>
          </w:tcPr>
          <w:p>
            <w:r/>
            <w:r>
              <w:rPr>
                <w:rFonts w:ascii="Calibri" w:hAnsi="Calibri"/>
                <w:sz w:val="18"/>
              </w:rPr>
              <w:t>NABH Standards</w:t>
            </w:r>
          </w:p>
        </w:tc>
        <w:tc>
          <w:tcPr>
            <w:tcW w:type="dxa" w:w="3600"/>
            <w:shd w:fill="F7F9FC"/>
          </w:tcPr>
          <w:p>
            <w:r/>
            <w:r>
              <w:rPr>
                <w:rFonts w:ascii="Calibri" w:hAnsi="Calibri"/>
                <w:sz w:val="18"/>
              </w:rPr>
              <w:t>Hospital accreditation readiness</w:t>
            </w:r>
          </w:p>
        </w:tc>
        <w:tc>
          <w:tcPr>
            <w:tcW w:type="dxa" w:w="5760"/>
            <w:shd w:fill="F7F9FC"/>
          </w:tcPr>
          <w:p>
            <w:r/>
            <w:r>
              <w:rPr>
                <w:rFonts w:ascii="Calibri" w:hAnsi="Calibri"/>
                <w:sz w:val="18"/>
              </w:rPr>
              <w:t>Standardized clinical workflows; TAT tracking; quality indicators; documentation completeness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CERT-In Guidelines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Incident reporting and security practices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sz w:val="18"/>
              </w:rPr>
              <w:t>Security event monitoring; incident response procedures; vulnerability management</w:t>
            </w:r>
          </w:p>
        </w:tc>
      </w:tr>
    </w:tbl>
    <w:p>
      <w:pPr>
        <w:pStyle w:val="Heading3"/>
      </w:pPr>
      <w:r>
        <w:t>Edge Cases &amp; Error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Edge Case / Scenario</w:t>
            </w:r>
          </w:p>
        </w:tc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 System Behavior</w:t>
            </w:r>
          </w:p>
        </w:tc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Audit log storage approaching capacity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Auto-archive to cold storage (S3 Glacier); alert platform admin; retention policy enforcement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P2</w:t>
            </w:r>
          </w:p>
        </w:tc>
      </w:tr>
      <w:tr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DISHA consent revocation mid-treatment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Respect revocation for future data; existing treatment data retained per medical necessity; legal review flagged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P1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Brute-force login detected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Account locked after 5 failures; CAPTCHA enforcement; IP-based rate limiting; security alert raised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P1</w:t>
            </w:r>
          </w:p>
        </w:tc>
      </w:tr>
      <w:tr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Backup failure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Immediate alert to platform admin; auto-retry in 30min; manual trigger option; RTO/RPO breach warning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P1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Cross-tenant data leak attempt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Request blocked by schema isolation; security alert P1; session terminated; forensic log captured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P1</w:t>
            </w:r>
          </w:p>
        </w:tc>
      </w:tr>
    </w:tbl>
    <w:p>
      <w:r>
        <w:br w:type="page"/>
      </w:r>
    </w:p>
    <w:p>
      <w:pPr>
        <w:pStyle w:val="Heading2"/>
      </w:pPr>
      <w:r>
        <w:t>4.10 M10 — Inpatient Department (IPD)</w:t>
      </w:r>
    </w:p>
    <w:p>
      <w:pPr>
        <w:shd w:fill="E8EDF3"/>
      </w:pPr>
      <w:r>
        <w:rPr>
          <w:rFonts w:ascii="Calibri" w:hAnsi="Calibri"/>
          <w:b/>
          <w:sz w:val="20"/>
        </w:rPr>
        <w:t xml:space="preserve">Category: Clinical  |  </w:t>
      </w:r>
      <w:r>
        <w:rPr>
          <w:rFonts w:ascii="Calibri" w:hAnsi="Calibri"/>
          <w:sz w:val="20"/>
        </w:rPr>
        <w:t>Complete inpatient lifecycle from bed assignment through ward nursing, daily doctor rounds, medication administration (MAR), diet management, and structured discharge workflow.</w:t>
      </w:r>
    </w:p>
    <w:p>
      <w:pPr>
        <w:pStyle w:val="Heading3"/>
      </w:pPr>
      <w:r>
        <w:t>Screens (5)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Screen</w:t>
            </w:r>
          </w:p>
        </w:tc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576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Key Fields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Bed Map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Visual ward-wise bed occupancy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sz w:val="18"/>
              </w:rPr>
              <w:t>Ward, Bed number, Status (Available/Occupied/Maintenance/Reserved), Patient name, Admission date, Doctor</w:t>
            </w:r>
          </w:p>
        </w:tc>
      </w:tr>
      <w:tr>
        <w:tc>
          <w:tcPr>
            <w:tcW w:type="dxa" w:w="2160"/>
            <w:shd w:fill="F7F9FC"/>
          </w:tcPr>
          <w:p>
            <w:r/>
            <w:r>
              <w:rPr>
                <w:rFonts w:ascii="Calibri" w:hAnsi="Calibri"/>
                <w:sz w:val="18"/>
              </w:rPr>
              <w:t>Admission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Patient admission workflow</w:t>
            </w:r>
          </w:p>
        </w:tc>
        <w:tc>
          <w:tcPr>
            <w:tcW w:type="dxa" w:w="5760"/>
            <w:shd w:fill="F7F9FC"/>
          </w:tcPr>
          <w:p>
            <w:r/>
            <w:r>
              <w:rPr>
                <w:rFonts w:ascii="Calibri" w:hAnsi="Calibri"/>
                <w:sz w:val="18"/>
              </w:rPr>
              <w:t>Patient UHID, Admitting doctor, Ward/Bed, Expected stay, Insurance details, Advance payment, Emergency flag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Nursing Station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Nurse-centric patient care dashboard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sz w:val="18"/>
              </w:rPr>
              <w:t>Patient list, Vitals (BP/Pulse/Temp/SpO2), MAR, IV status, Diet orders, Alerts, Shift handover notes</w:t>
            </w:r>
          </w:p>
        </w:tc>
      </w:tr>
      <w:tr>
        <w:tc>
          <w:tcPr>
            <w:tcW w:type="dxa" w:w="2160"/>
            <w:shd w:fill="F7F9FC"/>
          </w:tcPr>
          <w:p>
            <w:r/>
            <w:r>
              <w:rPr>
                <w:rFonts w:ascii="Calibri" w:hAnsi="Calibri"/>
                <w:sz w:val="18"/>
              </w:rPr>
              <w:t>Doctor Rounds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Daily progress notes and orders</w:t>
            </w:r>
          </w:p>
        </w:tc>
        <w:tc>
          <w:tcPr>
            <w:tcW w:type="dxa" w:w="5760"/>
            <w:shd w:fill="F7F9FC"/>
          </w:tcPr>
          <w:p>
            <w:r/>
            <w:r>
              <w:rPr>
                <w:rFonts w:ascii="Calibri" w:hAnsi="Calibri"/>
                <w:sz w:val="18"/>
              </w:rPr>
              <w:t>Patient, Vitals trend, Progress note (SOAP), New orders (medications/labs/procedures), Consultant referral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Discharge Checklist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Structured discharge process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sz w:val="18"/>
              </w:rPr>
              <w:t>Bill settlement status, Medication reconciliation, Follow-up scheduled, Discharge summary signed, Patient education done</w:t>
            </w:r>
          </w:p>
        </w:tc>
      </w:tr>
    </w:tbl>
    <w:p>
      <w:pPr>
        <w:pStyle w:val="Heading3"/>
      </w:pPr>
      <w:r>
        <w:t>Data Entities</w:t>
      </w:r>
    </w:p>
    <w:p>
      <w:pPr>
        <w:pStyle w:val="ListBullet"/>
      </w:pPr>
      <w:r/>
      <w:r>
        <w:rPr>
          <w:rFonts w:ascii="Calibri" w:hAnsi="Calibri"/>
          <w:b/>
          <w:sz w:val="20"/>
        </w:rPr>
        <w:t xml:space="preserve">Admission: </w:t>
      </w:r>
      <w:r>
        <w:rPr>
          <w:rFonts w:ascii="Calibri" w:hAnsi="Calibri"/>
          <w:sz w:val="20"/>
        </w:rPr>
        <w:t>id, patientId, admittingDoctorId, wardId, bedId, admittedAt, expectedStay, insuranceDetails{}, advancePayment, status</w:t>
      </w:r>
    </w:p>
    <w:p>
      <w:pPr>
        <w:pStyle w:val="ListBullet"/>
      </w:pPr>
      <w:r/>
      <w:r>
        <w:rPr>
          <w:rFonts w:ascii="Calibri" w:hAnsi="Calibri"/>
          <w:b/>
          <w:sz w:val="20"/>
        </w:rPr>
        <w:t xml:space="preserve">BedMaster: </w:t>
      </w:r>
      <w:r>
        <w:rPr>
          <w:rFonts w:ascii="Calibri" w:hAnsi="Calibri"/>
          <w:sz w:val="20"/>
        </w:rPr>
        <w:t>id, wardId, branchId, bedNumber, type (General/Semi-Private/Private/ICU), status, currentPatientId</w:t>
      </w:r>
    </w:p>
    <w:p>
      <w:pPr>
        <w:pStyle w:val="ListBullet"/>
      </w:pPr>
      <w:r/>
      <w:r>
        <w:rPr>
          <w:rFonts w:ascii="Calibri" w:hAnsi="Calibri"/>
          <w:b/>
          <w:sz w:val="20"/>
        </w:rPr>
        <w:t xml:space="preserve">NursingRecord: </w:t>
      </w:r>
      <w:r>
        <w:rPr>
          <w:rFonts w:ascii="Calibri" w:hAnsi="Calibri"/>
          <w:sz w:val="20"/>
        </w:rPr>
        <w:t>id, admissionId, nurseId, shiftId, vitals{}, marEntries[], dietOrders[], ivStatus, notes, timestamp</w:t>
      </w:r>
    </w:p>
    <w:p>
      <w:pPr>
        <w:pStyle w:val="ListBullet"/>
      </w:pPr>
      <w:r/>
      <w:r>
        <w:rPr>
          <w:rFonts w:ascii="Calibri" w:hAnsi="Calibri"/>
          <w:b/>
          <w:sz w:val="20"/>
        </w:rPr>
        <w:t xml:space="preserve">DoctorRound: </w:t>
      </w:r>
      <w:r>
        <w:rPr>
          <w:rFonts w:ascii="Calibri" w:hAnsi="Calibri"/>
          <w:sz w:val="20"/>
        </w:rPr>
        <w:t>id, admissionId, doctorId, progressNote{soap}, newOrders[], referrals[], roundedAt</w:t>
      </w:r>
    </w:p>
    <w:p>
      <w:pPr>
        <w:pStyle w:val="ListBullet"/>
      </w:pPr>
      <w:r/>
      <w:r>
        <w:rPr>
          <w:rFonts w:ascii="Calibri" w:hAnsi="Calibri"/>
          <w:b/>
          <w:sz w:val="20"/>
        </w:rPr>
        <w:t xml:space="preserve">DischargeChecklist: </w:t>
      </w:r>
      <w:r>
        <w:rPr>
          <w:rFonts w:ascii="Calibri" w:hAnsi="Calibri"/>
          <w:sz w:val="20"/>
        </w:rPr>
        <w:t>id, admissionId, billSettled, medsReconciled, followUpScheduled, summarySigned, patientEducated, dischargedAt</w:t>
      </w:r>
    </w:p>
    <w:p>
      <w:pPr>
        <w:pStyle w:val="Heading3"/>
      </w:pPr>
      <w:r>
        <w:t>Edge Cases &amp; Error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Edge Case / Scenario</w:t>
            </w:r>
          </w:p>
        </w:tc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 System Behavior</w:t>
            </w:r>
          </w:p>
        </w:tc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No beds available in requested ward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Show available beds in alternate wards; waitlist option; escalation to nursing supervisor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P1</w:t>
            </w:r>
          </w:p>
        </w:tc>
      </w:tr>
      <w:tr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Patient deterioration (critical vitals)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Auto-alert attending doctor and nursing supervisor; escalation to ICU if configured; code blue trigger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P1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Discharge with outstanding bill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Block discharge until billing team confirmation; partial payment + undertaking option; Branch Admin override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P1</w:t>
            </w:r>
          </w:p>
        </w:tc>
      </w:tr>
      <w:tr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Medication administration error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MAR double-check required; scan medication barcode; patient wristband verification; incident report auto-generated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P1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Bed transfer during stay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Update bed map atomically; transfer clinical records; notify all care team members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P2</w:t>
            </w:r>
          </w:p>
        </w:tc>
      </w:tr>
      <w:tr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LAMA (Left Against Medical Advice)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LAMA form generated; doctor notification; partial billing; legal documentation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P1</w:t>
            </w:r>
          </w:p>
        </w:tc>
      </w:tr>
    </w:tbl>
    <w:p>
      <w:r>
        <w:br w:type="page"/>
      </w:r>
    </w:p>
    <w:p>
      <w:pPr>
        <w:pStyle w:val="Heading2"/>
      </w:pPr>
      <w:r>
        <w:t>4.11 M11 — Appointment Scheduling</w:t>
      </w:r>
    </w:p>
    <w:p>
      <w:pPr>
        <w:shd w:fill="E8EDF3"/>
      </w:pPr>
      <w:r>
        <w:rPr>
          <w:rFonts w:ascii="Calibri" w:hAnsi="Calibri"/>
          <w:b/>
          <w:sz w:val="20"/>
        </w:rPr>
        <w:t xml:space="preserve">Category: Clinical  |  </w:t>
      </w:r>
      <w:r>
        <w:rPr>
          <w:rFonts w:ascii="Calibri" w:hAnsi="Calibri"/>
          <w:sz w:val="20"/>
        </w:rPr>
        <w:t>Real-time slot management for all OPD doctors across branches. Supports multi-channel booking (front desk, portal, phone), conflict prevention, automated reminders, check-in, and no-show tracking. Bidirectionally linked to Doctor Profiles (M05) for specialty and fee data.</w:t>
      </w:r>
    </w:p>
    <w:p>
      <w:pPr>
        <w:pStyle w:val="Heading3"/>
      </w:pPr>
      <w:r>
        <w:t>Screens (4)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Screen</w:t>
            </w:r>
          </w:p>
        </w:tc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576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Key Fields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Doctor Schedule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Working days, hours, slot configuration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sz w:val="18"/>
              </w:rPr>
              <w:t>Doctor (linked from M05), Branch, Working days, Start/End time, Slot duration, Max per slot, Block-out dates</w:t>
            </w:r>
          </w:p>
        </w:tc>
      </w:tr>
      <w:tr>
        <w:tc>
          <w:tcPr>
            <w:tcW w:type="dxa" w:w="2160"/>
            <w:shd w:fill="F7F9FC"/>
          </w:tcPr>
          <w:p>
            <w:r/>
            <w:r>
              <w:rPr>
                <w:rFonts w:ascii="Calibri" w:hAnsi="Calibri"/>
                <w:sz w:val="18"/>
              </w:rPr>
              <w:t>Appointment Calendar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Visual calendar with booking management</w:t>
            </w:r>
          </w:p>
        </w:tc>
        <w:tc>
          <w:tcPr>
            <w:tcW w:type="dxa" w:w="5760"/>
            <w:shd w:fill="F7F9FC"/>
          </w:tcPr>
          <w:p>
            <w:r/>
            <w:r>
              <w:rPr>
                <w:rFonts w:ascii="Calibri" w:hAnsi="Calibri"/>
                <w:sz w:val="18"/>
              </w:rPr>
              <w:t>Date picker, Doctor filter, Slot grid (Available/Booked/Blocked), Patient details on hover, Drag-to-reschedule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Check-In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Day-of-visit patient check-in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sz w:val="18"/>
              </w:rPr>
              <w:t>QR scan / Booking code entry, Identity verification, OPD token auto-generation, Pre-loaded patient context</w:t>
            </w:r>
          </w:p>
        </w:tc>
      </w:tr>
      <w:tr>
        <w:tc>
          <w:tcPr>
            <w:tcW w:type="dxa" w:w="2160"/>
            <w:shd w:fill="F7F9FC"/>
          </w:tcPr>
          <w:p>
            <w:r/>
            <w:r>
              <w:rPr>
                <w:rFonts w:ascii="Calibri" w:hAnsi="Calibri"/>
                <w:sz w:val="18"/>
              </w:rPr>
              <w:t>No-Show Tracker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No-show analytics and management</w:t>
            </w:r>
          </w:p>
        </w:tc>
        <w:tc>
          <w:tcPr>
            <w:tcW w:type="dxa" w:w="5760"/>
            <w:shd w:fill="F7F9FC"/>
          </w:tcPr>
          <w:p>
            <w:r/>
            <w:r>
              <w:rPr>
                <w:rFonts w:ascii="Calibri" w:hAnsi="Calibri"/>
                <w:sz w:val="18"/>
              </w:rPr>
              <w:t>No-show rate by doctor/department, Patient no-show history, Slot release automation, Follow-up actions</w:t>
            </w:r>
          </w:p>
        </w:tc>
      </w:tr>
    </w:tbl>
    <w:p>
      <w:pPr>
        <w:pStyle w:val="Heading3"/>
      </w:pPr>
      <w:r>
        <w:t>Data Entities</w:t>
      </w:r>
    </w:p>
    <w:p>
      <w:pPr>
        <w:pStyle w:val="ListBullet"/>
      </w:pPr>
      <w:r/>
      <w:r>
        <w:rPr>
          <w:rFonts w:ascii="Calibri" w:hAnsi="Calibri"/>
          <w:b/>
          <w:sz w:val="20"/>
        </w:rPr>
        <w:t xml:space="preserve">DoctorSchedule: </w:t>
      </w:r>
      <w:r>
        <w:rPr>
          <w:rFonts w:ascii="Calibri" w:hAnsi="Calibri"/>
          <w:sz w:val="20"/>
        </w:rPr>
        <w:t>id, doctorId, branchId, workingDays[], slotDuration, startTime, endTime, maxPerSlot, effectiveFrom, blockOutDates[]</w:t>
      </w:r>
    </w:p>
    <w:p>
      <w:pPr>
        <w:pStyle w:val="ListBullet"/>
      </w:pPr>
      <w:r/>
      <w:r>
        <w:rPr>
          <w:rFonts w:ascii="Calibri" w:hAnsi="Calibri"/>
          <w:b/>
          <w:sz w:val="20"/>
        </w:rPr>
        <w:t xml:space="preserve">AppointmentSlot: </w:t>
      </w:r>
      <w:r>
        <w:rPr>
          <w:rFonts w:ascii="Calibri" w:hAnsi="Calibri"/>
          <w:sz w:val="20"/>
        </w:rPr>
        <w:t>id, doctorId, branchId, slotDateTime, isBooked, isBlocked, blockReason</w:t>
      </w:r>
    </w:p>
    <w:p>
      <w:pPr>
        <w:pStyle w:val="ListBullet"/>
      </w:pPr>
      <w:r/>
      <w:r>
        <w:rPr>
          <w:rFonts w:ascii="Calibri" w:hAnsi="Calibri"/>
          <w:b/>
          <w:sz w:val="20"/>
        </w:rPr>
        <w:t xml:space="preserve">Appointment: </w:t>
      </w:r>
      <w:r>
        <w:rPr>
          <w:rFonts w:ascii="Calibri" w:hAnsi="Calibri"/>
          <w:sz w:val="20"/>
        </w:rPr>
        <w:t>id, slotId, patientId, bookingCode, channel (Walk-in/Portal/Phone), status, reminders[], checkedInAt, noShowFlaggedAt</w:t>
      </w:r>
    </w:p>
    <w:p>
      <w:pPr>
        <w:pStyle w:val="ListBullet"/>
      </w:pPr>
      <w:r/>
      <w:r>
        <w:rPr>
          <w:rFonts w:ascii="Calibri" w:hAnsi="Calibri"/>
          <w:b/>
          <w:sz w:val="20"/>
        </w:rPr>
        <w:t xml:space="preserve">NoShowRecord: </w:t>
      </w:r>
      <w:r>
        <w:rPr>
          <w:rFonts w:ascii="Calibri" w:hAnsi="Calibri"/>
          <w:sz w:val="20"/>
        </w:rPr>
        <w:t>id, appointmentId, patientId, flaggedAt, actionTaken, slotReleasedAt</w:t>
      </w:r>
    </w:p>
    <w:p>
      <w:pPr>
        <w:pStyle w:val="Heading3"/>
      </w:pPr>
      <w:r>
        <w:t>Edge Cases &amp; Error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Edge Case / Scenario</w:t>
            </w:r>
          </w:p>
        </w:tc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 System Behavior</w:t>
            </w:r>
          </w:p>
        </w:tc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Double-booking same slot (race condition)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Optimistic locking on slot record; second booking fails with suggestion of next available slot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P1</w:t>
            </w:r>
          </w:p>
        </w:tc>
      </w:tr>
      <w:tr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Doctor calls in sick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Bulk cancel day's appointments; auto-notify all patients; offer rebooking to alternate doctors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P1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Patient arrives without appointment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Walk-in booking if slots available; waitlist if full; redirect to emergency if urgent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P2</w:t>
            </w:r>
          </w:p>
        </w:tc>
      </w:tr>
      <w:tr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Reminder delivery failure (SMS)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Fallback to WhatsApp → Email → Push notification; flag undelivered for manual follow-up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P2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Chronic no-show patient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Flag in patient profile; require advance payment/deposit for future bookings after 3 no-shows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P3</w:t>
            </w:r>
          </w:p>
        </w:tc>
      </w:tr>
      <w:tr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Schedule change affecting existing bookings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Identify affected appointments; bulk reschedule or cancel with notification; patient choice honored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P1</w:t>
            </w:r>
          </w:p>
        </w:tc>
      </w:tr>
    </w:tbl>
    <w:p>
      <w:r>
        <w:br w:type="page"/>
      </w:r>
    </w:p>
    <w:p>
      <w:pPr>
        <w:pStyle w:val="Heading2"/>
      </w:pPr>
      <w:r>
        <w:t>4.12 M12 — Platform Administration</w:t>
      </w:r>
    </w:p>
    <w:p>
      <w:pPr>
        <w:shd w:fill="E8EDF3"/>
      </w:pPr>
      <w:r>
        <w:rPr>
          <w:rFonts w:ascii="Calibri" w:hAnsi="Calibri"/>
          <w:b/>
          <w:sz w:val="20"/>
        </w:rPr>
        <w:t xml:space="preserve">Category: Infrastructure  |  </w:t>
      </w:r>
      <w:r>
        <w:rPr>
          <w:rFonts w:ascii="Calibri" w:hAnsi="Calibri"/>
          <w:sz w:val="20"/>
        </w:rPr>
        <w:t>Super Admin interface for managing the entire HMS SaaS platform. Handles tenant lifecycle, schema provisioning, health monitoring, global configuration, and cross-tenant analytics.</w:t>
      </w:r>
    </w:p>
    <w:p>
      <w:pPr>
        <w:pStyle w:val="Heading3"/>
      </w:pPr>
      <w:r>
        <w:t>Screens (4)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Screen</w:t>
            </w:r>
          </w:p>
        </w:tc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576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Key Fields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Tenant Onboarding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5-step wizard for new tenant setup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sz w:val="18"/>
              </w:rPr>
              <w:t>Org Name, Subdomain, Primary Contact, GSTIN, Plan (Starter/Professional/Enterprise), Module Activation, Schema Provisioning</w:t>
            </w:r>
          </w:p>
        </w:tc>
      </w:tr>
      <w:tr>
        <w:tc>
          <w:tcPr>
            <w:tcW w:type="dxa" w:w="2160"/>
            <w:shd w:fill="F7F9FC"/>
          </w:tcPr>
          <w:p>
            <w:r/>
            <w:r>
              <w:rPr>
                <w:rFonts w:ascii="Calibri" w:hAnsi="Calibri"/>
                <w:sz w:val="18"/>
              </w:rPr>
              <w:t>Tenant Management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All tenants lifecycle dashboard</w:t>
            </w:r>
          </w:p>
        </w:tc>
        <w:tc>
          <w:tcPr>
            <w:tcW w:type="dxa" w:w="5760"/>
            <w:shd w:fill="F7F9FC"/>
          </w:tcPr>
          <w:p>
            <w:r/>
            <w:r>
              <w:rPr>
                <w:rFonts w:ascii="Calibri" w:hAnsi="Calibri"/>
                <w:sz w:val="18"/>
              </w:rPr>
              <w:t>Tenant, Subdomain, Plan, Branches, Users, Status (Active/Suspended/Trial), MRR, Billing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Platform Health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Infrastructure monitoring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sz w:val="18"/>
              </w:rPr>
              <w:t>Uptime (30d), K8s Pods status, API P95 latency, Kafka consumer lag, DB connections, Redis memory, Disk usage</w:t>
            </w:r>
          </w:p>
        </w:tc>
      </w:tr>
      <w:tr>
        <w:tc>
          <w:tcPr>
            <w:tcW w:type="dxa" w:w="2160"/>
            <w:shd w:fill="F7F9FC"/>
          </w:tcPr>
          <w:p>
            <w:r/>
            <w:r>
              <w:rPr>
                <w:rFonts w:ascii="Calibri" w:hAnsi="Calibri"/>
                <w:sz w:val="18"/>
              </w:rPr>
              <w:t>Global Config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Platform-wide settings management</w:t>
            </w:r>
          </w:p>
        </w:tc>
        <w:tc>
          <w:tcPr>
            <w:tcW w:type="dxa" w:w="5760"/>
            <w:shd w:fill="F7F9FC"/>
          </w:tcPr>
          <w:p>
            <w:r/>
            <w:r>
              <w:rPr>
                <w:rFonts w:ascii="Calibri" w:hAnsi="Calibri"/>
                <w:sz w:val="18"/>
              </w:rPr>
              <w:t>Notification templates, GST rates library, Drug interaction DB (Rxnorm), ICD-10 codes, System-wide parameters</w:t>
            </w:r>
          </w:p>
        </w:tc>
      </w:tr>
    </w:tbl>
    <w:p>
      <w:pPr>
        <w:pStyle w:val="Heading3"/>
      </w:pPr>
      <w:r>
        <w:t>Tenant Provisioning Workflow</w:t>
      </w:r>
    </w:p>
    <w:p>
      <w:r>
        <w:t>New Tenant Setup: Org Details → Plan Selection → Module Activation → Schema Provisioning (PostgreSQL schema creation + Flyway migrations for all 12 modules) → DNS record creation → Admin credentials generated and emailed → Tenant active within 5 minutes.</w:t>
      </w:r>
    </w:p>
    <w:p>
      <w:pPr>
        <w:pStyle w:val="Heading3"/>
      </w:pPr>
      <w:r>
        <w:t>Edge Cases &amp; Error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Edge Case / Scenario</w:t>
            </w:r>
          </w:p>
        </w:tc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 System Behavior</w:t>
            </w:r>
          </w:p>
        </w:tc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Schema provisioning failure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Rollback partial schema; retry mechanism; manual provisioning option; alert platform team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P1</w:t>
            </w:r>
          </w:p>
        </w:tc>
      </w:tr>
      <w:tr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Tenant data exceeds plan limits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Soft warning at 80%; hard block at 100% with upgrade prompt; grace period for critical operations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P2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Platform-wide Kafka outage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Spring Batch fallback for critical workflows; event replay on recovery; zero data loss guarantee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P1</w:t>
            </w:r>
          </w:p>
        </w:tc>
      </w:tr>
      <w:tr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Cross-tenant data query (analytics)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Strict anonymization; aggregate-only access; no PII in cross-tenant views; audit logged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P1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Tenant requests data deletion (DISHA)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Verify identity; 30-day cool-off; full schema purge; backup retention per regulatory requirement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P1</w:t>
            </w:r>
          </w:p>
        </w:tc>
      </w:tr>
      <w:tr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Subdomain conflict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Uniqueness check at registration; suggest alternatives; prevent squatting with verification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P3</w:t>
            </w:r>
          </w:p>
        </w:tc>
      </w:tr>
    </w:tbl>
    <w:p>
      <w:r>
        <w:br w:type="page"/>
      </w:r>
    </w:p>
    <w:p>
      <w:pPr>
        <w:pStyle w:val="Heading1"/>
      </w:pPr>
      <w:r>
        <w:t>5. Technical Architecture</w:t>
      </w:r>
    </w:p>
    <w:p>
      <w:pPr>
        <w:pStyle w:val="Heading2"/>
      </w:pPr>
      <w:r>
        <w:t>5.1 Architecture Overview</w:t>
      </w:r>
    </w:p>
    <w:p>
      <w:r>
        <w:t>The HMS Enterprise Platform follows a cloud-native, microservices architecture deployed on Kubernetes with event-driven integration via Apache Kafka. The platform uses a schema-per-tenant PostgreSQL model for complete data isolation while maintaining infrastructure efficiency.</w:t>
      </w:r>
    </w:p>
    <w:p>
      <w:pPr>
        <w:pStyle w:val="Heading2"/>
      </w:pPr>
      <w:r>
        <w:t>5.2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28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360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144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Version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Frontend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React 18 + Tailwind CSS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Single-page application with responsive UI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18"/>
              </w:rPr>
              <w:t>18.x / 3.x</w:t>
            </w:r>
          </w:p>
        </w:tc>
      </w:tr>
      <w:tr>
        <w:tc>
          <w:tcPr>
            <w:tcW w:type="dxa" w:w="1728"/>
            <w:shd w:fill="F7F9FC"/>
          </w:tcPr>
          <w:p>
            <w:r/>
            <w:r>
              <w:rPr>
                <w:rFonts w:ascii="Calibri" w:hAnsi="Calibri"/>
                <w:sz w:val="18"/>
              </w:rPr>
              <w:t>Frontend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Progressive Web App (PWA)</w:t>
            </w:r>
          </w:p>
        </w:tc>
        <w:tc>
          <w:tcPr>
            <w:tcW w:type="dxa" w:w="3600"/>
            <w:shd w:fill="F7F9FC"/>
          </w:tcPr>
          <w:p>
            <w:r/>
            <w:r>
              <w:rPr>
                <w:rFonts w:ascii="Calibri" w:hAnsi="Calibri"/>
                <w:sz w:val="18"/>
              </w:rPr>
              <w:t>Patient portal with offline capability</w:t>
            </w:r>
          </w:p>
        </w:tc>
        <w:tc>
          <w:tcPr>
            <w:tcW w:type="dxa" w:w="1440"/>
            <w:shd w:fill="F7F9FC"/>
          </w:tcPr>
          <w:p>
            <w:r/>
            <w:r>
              <w:rPr>
                <w:rFonts w:ascii="Calibri" w:hAnsi="Calibri"/>
                <w:sz w:val="18"/>
              </w:rPr>
              <w:t>Service Worker v3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API Gateway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Spring Cloud Gateway / Kong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Request routing, rate limiting, auth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18"/>
              </w:rPr>
              <w:t>Latest stable</w:t>
            </w:r>
          </w:p>
        </w:tc>
      </w:tr>
      <w:tr>
        <w:tc>
          <w:tcPr>
            <w:tcW w:type="dxa" w:w="1728"/>
            <w:shd w:fill="F7F9FC"/>
          </w:tcPr>
          <w:p>
            <w:r/>
            <w:r>
              <w:rPr>
                <w:rFonts w:ascii="Calibri" w:hAnsi="Calibri"/>
                <w:sz w:val="18"/>
              </w:rPr>
              <w:t>Backend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Spring Boot (Java 17+)</w:t>
            </w:r>
          </w:p>
        </w:tc>
        <w:tc>
          <w:tcPr>
            <w:tcW w:type="dxa" w:w="3600"/>
            <w:shd w:fill="F7F9FC"/>
          </w:tcPr>
          <w:p>
            <w:r/>
            <w:r>
              <w:rPr>
                <w:rFonts w:ascii="Calibri" w:hAnsi="Calibri"/>
                <w:sz w:val="18"/>
              </w:rPr>
              <w:t>Microservice business logic</w:t>
            </w:r>
          </w:p>
        </w:tc>
        <w:tc>
          <w:tcPr>
            <w:tcW w:type="dxa" w:w="1440"/>
            <w:shd w:fill="F7F9FC"/>
          </w:tcPr>
          <w:p>
            <w:r/>
            <w:r>
              <w:rPr>
                <w:rFonts w:ascii="Calibri" w:hAnsi="Calibri"/>
                <w:sz w:val="18"/>
              </w:rPr>
              <w:t>3.x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Database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PostgreSQL 15+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Primary data store with schema-per-tenant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18"/>
              </w:rPr>
              <w:t>15.x</w:t>
            </w:r>
          </w:p>
        </w:tc>
      </w:tr>
      <w:tr>
        <w:tc>
          <w:tcPr>
            <w:tcW w:type="dxa" w:w="1728"/>
            <w:shd w:fill="F7F9FC"/>
          </w:tcPr>
          <w:p>
            <w:r/>
            <w:r>
              <w:rPr>
                <w:rFonts w:ascii="Calibri" w:hAnsi="Calibri"/>
                <w:sz w:val="18"/>
              </w:rPr>
              <w:t>Cache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Redis 7+</w:t>
            </w:r>
          </w:p>
        </w:tc>
        <w:tc>
          <w:tcPr>
            <w:tcW w:type="dxa" w:w="3600"/>
            <w:shd w:fill="F7F9FC"/>
          </w:tcPr>
          <w:p>
            <w:r/>
            <w:r>
              <w:rPr>
                <w:rFonts w:ascii="Calibri" w:hAnsi="Calibri"/>
                <w:sz w:val="18"/>
              </w:rPr>
              <w:t>Session management, API caching, rate limiting</w:t>
            </w:r>
          </w:p>
        </w:tc>
        <w:tc>
          <w:tcPr>
            <w:tcW w:type="dxa" w:w="1440"/>
            <w:shd w:fill="F7F9FC"/>
          </w:tcPr>
          <w:p>
            <w:r/>
            <w:r>
              <w:rPr>
                <w:rFonts w:ascii="Calibri" w:hAnsi="Calibri"/>
                <w:sz w:val="18"/>
              </w:rPr>
              <w:t>7.x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Message Broker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Apache Kafka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Event streaming, async communication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18"/>
              </w:rPr>
              <w:t>3.x</w:t>
            </w:r>
          </w:p>
        </w:tc>
      </w:tr>
      <w:tr>
        <w:tc>
          <w:tcPr>
            <w:tcW w:type="dxa" w:w="1728"/>
            <w:shd w:fill="F7F9FC"/>
          </w:tcPr>
          <w:p>
            <w:r/>
            <w:r>
              <w:rPr>
                <w:rFonts w:ascii="Calibri" w:hAnsi="Calibri"/>
                <w:sz w:val="18"/>
              </w:rPr>
              <w:t>Search/Analytics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Elasticsearch</w:t>
            </w:r>
          </w:p>
        </w:tc>
        <w:tc>
          <w:tcPr>
            <w:tcW w:type="dxa" w:w="3600"/>
            <w:shd w:fill="F7F9FC"/>
          </w:tcPr>
          <w:p>
            <w:r/>
            <w:r>
              <w:rPr>
                <w:rFonts w:ascii="Calibri" w:hAnsi="Calibri"/>
                <w:sz w:val="18"/>
              </w:rPr>
              <w:t>BI aggregation, full-text search, KPI indexing</w:t>
            </w:r>
          </w:p>
        </w:tc>
        <w:tc>
          <w:tcPr>
            <w:tcW w:type="dxa" w:w="1440"/>
            <w:shd w:fill="F7F9FC"/>
          </w:tcPr>
          <w:p>
            <w:r/>
            <w:r>
              <w:rPr>
                <w:rFonts w:ascii="Calibri" w:hAnsi="Calibri"/>
                <w:sz w:val="18"/>
              </w:rPr>
              <w:t>8.x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Object Storage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AWS S3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Documents, reports, images, backups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18"/>
              </w:rPr>
              <w:t>Latest</w:t>
            </w:r>
          </w:p>
        </w:tc>
      </w:tr>
      <w:tr>
        <w:tc>
          <w:tcPr>
            <w:tcW w:type="dxa" w:w="1728"/>
            <w:shd w:fill="F7F9FC"/>
          </w:tcPr>
          <w:p>
            <w:r/>
            <w:r>
              <w:rPr>
                <w:rFonts w:ascii="Calibri" w:hAnsi="Calibri"/>
                <w:sz w:val="18"/>
              </w:rPr>
              <w:t>Container Orchestration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Kubernetes (EKS/AKS)</w:t>
            </w:r>
          </w:p>
        </w:tc>
        <w:tc>
          <w:tcPr>
            <w:tcW w:type="dxa" w:w="3600"/>
            <w:shd w:fill="F7F9FC"/>
          </w:tcPr>
          <w:p>
            <w:r/>
            <w:r>
              <w:rPr>
                <w:rFonts w:ascii="Calibri" w:hAnsi="Calibri"/>
                <w:sz w:val="18"/>
              </w:rPr>
              <w:t>Service deployment, scaling, health management</w:t>
            </w:r>
          </w:p>
        </w:tc>
        <w:tc>
          <w:tcPr>
            <w:tcW w:type="dxa" w:w="1440"/>
            <w:shd w:fill="F7F9FC"/>
          </w:tcPr>
          <w:p>
            <w:r/>
            <w:r>
              <w:rPr>
                <w:rFonts w:ascii="Calibri" w:hAnsi="Calibri"/>
                <w:sz w:val="18"/>
              </w:rPr>
              <w:t>1.28+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CI/CD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GitHub Actions / Jenkins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Automated build, test, deploy pipeline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18"/>
              </w:rPr>
              <w:t>Latest</w:t>
            </w:r>
          </w:p>
        </w:tc>
      </w:tr>
      <w:tr>
        <w:tc>
          <w:tcPr>
            <w:tcW w:type="dxa" w:w="1728"/>
            <w:shd w:fill="F7F9FC"/>
          </w:tcPr>
          <w:p>
            <w:r/>
            <w:r>
              <w:rPr>
                <w:rFonts w:ascii="Calibri" w:hAnsi="Calibri"/>
                <w:sz w:val="18"/>
              </w:rPr>
              <w:t>Monitoring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Prometheus + Grafana</w:t>
            </w:r>
          </w:p>
        </w:tc>
        <w:tc>
          <w:tcPr>
            <w:tcW w:type="dxa" w:w="3600"/>
            <w:shd w:fill="F7F9FC"/>
          </w:tcPr>
          <w:p>
            <w:r/>
            <w:r>
              <w:rPr>
                <w:rFonts w:ascii="Calibri" w:hAnsi="Calibri"/>
                <w:sz w:val="18"/>
              </w:rPr>
              <w:t>Metrics collection, dashboarding, alerting</w:t>
            </w:r>
          </w:p>
        </w:tc>
        <w:tc>
          <w:tcPr>
            <w:tcW w:type="dxa" w:w="1440"/>
            <w:shd w:fill="F7F9FC"/>
          </w:tcPr>
          <w:p>
            <w:r/>
            <w:r>
              <w:rPr>
                <w:rFonts w:ascii="Calibri" w:hAnsi="Calibri"/>
                <w:sz w:val="18"/>
              </w:rPr>
              <w:t>Latest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APM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Datadog / New Relic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Application performance monitoring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18"/>
              </w:rPr>
              <w:t>Latest</w:t>
            </w:r>
          </w:p>
        </w:tc>
      </w:tr>
      <w:tr>
        <w:tc>
          <w:tcPr>
            <w:tcW w:type="dxa" w:w="1728"/>
            <w:shd w:fill="F7F9FC"/>
          </w:tcPr>
          <w:p>
            <w:r/>
            <w:r>
              <w:rPr>
                <w:rFonts w:ascii="Calibri" w:hAnsi="Calibri"/>
                <w:sz w:val="18"/>
              </w:rPr>
              <w:t>Notifications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Twilio/MSG91 + WABA + FCM</w:t>
            </w:r>
          </w:p>
        </w:tc>
        <w:tc>
          <w:tcPr>
            <w:tcW w:type="dxa" w:w="3600"/>
            <w:shd w:fill="F7F9FC"/>
          </w:tcPr>
          <w:p>
            <w:r/>
            <w:r>
              <w:rPr>
                <w:rFonts w:ascii="Calibri" w:hAnsi="Calibri"/>
                <w:sz w:val="18"/>
              </w:rPr>
              <w:t>SMS, WhatsApp, Push notifications</w:t>
            </w:r>
          </w:p>
        </w:tc>
        <w:tc>
          <w:tcPr>
            <w:tcW w:type="dxa" w:w="1440"/>
            <w:shd w:fill="F7F9FC"/>
          </w:tcPr>
          <w:p>
            <w:r/>
            <w:r>
              <w:rPr>
                <w:rFonts w:ascii="Calibri" w:hAnsi="Calibri"/>
                <w:sz w:val="18"/>
              </w:rPr>
              <w:t>Latest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Payment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Razorpay / Paytm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Payment gateway integration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18"/>
              </w:rPr>
              <w:t>Latest</w:t>
            </w:r>
          </w:p>
        </w:tc>
      </w:tr>
      <w:tr>
        <w:tc>
          <w:tcPr>
            <w:tcW w:type="dxa" w:w="1728"/>
            <w:shd w:fill="F7F9FC"/>
          </w:tcPr>
          <w:p>
            <w:r/>
            <w:r>
              <w:rPr>
                <w:rFonts w:ascii="Calibri" w:hAnsi="Calibri"/>
                <w:sz w:val="18"/>
              </w:rPr>
              <w:t>Biometric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ZKTeco / Suprema API</w:t>
            </w:r>
          </w:p>
        </w:tc>
        <w:tc>
          <w:tcPr>
            <w:tcW w:type="dxa" w:w="3600"/>
            <w:shd w:fill="F7F9FC"/>
          </w:tcPr>
          <w:p>
            <w:r/>
            <w:r>
              <w:rPr>
                <w:rFonts w:ascii="Calibri" w:hAnsi="Calibri"/>
                <w:sz w:val="18"/>
              </w:rPr>
              <w:t>Attendance device integration</w:t>
            </w:r>
          </w:p>
        </w:tc>
        <w:tc>
          <w:tcPr>
            <w:tcW w:type="dxa" w:w="1440"/>
            <w:shd w:fill="F7F9FC"/>
          </w:tcPr>
          <w:p>
            <w:r/>
            <w:r>
              <w:rPr>
                <w:rFonts w:ascii="Calibri" w:hAnsi="Calibri"/>
                <w:sz w:val="18"/>
              </w:rPr>
              <w:t>REST API</w:t>
            </w:r>
          </w:p>
        </w:tc>
      </w:tr>
    </w:tbl>
    <w:p>
      <w:pPr>
        <w:pStyle w:val="Heading2"/>
      </w:pPr>
      <w:r>
        <w:t>5.3 Multi-Tenancy Architecture</w:t>
      </w:r>
    </w:p>
    <w:p>
      <w:r>
        <w:t>Every registered organisation (tenant) receives a fully isolated PostgreSQL schema provisioned automatically during onboarding. This schema-per-tenant model ensures complete data isolation at the database level while sharing the same application infrastructure for cost efficiency.</w:t>
      </w:r>
    </w:p>
    <w:p>
      <w:pPr>
        <w:pStyle w:val="ListBullet"/>
      </w:pPr>
      <w:r/>
      <w:r>
        <w:rPr>
          <w:rFonts w:ascii="Calibri" w:hAnsi="Calibri"/>
          <w:b/>
          <w:sz w:val="20"/>
        </w:rPr>
        <w:t xml:space="preserve">Schema Provisioning: </w:t>
      </w:r>
      <w:r>
        <w:rPr>
          <w:rFonts w:ascii="Calibri" w:hAnsi="Calibri"/>
          <w:sz w:val="20"/>
        </w:rPr>
        <w:t>Flyway-managed migrations create all 12 module tables in the tenant schema</w:t>
      </w:r>
    </w:p>
    <w:p>
      <w:pPr>
        <w:pStyle w:val="ListBullet"/>
      </w:pPr>
      <w:r/>
      <w:r>
        <w:rPr>
          <w:rFonts w:ascii="Calibri" w:hAnsi="Calibri"/>
          <w:b/>
          <w:sz w:val="20"/>
        </w:rPr>
        <w:t xml:space="preserve">Tenant Resolution: </w:t>
      </w:r>
      <w:r>
        <w:rPr>
          <w:rFonts w:ascii="Calibri" w:hAnsi="Calibri"/>
          <w:sz w:val="20"/>
        </w:rPr>
        <w:t>Subdomain-based routing (tenant.hmssaas.in) → Tenant ID injected into every request context</w:t>
      </w:r>
    </w:p>
    <w:p>
      <w:pPr>
        <w:pStyle w:val="ListBullet"/>
      </w:pPr>
      <w:r/>
      <w:r>
        <w:rPr>
          <w:rFonts w:ascii="Calibri" w:hAnsi="Calibri"/>
          <w:b/>
          <w:sz w:val="20"/>
        </w:rPr>
        <w:t xml:space="preserve">Data Isolation: </w:t>
      </w:r>
      <w:r>
        <w:rPr>
          <w:rFonts w:ascii="Calibri" w:hAnsi="Calibri"/>
          <w:sz w:val="20"/>
        </w:rPr>
        <w:t>PostgreSQL Row-Level Security (RLS) as defense-in-depth; application-level tenant ID filtering</w:t>
      </w:r>
    </w:p>
    <w:p>
      <w:pPr>
        <w:pStyle w:val="ListBullet"/>
      </w:pPr>
      <w:r/>
      <w:r>
        <w:rPr>
          <w:rFonts w:ascii="Calibri" w:hAnsi="Calibri"/>
          <w:b/>
          <w:sz w:val="20"/>
        </w:rPr>
        <w:t xml:space="preserve">Connection Pooling: </w:t>
      </w:r>
      <w:r>
        <w:rPr>
          <w:rFonts w:ascii="Calibri" w:hAnsi="Calibri"/>
          <w:sz w:val="20"/>
        </w:rPr>
        <w:t>HikariCP with per-tenant connection limits; max 200 connections per database instance</w:t>
      </w:r>
    </w:p>
    <w:p>
      <w:pPr>
        <w:pStyle w:val="ListBullet"/>
      </w:pPr>
      <w:r/>
      <w:r>
        <w:rPr>
          <w:rFonts w:ascii="Calibri" w:hAnsi="Calibri"/>
          <w:b/>
          <w:sz w:val="20"/>
        </w:rPr>
        <w:t xml:space="preserve">Scaling: </w:t>
      </w:r>
      <w:r>
        <w:rPr>
          <w:rFonts w:ascii="Calibri" w:hAnsi="Calibri"/>
          <w:sz w:val="20"/>
        </w:rPr>
        <w:t>Read replicas for reporting; tenant-specific connection pools; database sharding ready for Phase 2</w:t>
      </w:r>
    </w:p>
    <w:p>
      <w:pPr>
        <w:pStyle w:val="Heading2"/>
      </w:pPr>
      <w:r>
        <w:t>5.4 Deployment Architecture</w:t>
      </w:r>
    </w:p>
    <w:p>
      <w:pPr>
        <w:pStyle w:val="ListBullet"/>
      </w:pPr>
      <w:r/>
      <w:r>
        <w:rPr>
          <w:rFonts w:ascii="Calibri" w:hAnsi="Calibri"/>
          <w:b/>
          <w:sz w:val="20"/>
        </w:rPr>
        <w:t xml:space="preserve">Container Strategy: </w:t>
      </w:r>
      <w:r>
        <w:rPr>
          <w:rFonts w:ascii="Calibri" w:hAnsi="Calibri"/>
          <w:sz w:val="20"/>
        </w:rPr>
        <w:t>Each microservice packaged as Docker container with multi-stage builds (build + runtime)</w:t>
      </w:r>
    </w:p>
    <w:p>
      <w:pPr>
        <w:pStyle w:val="ListBullet"/>
      </w:pPr>
      <w:r/>
      <w:r>
        <w:rPr>
          <w:rFonts w:ascii="Calibri" w:hAnsi="Calibri"/>
          <w:b/>
          <w:sz w:val="20"/>
        </w:rPr>
        <w:t xml:space="preserve">Kubernetes: </w:t>
      </w:r>
      <w:r>
        <w:rPr>
          <w:rFonts w:ascii="Calibri" w:hAnsi="Calibri"/>
          <w:sz w:val="20"/>
        </w:rPr>
        <w:t>Namespace-per-service; HPA (Horizontal Pod Autoscaler) with CPU/memory triggers; Rolling updates with zero downtime</w:t>
      </w:r>
    </w:p>
    <w:p>
      <w:pPr>
        <w:pStyle w:val="ListBullet"/>
      </w:pPr>
      <w:r/>
      <w:r>
        <w:rPr>
          <w:rFonts w:ascii="Calibri" w:hAnsi="Calibri"/>
          <w:b/>
          <w:sz w:val="20"/>
        </w:rPr>
        <w:t xml:space="preserve">Service Mesh: </w:t>
      </w:r>
      <w:r>
        <w:rPr>
          <w:rFonts w:ascii="Calibri" w:hAnsi="Calibri"/>
          <w:sz w:val="20"/>
        </w:rPr>
        <w:t>Istio/Linkerd for service-to-service mTLS, traffic management, and observability</w:t>
      </w:r>
    </w:p>
    <w:p>
      <w:pPr>
        <w:pStyle w:val="ListBullet"/>
      </w:pPr>
      <w:r/>
      <w:r>
        <w:rPr>
          <w:rFonts w:ascii="Calibri" w:hAnsi="Calibri"/>
          <w:b/>
          <w:sz w:val="20"/>
        </w:rPr>
        <w:t xml:space="preserve">Regions: </w:t>
      </w:r>
      <w:r>
        <w:rPr>
          <w:rFonts w:ascii="Calibri" w:hAnsi="Calibri"/>
          <w:sz w:val="20"/>
        </w:rPr>
        <w:t>Primary: AWS Mumbai (ap-south-1); DR: AWS Singapore (ap-southeast-1)</w:t>
      </w:r>
    </w:p>
    <w:p>
      <w:pPr>
        <w:pStyle w:val="ListBullet"/>
      </w:pPr>
      <w:r/>
      <w:r>
        <w:rPr>
          <w:rFonts w:ascii="Calibri" w:hAnsi="Calibri"/>
          <w:b/>
          <w:sz w:val="20"/>
        </w:rPr>
        <w:t xml:space="preserve">CDN: </w:t>
      </w:r>
      <w:r>
        <w:rPr>
          <w:rFonts w:ascii="Calibri" w:hAnsi="Calibri"/>
          <w:sz w:val="20"/>
        </w:rPr>
        <w:t>CloudFront for static assets; presigned URLs for document access</w:t>
      </w:r>
    </w:p>
    <w:p>
      <w:pPr>
        <w:pStyle w:val="ListBullet"/>
      </w:pPr>
      <w:r/>
      <w:r>
        <w:rPr>
          <w:rFonts w:ascii="Calibri" w:hAnsi="Calibri"/>
          <w:b/>
          <w:sz w:val="20"/>
        </w:rPr>
        <w:t xml:space="preserve">DNS: </w:t>
      </w:r>
      <w:r>
        <w:rPr>
          <w:rFonts w:ascii="Calibri" w:hAnsi="Calibri"/>
          <w:sz w:val="20"/>
        </w:rPr>
        <w:t>Route53 with wildcard SSL for *.hmssaas.in; tenant subdomain auto-provisioning</w:t>
      </w:r>
    </w:p>
    <w:p>
      <w:pPr>
        <w:pStyle w:val="Heading2"/>
      </w:pPr>
      <w:r>
        <w:t>5.5 Security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Security Layer</w:t>
            </w:r>
          </w:p>
        </w:tc>
        <w:tc>
          <w:tcPr>
            <w:tcW w:type="dxa" w:w="504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Implementation</w:t>
            </w:r>
          </w:p>
        </w:tc>
        <w:tc>
          <w:tcPr>
            <w:tcW w:type="dxa" w:w="2592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Standard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Authentication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sz w:val="18"/>
              </w:rPr>
              <w:t>JWT (15-min expiry) + Refresh Token + MFA (L1-L3 roles)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18"/>
              </w:rPr>
              <w:t>OAuth 2.0 / OIDC</w:t>
            </w:r>
          </w:p>
        </w:tc>
      </w:tr>
      <w:tr>
        <w:tc>
          <w:tcPr>
            <w:tcW w:type="dxa" w:w="2160"/>
            <w:shd w:fill="F7F9FC"/>
          </w:tcPr>
          <w:p>
            <w:r/>
            <w:r>
              <w:rPr>
                <w:rFonts w:ascii="Calibri" w:hAnsi="Calibri"/>
                <w:sz w:val="18"/>
              </w:rPr>
              <w:t>Authorization</w:t>
            </w:r>
          </w:p>
        </w:tc>
        <w:tc>
          <w:tcPr>
            <w:tcW w:type="dxa" w:w="5040"/>
            <w:shd w:fill="F7F9FC"/>
          </w:tcPr>
          <w:p>
            <w:r/>
            <w:r>
              <w:rPr>
                <w:rFonts w:ascii="Calibri" w:hAnsi="Calibri"/>
                <w:sz w:val="18"/>
              </w:rPr>
              <w:t>6-tier RBAC with @PreAuthorize on every service method</w:t>
            </w:r>
          </w:p>
        </w:tc>
        <w:tc>
          <w:tcPr>
            <w:tcW w:type="dxa" w:w="2592"/>
            <w:shd w:fill="F7F9FC"/>
          </w:tcPr>
          <w:p>
            <w:r/>
            <w:r>
              <w:rPr>
                <w:rFonts w:ascii="Calibri" w:hAnsi="Calibri"/>
                <w:sz w:val="18"/>
              </w:rPr>
              <w:t>Custom RBAC engine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Encryption at Rest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sz w:val="18"/>
              </w:rPr>
              <w:t>AES-256 for all data; S3 SSE-KMS for documents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18"/>
              </w:rPr>
              <w:t>NIST SP 800-111</w:t>
            </w:r>
          </w:p>
        </w:tc>
      </w:tr>
      <w:tr>
        <w:tc>
          <w:tcPr>
            <w:tcW w:type="dxa" w:w="2160"/>
            <w:shd w:fill="F7F9FC"/>
          </w:tcPr>
          <w:p>
            <w:r/>
            <w:r>
              <w:rPr>
                <w:rFonts w:ascii="Calibri" w:hAnsi="Calibri"/>
                <w:sz w:val="18"/>
              </w:rPr>
              <w:t>Encryption in Transit</w:t>
            </w:r>
          </w:p>
        </w:tc>
        <w:tc>
          <w:tcPr>
            <w:tcW w:type="dxa" w:w="5040"/>
            <w:shd w:fill="F7F9FC"/>
          </w:tcPr>
          <w:p>
            <w:r/>
            <w:r>
              <w:rPr>
                <w:rFonts w:ascii="Calibri" w:hAnsi="Calibri"/>
                <w:sz w:val="18"/>
              </w:rPr>
              <w:t>TLS 1.3 for all API calls; mTLS for service-to-service</w:t>
            </w:r>
          </w:p>
        </w:tc>
        <w:tc>
          <w:tcPr>
            <w:tcW w:type="dxa" w:w="2592"/>
            <w:shd w:fill="F7F9FC"/>
          </w:tcPr>
          <w:p>
            <w:r/>
            <w:r>
              <w:rPr>
                <w:rFonts w:ascii="Calibri" w:hAnsi="Calibri"/>
                <w:sz w:val="18"/>
              </w:rPr>
              <w:t>NIST SP 800-52r2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API Security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sz w:val="18"/>
              </w:rPr>
              <w:t>Rate limiting, input validation, CORS, CSRF protection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18"/>
              </w:rPr>
              <w:t>OWASP Top 10</w:t>
            </w:r>
          </w:p>
        </w:tc>
      </w:tr>
      <w:tr>
        <w:tc>
          <w:tcPr>
            <w:tcW w:type="dxa" w:w="2160"/>
            <w:shd w:fill="F7F9FC"/>
          </w:tcPr>
          <w:p>
            <w:r/>
            <w:r>
              <w:rPr>
                <w:rFonts w:ascii="Calibri" w:hAnsi="Calibri"/>
                <w:sz w:val="18"/>
              </w:rPr>
              <w:t>Database Security</w:t>
            </w:r>
          </w:p>
        </w:tc>
        <w:tc>
          <w:tcPr>
            <w:tcW w:type="dxa" w:w="5040"/>
            <w:shd w:fill="F7F9FC"/>
          </w:tcPr>
          <w:p>
            <w:r/>
            <w:r>
              <w:rPr>
                <w:rFonts w:ascii="Calibri" w:hAnsi="Calibri"/>
                <w:sz w:val="18"/>
              </w:rPr>
              <w:t>Schema isolation + RLS; encrypted backups; no direct DB access</w:t>
            </w:r>
          </w:p>
        </w:tc>
        <w:tc>
          <w:tcPr>
            <w:tcW w:type="dxa" w:w="2592"/>
            <w:shd w:fill="F7F9FC"/>
          </w:tcPr>
          <w:p>
            <w:r/>
            <w:r>
              <w:rPr>
                <w:rFonts w:ascii="Calibri" w:hAnsi="Calibri"/>
                <w:sz w:val="18"/>
              </w:rPr>
              <w:t>CIS PostgreSQL Benchmark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Audit Trail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sz w:val="18"/>
              </w:rPr>
              <w:t>Immutable event log; 7-year retention; tamper-proof (append-only)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18"/>
              </w:rPr>
              <w:t>DISHA Act</w:t>
            </w:r>
          </w:p>
        </w:tc>
      </w:tr>
      <w:tr>
        <w:tc>
          <w:tcPr>
            <w:tcW w:type="dxa" w:w="2160"/>
            <w:shd w:fill="F7F9FC"/>
          </w:tcPr>
          <w:p>
            <w:r/>
            <w:r>
              <w:rPr>
                <w:rFonts w:ascii="Calibri" w:hAnsi="Calibri"/>
                <w:sz w:val="18"/>
              </w:rPr>
              <w:t>Vulnerability Management</w:t>
            </w:r>
          </w:p>
        </w:tc>
        <w:tc>
          <w:tcPr>
            <w:tcW w:type="dxa" w:w="5040"/>
            <w:shd w:fill="F7F9FC"/>
          </w:tcPr>
          <w:p>
            <w:r/>
            <w:r>
              <w:rPr>
                <w:rFonts w:ascii="Calibri" w:hAnsi="Calibri"/>
                <w:sz w:val="18"/>
              </w:rPr>
              <w:t>SAST/DAST in CI/CD; dependency scanning; penetration testing</w:t>
            </w:r>
          </w:p>
        </w:tc>
        <w:tc>
          <w:tcPr>
            <w:tcW w:type="dxa" w:w="2592"/>
            <w:shd w:fill="F7F9FC"/>
          </w:tcPr>
          <w:p>
            <w:r/>
            <w:r>
              <w:rPr>
                <w:rFonts w:ascii="Calibri" w:hAnsi="Calibri"/>
                <w:sz w:val="18"/>
              </w:rPr>
              <w:t>OWASP ASVS Level 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Incident Response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sz w:val="18"/>
              </w:rPr>
              <w:t>Automated alerting; incident playbooks; CERT-In notification compliance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18"/>
              </w:rPr>
              <w:t>CERT-In Guidelines</w:t>
            </w:r>
          </w:p>
        </w:tc>
      </w:tr>
      <w:tr>
        <w:tc>
          <w:tcPr>
            <w:tcW w:type="dxa" w:w="2160"/>
            <w:shd w:fill="F7F9FC"/>
          </w:tcPr>
          <w:p>
            <w:r/>
            <w:r>
              <w:rPr>
                <w:rFonts w:ascii="Calibri" w:hAnsi="Calibri"/>
                <w:sz w:val="18"/>
              </w:rPr>
              <w:t>Data Masking</w:t>
            </w:r>
          </w:p>
        </w:tc>
        <w:tc>
          <w:tcPr>
            <w:tcW w:type="dxa" w:w="5040"/>
            <w:shd w:fill="F7F9FC"/>
          </w:tcPr>
          <w:p>
            <w:r/>
            <w:r>
              <w:rPr>
                <w:rFonts w:ascii="Calibri" w:hAnsi="Calibri"/>
                <w:sz w:val="18"/>
              </w:rPr>
              <w:t>PII masking in logs; Aadhaar partial display; test data anonymization</w:t>
            </w:r>
          </w:p>
        </w:tc>
        <w:tc>
          <w:tcPr>
            <w:tcW w:type="dxa" w:w="2592"/>
            <w:shd w:fill="F7F9FC"/>
          </w:tcPr>
          <w:p>
            <w:r/>
            <w:r>
              <w:rPr>
                <w:rFonts w:ascii="Calibri" w:hAnsi="Calibri"/>
                <w:sz w:val="18"/>
              </w:rPr>
              <w:t>DISHA Act / IT Act</w:t>
            </w:r>
          </w:p>
        </w:tc>
      </w:tr>
    </w:tbl>
    <w:p>
      <w:pPr>
        <w:pStyle w:val="Heading2"/>
      </w:pPr>
      <w:r>
        <w:t>5.6 Backup &amp; Disaster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720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Specification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RTO (Recovery Time Objective)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sz w:val="18"/>
              </w:rPr>
              <w:t>4 hours</w:t>
            </w:r>
          </w:p>
        </w:tc>
      </w:tr>
      <w:tr>
        <w:tc>
          <w:tcPr>
            <w:tcW w:type="dxa" w:w="3600"/>
            <w:shd w:fill="F7F9FC"/>
          </w:tcPr>
          <w:p>
            <w:r/>
            <w:r>
              <w:rPr>
                <w:rFonts w:ascii="Calibri" w:hAnsi="Calibri"/>
                <w:sz w:val="18"/>
              </w:rPr>
              <w:t>RPO (Recovery Point Objective)</w:t>
            </w:r>
          </w:p>
        </w:tc>
        <w:tc>
          <w:tcPr>
            <w:tcW w:type="dxa" w:w="7200"/>
            <w:shd w:fill="F7F9FC"/>
          </w:tcPr>
          <w:p>
            <w:r/>
            <w:r>
              <w:rPr>
                <w:rFonts w:ascii="Calibri" w:hAnsi="Calibri"/>
                <w:sz w:val="18"/>
              </w:rPr>
              <w:t>15 minutes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Backup Frequency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sz w:val="18"/>
              </w:rPr>
              <w:t>Continuous WAL archiving + Daily full backup at 02:00 IST</w:t>
            </w:r>
          </w:p>
        </w:tc>
      </w:tr>
      <w:tr>
        <w:tc>
          <w:tcPr>
            <w:tcW w:type="dxa" w:w="3600"/>
            <w:shd w:fill="F7F9FC"/>
          </w:tcPr>
          <w:p>
            <w:r/>
            <w:r>
              <w:rPr>
                <w:rFonts w:ascii="Calibri" w:hAnsi="Calibri"/>
                <w:sz w:val="18"/>
              </w:rPr>
              <w:t>Backup Storage</w:t>
            </w:r>
          </w:p>
        </w:tc>
        <w:tc>
          <w:tcPr>
            <w:tcW w:type="dxa" w:w="7200"/>
            <w:shd w:fill="F7F9FC"/>
          </w:tcPr>
          <w:p>
            <w:r/>
            <w:r>
              <w:rPr>
                <w:rFonts w:ascii="Calibri" w:hAnsi="Calibri"/>
                <w:sz w:val="18"/>
              </w:rPr>
              <w:t>AWS S3 Mumbai (primary) + AWS S3 Singapore (DR replica)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Backup Encryption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sz w:val="18"/>
              </w:rPr>
              <w:t>AES-256 encryption at rest</w:t>
            </w:r>
          </w:p>
        </w:tc>
      </w:tr>
      <w:tr>
        <w:tc>
          <w:tcPr>
            <w:tcW w:type="dxa" w:w="3600"/>
            <w:shd w:fill="F7F9FC"/>
          </w:tcPr>
          <w:p>
            <w:r/>
            <w:r>
              <w:rPr>
                <w:rFonts w:ascii="Calibri" w:hAnsi="Calibri"/>
                <w:sz w:val="18"/>
              </w:rPr>
              <w:t>Point-in-Time Recovery</w:t>
            </w:r>
          </w:p>
        </w:tc>
        <w:tc>
          <w:tcPr>
            <w:tcW w:type="dxa" w:w="7200"/>
            <w:shd w:fill="F7F9FC"/>
          </w:tcPr>
          <w:p>
            <w:r/>
            <w:r>
              <w:rPr>
                <w:rFonts w:ascii="Calibri" w:hAnsi="Calibri"/>
                <w:sz w:val="18"/>
              </w:rPr>
              <w:t>7-day PITR window via PostgreSQL WAL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Backup Retention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sz w:val="18"/>
              </w:rPr>
              <w:t>30 days (hot) + 1 year (cold/Glacier)</w:t>
            </w:r>
          </w:p>
        </w:tc>
      </w:tr>
      <w:tr>
        <w:tc>
          <w:tcPr>
            <w:tcW w:type="dxa" w:w="3600"/>
            <w:shd w:fill="F7F9FC"/>
          </w:tcPr>
          <w:p>
            <w:r/>
            <w:r>
              <w:rPr>
                <w:rFonts w:ascii="Calibri" w:hAnsi="Calibri"/>
                <w:sz w:val="18"/>
              </w:rPr>
              <w:t>DR Testing</w:t>
            </w:r>
          </w:p>
        </w:tc>
        <w:tc>
          <w:tcPr>
            <w:tcW w:type="dxa" w:w="7200"/>
            <w:shd w:fill="F7F9FC"/>
          </w:tcPr>
          <w:p>
            <w:r/>
            <w:r>
              <w:rPr>
                <w:rFonts w:ascii="Calibri" w:hAnsi="Calibri"/>
                <w:sz w:val="18"/>
              </w:rPr>
              <w:t>Quarterly DR drill; documented recovery runbook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Failover Strategy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sz w:val="18"/>
              </w:rPr>
              <w:t>Active-Passive with automated failover via Route53 health checks</w:t>
            </w:r>
          </w:p>
        </w:tc>
      </w:tr>
    </w:tbl>
    <w:p>
      <w:r>
        <w:br w:type="page"/>
      </w:r>
    </w:p>
    <w:p>
      <w:pPr>
        <w:pStyle w:val="Heading1"/>
      </w:pPr>
      <w:r>
        <w:t>6. Role-Based Access Control (RBAC) Model</w:t>
      </w:r>
    </w:p>
    <w:p>
      <w:r>
        <w:t>The HMS platform implements a 6-tier role hierarchy with 200+ granular permissions. Each permission follows the pattern resource:action and is enforced at the API layer via @PreAuthorize(tenantId + branchId + roleId + resource:action) guards.</w:t>
      </w:r>
    </w:p>
    <w:p>
      <w:pPr>
        <w:pStyle w:val="Heading2"/>
      </w:pPr>
      <w:r>
        <w:t>6.1 Role Hierarchy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72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Level</w:t>
            </w:r>
          </w:p>
        </w:tc>
        <w:tc>
          <w:tcPr>
            <w:tcW w:type="dxa" w:w="1728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728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Scope</w:t>
            </w:r>
          </w:p>
        </w:tc>
        <w:tc>
          <w:tcPr>
            <w:tcW w:type="dxa" w:w="504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152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MFA Required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/>
                <w:sz w:val="18"/>
              </w:rPr>
              <w:t>L1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Super Admin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Platform-wide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sz w:val="18"/>
              </w:rPr>
              <w:t>SaaS platform operator; manages all tenants, global config, health monitoring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720"/>
            <w:shd w:fill="F7F9FC"/>
          </w:tcPr>
          <w:p>
            <w:r/>
            <w:r>
              <w:rPr>
                <w:rFonts w:ascii="Calibri" w:hAnsi="Calibri"/>
                <w:sz w:val="18"/>
              </w:rPr>
              <w:t>L2</w:t>
            </w:r>
          </w:p>
        </w:tc>
        <w:tc>
          <w:tcPr>
            <w:tcW w:type="dxa" w:w="1728"/>
            <w:shd w:fill="F7F9FC"/>
          </w:tcPr>
          <w:p>
            <w:r/>
            <w:r>
              <w:rPr>
                <w:rFonts w:ascii="Calibri" w:hAnsi="Calibri"/>
                <w:sz w:val="18"/>
              </w:rPr>
              <w:t>Tenant Admin</w:t>
            </w:r>
          </w:p>
        </w:tc>
        <w:tc>
          <w:tcPr>
            <w:tcW w:type="dxa" w:w="1728"/>
            <w:shd w:fill="F7F9FC"/>
          </w:tcPr>
          <w:p>
            <w:r/>
            <w:r>
              <w:rPr>
                <w:rFonts w:ascii="Calibri" w:hAnsi="Calibri"/>
                <w:sz w:val="18"/>
              </w:rPr>
              <w:t>Organization-wide</w:t>
            </w:r>
          </w:p>
        </w:tc>
        <w:tc>
          <w:tcPr>
            <w:tcW w:type="dxa" w:w="5040"/>
            <w:shd w:fill="F7F9FC"/>
          </w:tcPr>
          <w:p>
            <w:r/>
            <w:r>
              <w:rPr>
                <w:rFonts w:ascii="Calibri" w:hAnsi="Calibri"/>
                <w:sz w:val="18"/>
              </w:rPr>
              <w:t>Hospital chain administrator; manages branches, salary grades, BI cross-branch</w:t>
            </w:r>
          </w:p>
        </w:tc>
        <w:tc>
          <w:tcPr>
            <w:tcW w:type="dxa" w:w="1152"/>
            <w:shd w:fill="F7F9FC"/>
          </w:tcPr>
          <w:p>
            <w:r/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/>
                <w:sz w:val="18"/>
              </w:rPr>
              <w:t>L3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Branch Admin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Single branch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sz w:val="18"/>
              </w:rPr>
              <w:t>Hospital branch manager; PO approvals, day-close, attendance override, shift config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720"/>
            <w:shd w:fill="F7F9FC"/>
          </w:tcPr>
          <w:p>
            <w:r/>
            <w:r>
              <w:rPr>
                <w:rFonts w:ascii="Calibri" w:hAnsi="Calibri"/>
                <w:sz w:val="18"/>
              </w:rPr>
              <w:t>L4</w:t>
            </w:r>
          </w:p>
        </w:tc>
        <w:tc>
          <w:tcPr>
            <w:tcW w:type="dxa" w:w="1728"/>
            <w:shd w:fill="F7F9FC"/>
          </w:tcPr>
          <w:p>
            <w:r/>
            <w:r>
              <w:rPr>
                <w:rFonts w:ascii="Calibri" w:hAnsi="Calibri"/>
                <w:sz w:val="18"/>
              </w:rPr>
              <w:t>Department Head</w:t>
            </w:r>
          </w:p>
        </w:tc>
        <w:tc>
          <w:tcPr>
            <w:tcW w:type="dxa" w:w="1728"/>
            <w:shd w:fill="F7F9FC"/>
          </w:tcPr>
          <w:p>
            <w:r/>
            <w:r>
              <w:rPr>
                <w:rFonts w:ascii="Calibri" w:hAnsi="Calibri"/>
                <w:sz w:val="18"/>
              </w:rPr>
              <w:t>Single department</w:t>
            </w:r>
          </w:p>
        </w:tc>
        <w:tc>
          <w:tcPr>
            <w:tcW w:type="dxa" w:w="5040"/>
            <w:shd w:fill="F7F9FC"/>
          </w:tcPr>
          <w:p>
            <w:r/>
            <w:r>
              <w:rPr>
                <w:rFonts w:ascii="Calibri" w:hAnsi="Calibri"/>
                <w:sz w:val="18"/>
              </w:rPr>
              <w:t>HOD for OPD/Pharmacy/Lab/HR; drug master config, payroll run, lab validation</w:t>
            </w:r>
          </w:p>
        </w:tc>
        <w:tc>
          <w:tcPr>
            <w:tcW w:type="dxa" w:w="1152"/>
            <w:shd w:fill="F7F9FC"/>
          </w:tcPr>
          <w:p>
            <w:r/>
            <w:r>
              <w:rPr>
                <w:rFonts w:ascii="Calibri" w:hAnsi="Calibri"/>
                <w:sz w:val="18"/>
              </w:rPr>
              <w:t>No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/>
                <w:sz w:val="18"/>
              </w:rPr>
              <w:t>L5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Staff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Assigned functions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sz w:val="18"/>
              </w:rPr>
              <w:t>Doctors, nurses, pharmacists, technicians, receptionists, billing staff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18"/>
              </w:rPr>
              <w:t>No</w:t>
            </w:r>
          </w:p>
        </w:tc>
      </w:tr>
      <w:tr>
        <w:tc>
          <w:tcPr>
            <w:tcW w:type="dxa" w:w="720"/>
            <w:shd w:fill="F7F9FC"/>
          </w:tcPr>
          <w:p>
            <w:r/>
            <w:r>
              <w:rPr>
                <w:rFonts w:ascii="Calibri" w:hAnsi="Calibri"/>
                <w:sz w:val="18"/>
              </w:rPr>
              <w:t>L6</w:t>
            </w:r>
          </w:p>
        </w:tc>
        <w:tc>
          <w:tcPr>
            <w:tcW w:type="dxa" w:w="1728"/>
            <w:shd w:fill="F7F9FC"/>
          </w:tcPr>
          <w:p>
            <w:r/>
            <w:r>
              <w:rPr>
                <w:rFonts w:ascii="Calibri" w:hAnsi="Calibri"/>
                <w:sz w:val="18"/>
              </w:rPr>
              <w:t>Patient</w:t>
            </w:r>
          </w:p>
        </w:tc>
        <w:tc>
          <w:tcPr>
            <w:tcW w:type="dxa" w:w="1728"/>
            <w:shd w:fill="F7F9FC"/>
          </w:tcPr>
          <w:p>
            <w:r/>
            <w:r>
              <w:rPr>
                <w:rFonts w:ascii="Calibri" w:hAnsi="Calibri"/>
                <w:sz w:val="18"/>
              </w:rPr>
              <w:t>Own records only</w:t>
            </w:r>
          </w:p>
        </w:tc>
        <w:tc>
          <w:tcPr>
            <w:tcW w:type="dxa" w:w="5040"/>
            <w:shd w:fill="F7F9FC"/>
          </w:tcPr>
          <w:p>
            <w:r/>
            <w:r>
              <w:rPr>
                <w:rFonts w:ascii="Calibri" w:hAnsi="Calibri"/>
                <w:sz w:val="18"/>
              </w:rPr>
              <w:t>Appointment booking, health records access, online payment, notification preferences</w:t>
            </w:r>
          </w:p>
        </w:tc>
        <w:tc>
          <w:tcPr>
            <w:tcW w:type="dxa" w:w="1152"/>
            <w:shd w:fill="F7F9FC"/>
          </w:tcPr>
          <w:p>
            <w:r/>
            <w:r>
              <w:rPr>
                <w:rFonts w:ascii="Calibri" w:hAnsi="Calibri"/>
                <w:sz w:val="18"/>
              </w:rPr>
              <w:t>No</w:t>
            </w:r>
          </w:p>
        </w:tc>
      </w:tr>
    </w:tbl>
    <w:p>
      <w:pPr>
        <w:pStyle w:val="Heading2"/>
      </w:pPr>
      <w:r>
        <w:t>6.2 Permission Matrix (Key Permissions)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44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2592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Permission</w:t>
            </w:r>
          </w:p>
        </w:tc>
        <w:tc>
          <w:tcPr>
            <w:tcW w:type="dxa" w:w="72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L1</w:t>
            </w:r>
          </w:p>
        </w:tc>
        <w:tc>
          <w:tcPr>
            <w:tcW w:type="dxa" w:w="72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L2</w:t>
            </w:r>
          </w:p>
        </w:tc>
        <w:tc>
          <w:tcPr>
            <w:tcW w:type="dxa" w:w="72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L3</w:t>
            </w:r>
          </w:p>
        </w:tc>
        <w:tc>
          <w:tcPr>
            <w:tcW w:type="dxa" w:w="72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L4</w:t>
            </w:r>
          </w:p>
        </w:tc>
        <w:tc>
          <w:tcPr>
            <w:tcW w:type="dxa" w:w="72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L5</w:t>
            </w:r>
          </w:p>
        </w:tc>
        <w:tc>
          <w:tcPr>
            <w:tcW w:type="dxa" w:w="72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L6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18"/>
              </w:rPr>
              <w:t>OPD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18"/>
              </w:rPr>
              <w:t>patient:register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sz w:val="18"/>
              </w:rPr>
              <w:t>Y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sz w:val="18"/>
              </w:rPr>
              <w:t>Y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sz w:val="18"/>
              </w:rPr>
              <w:t>Y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sz w:val="18"/>
              </w:rPr>
              <w:t>Y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sz w:val="18"/>
              </w:rPr>
              <w:t>Y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1440"/>
            <w:shd w:fill="F7F9FC"/>
          </w:tcPr>
          <w:p>
            <w:r/>
            <w:r>
              <w:rPr>
                <w:rFonts w:ascii="Calibri" w:hAnsi="Calibri"/>
                <w:sz w:val="18"/>
              </w:rPr>
              <w:t>OPD</w:t>
            </w:r>
          </w:p>
        </w:tc>
        <w:tc>
          <w:tcPr>
            <w:tcW w:type="dxa" w:w="2592"/>
            <w:shd w:fill="F7F9FC"/>
          </w:tcPr>
          <w:p>
            <w:r/>
            <w:r>
              <w:rPr>
                <w:rFonts w:ascii="Calibri" w:hAnsi="Calibri"/>
                <w:sz w:val="18"/>
              </w:rPr>
              <w:t>consultation:write</w:t>
            </w:r>
          </w:p>
        </w:tc>
        <w:tc>
          <w:tcPr>
            <w:tcW w:type="dxa" w:w="720"/>
            <w:shd w:fill="F7F9FC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720"/>
            <w:shd w:fill="F7F9FC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720"/>
            <w:shd w:fill="F7F9FC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720"/>
            <w:shd w:fill="F7F9FC"/>
          </w:tcPr>
          <w:p>
            <w:r/>
            <w:r>
              <w:rPr>
                <w:rFonts w:ascii="Calibri" w:hAnsi="Calibri"/>
                <w:sz w:val="18"/>
              </w:rPr>
              <w:t>Y</w:t>
            </w:r>
          </w:p>
        </w:tc>
        <w:tc>
          <w:tcPr>
            <w:tcW w:type="dxa" w:w="720"/>
            <w:shd w:fill="F7F9FC"/>
          </w:tcPr>
          <w:p>
            <w:r/>
            <w:r>
              <w:rPr>
                <w:rFonts w:ascii="Calibri" w:hAnsi="Calibri"/>
                <w:sz w:val="18"/>
              </w:rPr>
              <w:t>Y</w:t>
            </w:r>
          </w:p>
        </w:tc>
        <w:tc>
          <w:tcPr>
            <w:tcW w:type="dxa" w:w="720"/>
            <w:shd w:fill="F7F9FC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18"/>
              </w:rPr>
              <w:t>OPD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18"/>
              </w:rPr>
              <w:t>discharge:generate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sz w:val="18"/>
              </w:rPr>
              <w:t>Y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sz w:val="18"/>
              </w:rPr>
              <w:t>Y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1440"/>
            <w:shd w:fill="F7F9FC"/>
          </w:tcPr>
          <w:p>
            <w:r/>
            <w:r>
              <w:rPr>
                <w:rFonts w:ascii="Calibri" w:hAnsi="Calibri"/>
                <w:sz w:val="18"/>
              </w:rPr>
              <w:t>Pharmacy</w:t>
            </w:r>
          </w:p>
        </w:tc>
        <w:tc>
          <w:tcPr>
            <w:tcW w:type="dxa" w:w="2592"/>
            <w:shd w:fill="F7F9FC"/>
          </w:tcPr>
          <w:p>
            <w:r/>
            <w:r>
              <w:rPr>
                <w:rFonts w:ascii="Calibri" w:hAnsi="Calibri"/>
                <w:sz w:val="18"/>
              </w:rPr>
              <w:t>drug:dispense</w:t>
            </w:r>
          </w:p>
        </w:tc>
        <w:tc>
          <w:tcPr>
            <w:tcW w:type="dxa" w:w="720"/>
            <w:shd w:fill="F7F9FC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720"/>
            <w:shd w:fill="F7F9FC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720"/>
            <w:shd w:fill="F7F9FC"/>
          </w:tcPr>
          <w:p>
            <w:r/>
            <w:r>
              <w:rPr>
                <w:rFonts w:ascii="Calibri" w:hAnsi="Calibri"/>
                <w:sz w:val="18"/>
              </w:rPr>
              <w:t>Y</w:t>
            </w:r>
          </w:p>
        </w:tc>
        <w:tc>
          <w:tcPr>
            <w:tcW w:type="dxa" w:w="720"/>
            <w:shd w:fill="F7F9FC"/>
          </w:tcPr>
          <w:p>
            <w:r/>
            <w:r>
              <w:rPr>
                <w:rFonts w:ascii="Calibri" w:hAnsi="Calibri"/>
                <w:sz w:val="18"/>
              </w:rPr>
              <w:t>Y</w:t>
            </w:r>
          </w:p>
        </w:tc>
        <w:tc>
          <w:tcPr>
            <w:tcW w:type="dxa" w:w="720"/>
            <w:shd w:fill="F7F9FC"/>
          </w:tcPr>
          <w:p>
            <w:r/>
            <w:r>
              <w:rPr>
                <w:rFonts w:ascii="Calibri" w:hAnsi="Calibri"/>
                <w:sz w:val="18"/>
              </w:rPr>
              <w:t>Y</w:t>
            </w:r>
          </w:p>
        </w:tc>
        <w:tc>
          <w:tcPr>
            <w:tcW w:type="dxa" w:w="720"/>
            <w:shd w:fill="F7F9FC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18"/>
              </w:rPr>
              <w:t>Pharmacy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18"/>
              </w:rPr>
              <w:t>po:approve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sz w:val="18"/>
              </w:rPr>
              <w:t>Y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sz w:val="18"/>
              </w:rPr>
              <w:t>Y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1440"/>
            <w:shd w:fill="F7F9FC"/>
          </w:tcPr>
          <w:p>
            <w:r/>
            <w:r>
              <w:rPr>
                <w:rFonts w:ascii="Calibri" w:hAnsi="Calibri"/>
                <w:sz w:val="18"/>
              </w:rPr>
              <w:t>Pharmacy</w:t>
            </w:r>
          </w:p>
        </w:tc>
        <w:tc>
          <w:tcPr>
            <w:tcW w:type="dxa" w:w="2592"/>
            <w:shd w:fill="F7F9FC"/>
          </w:tcPr>
          <w:p>
            <w:r/>
            <w:r>
              <w:rPr>
                <w:rFonts w:ascii="Calibri" w:hAnsi="Calibri"/>
                <w:sz w:val="18"/>
              </w:rPr>
              <w:t>drug:master:edit</w:t>
            </w:r>
          </w:p>
        </w:tc>
        <w:tc>
          <w:tcPr>
            <w:tcW w:type="dxa" w:w="720"/>
            <w:shd w:fill="F7F9FC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720"/>
            <w:shd w:fill="F7F9FC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720"/>
            <w:shd w:fill="F7F9FC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720"/>
            <w:shd w:fill="F7F9FC"/>
          </w:tcPr>
          <w:p>
            <w:r/>
            <w:r>
              <w:rPr>
                <w:rFonts w:ascii="Calibri" w:hAnsi="Calibri"/>
                <w:sz w:val="18"/>
              </w:rPr>
              <w:t>Y</w:t>
            </w:r>
          </w:p>
        </w:tc>
        <w:tc>
          <w:tcPr>
            <w:tcW w:type="dxa" w:w="720"/>
            <w:shd w:fill="F7F9FC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720"/>
            <w:shd w:fill="F7F9FC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18"/>
              </w:rPr>
              <w:t>Lab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18"/>
              </w:rPr>
              <w:t>result:validate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sz w:val="18"/>
              </w:rPr>
              <w:t>Y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sz w:val="18"/>
              </w:rPr>
              <w:t>Y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1440"/>
            <w:shd w:fill="F7F9FC"/>
          </w:tcPr>
          <w:p>
            <w:r/>
            <w:r>
              <w:rPr>
                <w:rFonts w:ascii="Calibri" w:hAnsi="Calibri"/>
                <w:sz w:val="18"/>
              </w:rPr>
              <w:t>Lab</w:t>
            </w:r>
          </w:p>
        </w:tc>
        <w:tc>
          <w:tcPr>
            <w:tcW w:type="dxa" w:w="2592"/>
            <w:shd w:fill="F7F9FC"/>
          </w:tcPr>
          <w:p>
            <w:r/>
            <w:r>
              <w:rPr>
                <w:rFonts w:ascii="Calibri" w:hAnsi="Calibri"/>
                <w:sz w:val="18"/>
              </w:rPr>
              <w:t>report:generate</w:t>
            </w:r>
          </w:p>
        </w:tc>
        <w:tc>
          <w:tcPr>
            <w:tcW w:type="dxa" w:w="720"/>
            <w:shd w:fill="F7F9FC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720"/>
            <w:shd w:fill="F7F9FC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720"/>
            <w:shd w:fill="F7F9FC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720"/>
            <w:shd w:fill="F7F9FC"/>
          </w:tcPr>
          <w:p>
            <w:r/>
            <w:r>
              <w:rPr>
                <w:rFonts w:ascii="Calibri" w:hAnsi="Calibri"/>
                <w:sz w:val="18"/>
              </w:rPr>
              <w:t>Y</w:t>
            </w:r>
          </w:p>
        </w:tc>
        <w:tc>
          <w:tcPr>
            <w:tcW w:type="dxa" w:w="720"/>
            <w:shd w:fill="F7F9FC"/>
          </w:tcPr>
          <w:p>
            <w:r/>
            <w:r>
              <w:rPr>
                <w:rFonts w:ascii="Calibri" w:hAnsi="Calibri"/>
                <w:sz w:val="18"/>
              </w:rPr>
              <w:t>Y</w:t>
            </w:r>
          </w:p>
        </w:tc>
        <w:tc>
          <w:tcPr>
            <w:tcW w:type="dxa" w:w="720"/>
            <w:shd w:fill="F7F9FC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18"/>
              </w:rPr>
              <w:t>Finance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18"/>
              </w:rPr>
              <w:t>payment:collect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sz w:val="18"/>
              </w:rPr>
              <w:t>Y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sz w:val="18"/>
              </w:rPr>
              <w:t>Y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1440"/>
            <w:shd w:fill="F7F9FC"/>
          </w:tcPr>
          <w:p>
            <w:r/>
            <w:r>
              <w:rPr>
                <w:rFonts w:ascii="Calibri" w:hAnsi="Calibri"/>
                <w:sz w:val="18"/>
              </w:rPr>
              <w:t>Finance</w:t>
            </w:r>
          </w:p>
        </w:tc>
        <w:tc>
          <w:tcPr>
            <w:tcW w:type="dxa" w:w="2592"/>
            <w:shd w:fill="F7F9FC"/>
          </w:tcPr>
          <w:p>
            <w:r/>
            <w:r>
              <w:rPr>
                <w:rFonts w:ascii="Calibri" w:hAnsi="Calibri"/>
                <w:sz w:val="18"/>
              </w:rPr>
              <w:t>day-close:run</w:t>
            </w:r>
          </w:p>
        </w:tc>
        <w:tc>
          <w:tcPr>
            <w:tcW w:type="dxa" w:w="720"/>
            <w:shd w:fill="F7F9FC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720"/>
            <w:shd w:fill="F7F9FC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720"/>
            <w:shd w:fill="F7F9FC"/>
          </w:tcPr>
          <w:p>
            <w:r/>
            <w:r>
              <w:rPr>
                <w:rFonts w:ascii="Calibri" w:hAnsi="Calibri"/>
                <w:sz w:val="18"/>
              </w:rPr>
              <w:t>Y</w:t>
            </w:r>
          </w:p>
        </w:tc>
        <w:tc>
          <w:tcPr>
            <w:tcW w:type="dxa" w:w="720"/>
            <w:shd w:fill="F7F9FC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720"/>
            <w:shd w:fill="F7F9FC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720"/>
            <w:shd w:fill="F7F9FC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18"/>
              </w:rPr>
              <w:t>Finance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18"/>
              </w:rPr>
              <w:t>refund:approve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sz w:val="18"/>
              </w:rPr>
              <w:t>Y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sz w:val="18"/>
              </w:rPr>
              <w:t>Y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1440"/>
            <w:shd w:fill="F7F9FC"/>
          </w:tcPr>
          <w:p>
            <w:r/>
            <w:r>
              <w:rPr>
                <w:rFonts w:ascii="Calibri" w:hAnsi="Calibri"/>
                <w:sz w:val="18"/>
              </w:rPr>
              <w:t>HR</w:t>
            </w:r>
          </w:p>
        </w:tc>
        <w:tc>
          <w:tcPr>
            <w:tcW w:type="dxa" w:w="2592"/>
            <w:shd w:fill="F7F9FC"/>
          </w:tcPr>
          <w:p>
            <w:r/>
            <w:r>
              <w:rPr>
                <w:rFonts w:ascii="Calibri" w:hAnsi="Calibri"/>
                <w:sz w:val="18"/>
              </w:rPr>
              <w:t>employee:onboard</w:t>
            </w:r>
          </w:p>
        </w:tc>
        <w:tc>
          <w:tcPr>
            <w:tcW w:type="dxa" w:w="720"/>
            <w:shd w:fill="F7F9FC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720"/>
            <w:shd w:fill="F7F9FC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720"/>
            <w:shd w:fill="F7F9FC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720"/>
            <w:shd w:fill="F7F9FC"/>
          </w:tcPr>
          <w:p>
            <w:r/>
            <w:r>
              <w:rPr>
                <w:rFonts w:ascii="Calibri" w:hAnsi="Calibri"/>
                <w:sz w:val="18"/>
              </w:rPr>
              <w:t>Y</w:t>
            </w:r>
          </w:p>
        </w:tc>
        <w:tc>
          <w:tcPr>
            <w:tcW w:type="dxa" w:w="720"/>
            <w:shd w:fill="F7F9FC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720"/>
            <w:shd w:fill="F7F9FC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18"/>
              </w:rPr>
              <w:t>HR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18"/>
              </w:rPr>
              <w:t>payroll:run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sz w:val="18"/>
              </w:rPr>
              <w:t>Y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sz w:val="18"/>
              </w:rPr>
              <w:t>Y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sz w:val="18"/>
              </w:rPr>
              <w:t>Y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1440"/>
            <w:shd w:fill="F7F9FC"/>
          </w:tcPr>
          <w:p>
            <w:r/>
            <w:r>
              <w:rPr>
                <w:rFonts w:ascii="Calibri" w:hAnsi="Calibri"/>
                <w:sz w:val="18"/>
              </w:rPr>
              <w:t>HR</w:t>
            </w:r>
          </w:p>
        </w:tc>
        <w:tc>
          <w:tcPr>
            <w:tcW w:type="dxa" w:w="2592"/>
            <w:shd w:fill="F7F9FC"/>
          </w:tcPr>
          <w:p>
            <w:r/>
            <w:r>
              <w:rPr>
                <w:rFonts w:ascii="Calibri" w:hAnsi="Calibri"/>
                <w:sz w:val="18"/>
              </w:rPr>
              <w:t>doctor:profile:manage</w:t>
            </w:r>
          </w:p>
        </w:tc>
        <w:tc>
          <w:tcPr>
            <w:tcW w:type="dxa" w:w="720"/>
            <w:shd w:fill="F7F9FC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720"/>
            <w:shd w:fill="F7F9FC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720"/>
            <w:shd w:fill="F7F9FC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720"/>
            <w:shd w:fill="F7F9FC"/>
          </w:tcPr>
          <w:p>
            <w:r/>
            <w:r>
              <w:rPr>
                <w:rFonts w:ascii="Calibri" w:hAnsi="Calibri"/>
                <w:sz w:val="18"/>
              </w:rPr>
              <w:t>Y</w:t>
            </w:r>
          </w:p>
        </w:tc>
        <w:tc>
          <w:tcPr>
            <w:tcW w:type="dxa" w:w="720"/>
            <w:shd w:fill="F7F9FC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720"/>
            <w:shd w:fill="F7F9FC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18"/>
              </w:rPr>
              <w:t>BI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18"/>
              </w:rPr>
              <w:t>analytics:cross-branch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sz w:val="18"/>
              </w:rPr>
              <w:t>Y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1440"/>
            <w:shd w:fill="F7F9FC"/>
          </w:tcPr>
          <w:p>
            <w:r/>
            <w:r>
              <w:rPr>
                <w:rFonts w:ascii="Calibri" w:hAnsi="Calibri"/>
                <w:sz w:val="18"/>
              </w:rPr>
              <w:t>BI</w:t>
            </w:r>
          </w:p>
        </w:tc>
        <w:tc>
          <w:tcPr>
            <w:tcW w:type="dxa" w:w="2592"/>
            <w:shd w:fill="F7F9FC"/>
          </w:tcPr>
          <w:p>
            <w:r/>
            <w:r>
              <w:rPr>
                <w:rFonts w:ascii="Calibri" w:hAnsi="Calibri"/>
                <w:sz w:val="18"/>
              </w:rPr>
              <w:t>report:build</w:t>
            </w:r>
          </w:p>
        </w:tc>
        <w:tc>
          <w:tcPr>
            <w:tcW w:type="dxa" w:w="720"/>
            <w:shd w:fill="F7F9FC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720"/>
            <w:shd w:fill="F7F9FC"/>
          </w:tcPr>
          <w:p>
            <w:r/>
            <w:r>
              <w:rPr>
                <w:rFonts w:ascii="Calibri" w:hAnsi="Calibri"/>
                <w:sz w:val="18"/>
              </w:rPr>
              <w:t>Y</w:t>
            </w:r>
          </w:p>
        </w:tc>
        <w:tc>
          <w:tcPr>
            <w:tcW w:type="dxa" w:w="720"/>
            <w:shd w:fill="F7F9FC"/>
          </w:tcPr>
          <w:p>
            <w:r/>
            <w:r>
              <w:rPr>
                <w:rFonts w:ascii="Calibri" w:hAnsi="Calibri"/>
                <w:sz w:val="18"/>
              </w:rPr>
              <w:t>Y</w:t>
            </w:r>
          </w:p>
        </w:tc>
        <w:tc>
          <w:tcPr>
            <w:tcW w:type="dxa" w:w="720"/>
            <w:shd w:fill="F7F9FC"/>
          </w:tcPr>
          <w:p>
            <w:r/>
            <w:r>
              <w:rPr>
                <w:rFonts w:ascii="Calibri" w:hAnsi="Calibri"/>
                <w:sz w:val="18"/>
              </w:rPr>
              <w:t>Y</w:t>
            </w:r>
          </w:p>
        </w:tc>
        <w:tc>
          <w:tcPr>
            <w:tcW w:type="dxa" w:w="720"/>
            <w:shd w:fill="F7F9FC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720"/>
            <w:shd w:fill="F7F9FC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18"/>
              </w:rPr>
              <w:t>Audit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18"/>
              </w:rPr>
              <w:t>auditlog:view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sz w:val="18"/>
              </w:rPr>
              <w:t>Y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sz w:val="18"/>
              </w:rPr>
              <w:t>Y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1440"/>
            <w:shd w:fill="F7F9FC"/>
          </w:tcPr>
          <w:p>
            <w:r/>
            <w:r>
              <w:rPr>
                <w:rFonts w:ascii="Calibri" w:hAnsi="Calibri"/>
                <w:sz w:val="18"/>
              </w:rPr>
              <w:t>Audit</w:t>
            </w:r>
          </w:p>
        </w:tc>
        <w:tc>
          <w:tcPr>
            <w:tcW w:type="dxa" w:w="2592"/>
            <w:shd w:fill="F7F9FC"/>
          </w:tcPr>
          <w:p>
            <w:r/>
            <w:r>
              <w:rPr>
                <w:rFonts w:ascii="Calibri" w:hAnsi="Calibri"/>
                <w:sz w:val="18"/>
              </w:rPr>
              <w:t>security:monitor</w:t>
            </w:r>
          </w:p>
        </w:tc>
        <w:tc>
          <w:tcPr>
            <w:tcW w:type="dxa" w:w="720"/>
            <w:shd w:fill="F7F9FC"/>
          </w:tcPr>
          <w:p>
            <w:r/>
            <w:r>
              <w:rPr>
                <w:rFonts w:ascii="Calibri" w:hAnsi="Calibri"/>
                <w:sz w:val="18"/>
              </w:rPr>
              <w:t>Y</w:t>
            </w:r>
          </w:p>
        </w:tc>
        <w:tc>
          <w:tcPr>
            <w:tcW w:type="dxa" w:w="720"/>
            <w:shd w:fill="F7F9FC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720"/>
            <w:shd w:fill="F7F9FC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720"/>
            <w:shd w:fill="F7F9FC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720"/>
            <w:shd w:fill="F7F9FC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720"/>
            <w:shd w:fill="F7F9FC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18"/>
              </w:rPr>
              <w:t>Platform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18"/>
              </w:rPr>
              <w:t>tenant:manage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sz w:val="18"/>
              </w:rPr>
              <w:t>Y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1440"/>
            <w:shd w:fill="F7F9FC"/>
          </w:tcPr>
          <w:p>
            <w:r/>
            <w:r>
              <w:rPr>
                <w:rFonts w:ascii="Calibri" w:hAnsi="Calibri"/>
                <w:sz w:val="18"/>
              </w:rPr>
              <w:t>Platform</w:t>
            </w:r>
          </w:p>
        </w:tc>
        <w:tc>
          <w:tcPr>
            <w:tcW w:type="dxa" w:w="2592"/>
            <w:shd w:fill="F7F9FC"/>
          </w:tcPr>
          <w:p>
            <w:r/>
            <w:r>
              <w:rPr>
                <w:rFonts w:ascii="Calibri" w:hAnsi="Calibri"/>
                <w:sz w:val="18"/>
              </w:rPr>
              <w:t>global:config</w:t>
            </w:r>
          </w:p>
        </w:tc>
        <w:tc>
          <w:tcPr>
            <w:tcW w:type="dxa" w:w="720"/>
            <w:shd w:fill="F7F9FC"/>
          </w:tcPr>
          <w:p>
            <w:r/>
            <w:r>
              <w:rPr>
                <w:rFonts w:ascii="Calibri" w:hAnsi="Calibri"/>
                <w:sz w:val="18"/>
              </w:rPr>
              <w:t>Y</w:t>
            </w:r>
          </w:p>
        </w:tc>
        <w:tc>
          <w:tcPr>
            <w:tcW w:type="dxa" w:w="720"/>
            <w:shd w:fill="F7F9FC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720"/>
            <w:shd w:fill="F7F9FC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720"/>
            <w:shd w:fill="F7F9FC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720"/>
            <w:shd w:fill="F7F9FC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720"/>
            <w:shd w:fill="F7F9FC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18"/>
              </w:rPr>
              <w:t>Portal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18"/>
              </w:rPr>
              <w:t>appointment:book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sz w:val="18"/>
              </w:rPr>
              <w:t>Y</w:t>
            </w:r>
          </w:p>
        </w:tc>
      </w:tr>
      <w:tr>
        <w:tc>
          <w:tcPr>
            <w:tcW w:type="dxa" w:w="1440"/>
            <w:shd w:fill="F7F9FC"/>
          </w:tcPr>
          <w:p>
            <w:r/>
            <w:r>
              <w:rPr>
                <w:rFonts w:ascii="Calibri" w:hAnsi="Calibri"/>
                <w:sz w:val="18"/>
              </w:rPr>
              <w:t>Portal</w:t>
            </w:r>
          </w:p>
        </w:tc>
        <w:tc>
          <w:tcPr>
            <w:tcW w:type="dxa" w:w="2592"/>
            <w:shd w:fill="F7F9FC"/>
          </w:tcPr>
          <w:p>
            <w:r/>
            <w:r>
              <w:rPr>
                <w:rFonts w:ascii="Calibri" w:hAnsi="Calibri"/>
                <w:sz w:val="18"/>
              </w:rPr>
              <w:t>report:download-own</w:t>
            </w:r>
          </w:p>
        </w:tc>
        <w:tc>
          <w:tcPr>
            <w:tcW w:type="dxa" w:w="720"/>
            <w:shd w:fill="F7F9FC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720"/>
            <w:shd w:fill="F7F9FC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720"/>
            <w:shd w:fill="F7F9FC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720"/>
            <w:shd w:fill="F7F9FC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720"/>
            <w:shd w:fill="F7F9FC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720"/>
            <w:shd w:fill="F7F9FC"/>
          </w:tcPr>
          <w:p>
            <w:r/>
            <w:r>
              <w:rPr>
                <w:rFonts w:ascii="Calibri" w:hAnsi="Calibri"/>
                <w:sz w:val="18"/>
              </w:rPr>
              <w:t>Y</w:t>
            </w:r>
          </w:p>
        </w:tc>
      </w:tr>
    </w:tbl>
    <w:p>
      <w:pPr>
        <w:shd w:fill="FFF7ED"/>
      </w:pPr>
      <w:r>
        <w:rPr>
          <w:rFonts w:ascii="Calibri" w:hAnsi="Calibri"/>
          <w:b/>
          <w:color w:val="B45309"/>
          <w:sz w:val="18"/>
        </w:rPr>
        <w:t xml:space="preserve">NOTE: </w:t>
      </w:r>
      <w:r>
        <w:rPr>
          <w:rFonts w:ascii="Calibri" w:hAnsi="Calibri"/>
          <w:sz w:val="18"/>
        </w:rPr>
        <w:t>The full RBAC matrix contains 200+ permissions. The above shows representative permissions per module. Complete permission specification will be delivered in the RBAC Technical Design Document.</w:t>
      </w:r>
    </w:p>
    <w:p>
      <w:r>
        <w:br w:type="page"/>
      </w:r>
    </w:p>
    <w:p>
      <w:pPr>
        <w:pStyle w:val="Heading1"/>
      </w:pPr>
      <w:r>
        <w:t>7. Event-Driven Architecture</w:t>
      </w:r>
    </w:p>
    <w:p>
      <w:pPr>
        <w:pStyle w:val="Heading2"/>
      </w:pPr>
      <w:r>
        <w:t>7.1 Kafka Topic Namespace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Topic</w:t>
            </w:r>
          </w:p>
        </w:tc>
        <w:tc>
          <w:tcPr>
            <w:tcW w:type="dxa" w:w="1728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Producers</w:t>
            </w:r>
          </w:p>
        </w:tc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Consumers</w:t>
            </w:r>
          </w:p>
        </w:tc>
        <w:tc>
          <w:tcPr>
            <w:tcW w:type="dxa" w:w="432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Key Events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hms.opd.events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OPD Module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Pharmacy, Lab, Finance, Audit, Patient Portal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18"/>
              </w:rPr>
              <w:t>prescription.created, consultation.closed, discharge.generated, token.issued</w:t>
            </w:r>
          </w:p>
        </w:tc>
      </w:tr>
      <w:tr>
        <w:tc>
          <w:tcPr>
            <w:tcW w:type="dxa" w:w="2160"/>
            <w:shd w:fill="F7F9FC"/>
          </w:tcPr>
          <w:p>
            <w:r/>
            <w:r>
              <w:rPr>
                <w:rFonts w:ascii="Calibri" w:hAnsi="Calibri"/>
                <w:sz w:val="18"/>
              </w:rPr>
              <w:t>hms.pharmacy.events</w:t>
            </w:r>
          </w:p>
        </w:tc>
        <w:tc>
          <w:tcPr>
            <w:tcW w:type="dxa" w:w="1728"/>
            <w:shd w:fill="F7F9FC"/>
          </w:tcPr>
          <w:p>
            <w:r/>
            <w:r>
              <w:rPr>
                <w:rFonts w:ascii="Calibri" w:hAnsi="Calibri"/>
                <w:sz w:val="18"/>
              </w:rPr>
              <w:t>Pharmacy Module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Finance, Inventory, Audit, Patient Portal</w:t>
            </w:r>
          </w:p>
        </w:tc>
        <w:tc>
          <w:tcPr>
            <w:tcW w:type="dxa" w:w="4320"/>
            <w:shd w:fill="F7F9FC"/>
          </w:tcPr>
          <w:p>
            <w:r/>
            <w:r>
              <w:rPr>
                <w:rFonts w:ascii="Calibri" w:hAnsi="Calibri"/>
                <w:sz w:val="18"/>
              </w:rPr>
              <w:t>drug.dispensed, stock.low, po.approved, invoice.generated, batch.expiring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hms.lab.events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Lab Module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OPD (Doctor EMR), Patient Portal, Audit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18"/>
              </w:rPr>
              <w:t>result.validated, report.generated, critical.alert, sample.rejected</w:t>
            </w:r>
          </w:p>
        </w:tc>
      </w:tr>
      <w:tr>
        <w:tc>
          <w:tcPr>
            <w:tcW w:type="dxa" w:w="2160"/>
            <w:shd w:fill="F7F9FC"/>
          </w:tcPr>
          <w:p>
            <w:r/>
            <w:r>
              <w:rPr>
                <w:rFonts w:ascii="Calibri" w:hAnsi="Calibri"/>
                <w:sz w:val="18"/>
              </w:rPr>
              <w:t>hms.finance.events</w:t>
            </w:r>
          </w:p>
        </w:tc>
        <w:tc>
          <w:tcPr>
            <w:tcW w:type="dxa" w:w="1728"/>
            <w:shd w:fill="F7F9FC"/>
          </w:tcPr>
          <w:p>
            <w:r/>
            <w:r>
              <w:rPr>
                <w:rFonts w:ascii="Calibri" w:hAnsi="Calibri"/>
                <w:sz w:val="18"/>
              </w:rPr>
              <w:t>Finance Module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BI, Patient Portal, Audit</w:t>
            </w:r>
          </w:p>
        </w:tc>
        <w:tc>
          <w:tcPr>
            <w:tcW w:type="dxa" w:w="4320"/>
            <w:shd w:fill="F7F9FC"/>
          </w:tcPr>
          <w:p>
            <w:r/>
            <w:r>
              <w:rPr>
                <w:rFonts w:ascii="Calibri" w:hAnsi="Calibri"/>
                <w:sz w:val="18"/>
              </w:rPr>
              <w:t>payment.received, bill.settled, day-close.done, refund.processed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hms.ipd.events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IPD Module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Pharmacy, Lab, Finance, Audit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18"/>
              </w:rPr>
              <w:t>patient.admitted, discharge.initiated, bed.released, vitals.critical</w:t>
            </w:r>
          </w:p>
        </w:tc>
      </w:tr>
      <w:tr>
        <w:tc>
          <w:tcPr>
            <w:tcW w:type="dxa" w:w="2160"/>
            <w:shd w:fill="F7F9FC"/>
          </w:tcPr>
          <w:p>
            <w:r/>
            <w:r>
              <w:rPr>
                <w:rFonts w:ascii="Calibri" w:hAnsi="Calibri"/>
                <w:sz w:val="18"/>
              </w:rPr>
              <w:t>hms.hr.events</w:t>
            </w:r>
          </w:p>
        </w:tc>
        <w:tc>
          <w:tcPr>
            <w:tcW w:type="dxa" w:w="1728"/>
            <w:shd w:fill="F7F9FC"/>
          </w:tcPr>
          <w:p>
            <w:r/>
            <w:r>
              <w:rPr>
                <w:rFonts w:ascii="Calibri" w:hAnsi="Calibri"/>
                <w:sz w:val="18"/>
              </w:rPr>
              <w:t>HR Module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Appointments, Finance, Audit</w:t>
            </w:r>
          </w:p>
        </w:tc>
        <w:tc>
          <w:tcPr>
            <w:tcW w:type="dxa" w:w="4320"/>
            <w:shd w:fill="F7F9FC"/>
          </w:tcPr>
          <w:p>
            <w:r/>
            <w:r>
              <w:rPr>
                <w:rFonts w:ascii="Calibri" w:hAnsi="Calibri"/>
                <w:sz w:val="18"/>
              </w:rPr>
              <w:t>doctor.profile.updated, employee.onboarded, payroll.processed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hms.audit.events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All Modules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Audit Log Writer, Security Monitor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18"/>
              </w:rPr>
              <w:t>All significant domain events for immutable audit trail</w:t>
            </w:r>
          </w:p>
        </w:tc>
      </w:tr>
    </w:tbl>
    <w:p>
      <w:pPr>
        <w:pStyle w:val="Heading2"/>
      </w:pPr>
      <w:r>
        <w:t>7.2 Event Processing Guarantees</w:t>
      </w:r>
    </w:p>
    <w:p>
      <w:pPr>
        <w:pStyle w:val="ListBullet"/>
      </w:pPr>
      <w:r/>
      <w:r>
        <w:rPr>
          <w:rFonts w:ascii="Calibri" w:hAnsi="Calibri"/>
          <w:b/>
          <w:sz w:val="20"/>
        </w:rPr>
        <w:t xml:space="preserve">Delivery Semantics: </w:t>
      </w:r>
      <w:r>
        <w:rPr>
          <w:rFonts w:ascii="Calibri" w:hAnsi="Calibri"/>
          <w:sz w:val="20"/>
        </w:rPr>
        <w:t>At-least-once delivery with idempotent consumers (deduplication via event ID)</w:t>
      </w:r>
    </w:p>
    <w:p>
      <w:pPr>
        <w:pStyle w:val="ListBullet"/>
      </w:pPr>
      <w:r/>
      <w:r>
        <w:rPr>
          <w:rFonts w:ascii="Calibri" w:hAnsi="Calibri"/>
          <w:b/>
          <w:sz w:val="20"/>
        </w:rPr>
        <w:t xml:space="preserve">Partitioning: </w:t>
      </w:r>
      <w:r>
        <w:rPr>
          <w:rFonts w:ascii="Calibri" w:hAnsi="Calibri"/>
          <w:sz w:val="20"/>
        </w:rPr>
        <w:t>All topics partitioned by tenantId for tenant-level ordering guarantees</w:t>
      </w:r>
    </w:p>
    <w:p>
      <w:pPr>
        <w:pStyle w:val="ListBullet"/>
      </w:pPr>
      <w:r/>
      <w:r>
        <w:rPr>
          <w:rFonts w:ascii="Calibri" w:hAnsi="Calibri"/>
          <w:b/>
          <w:sz w:val="20"/>
        </w:rPr>
        <w:t xml:space="preserve">Dead Letter Queue (DLQ): </w:t>
      </w:r>
      <w:r>
        <w:rPr>
          <w:rFonts w:ascii="Calibri" w:hAnsi="Calibri"/>
          <w:sz w:val="20"/>
        </w:rPr>
        <w:t>3 retry attempts with exponential backoff → DLQ for manual investigation</w:t>
      </w:r>
    </w:p>
    <w:p>
      <w:pPr>
        <w:pStyle w:val="ListBullet"/>
      </w:pPr>
      <w:r/>
      <w:r>
        <w:rPr>
          <w:rFonts w:ascii="Calibri" w:hAnsi="Calibri"/>
          <w:b/>
          <w:sz w:val="20"/>
        </w:rPr>
        <w:t xml:space="preserve">Fallback: </w:t>
      </w:r>
      <w:r>
        <w:rPr>
          <w:rFonts w:ascii="Calibri" w:hAnsi="Calibri"/>
          <w:sz w:val="20"/>
        </w:rPr>
        <w:t>Spring Batch fallback for Kafka outages — critical workflows continue via database polling</w:t>
      </w:r>
    </w:p>
    <w:p>
      <w:pPr>
        <w:pStyle w:val="ListBullet"/>
      </w:pPr>
      <w:r/>
      <w:r>
        <w:rPr>
          <w:rFonts w:ascii="Calibri" w:hAnsi="Calibri"/>
          <w:b/>
          <w:sz w:val="20"/>
        </w:rPr>
        <w:t xml:space="preserve">Event Schema: </w:t>
      </w:r>
      <w:r>
        <w:rPr>
          <w:rFonts w:ascii="Calibri" w:hAnsi="Calibri"/>
          <w:sz w:val="20"/>
        </w:rPr>
        <w:t>Apache Avro with Schema Registry for backward-compatible schema evolution</w:t>
      </w:r>
    </w:p>
    <w:p>
      <w:pPr>
        <w:pStyle w:val="ListBullet"/>
      </w:pPr>
      <w:r/>
      <w:r>
        <w:rPr>
          <w:rFonts w:ascii="Calibri" w:hAnsi="Calibri"/>
          <w:b/>
          <w:sz w:val="20"/>
        </w:rPr>
        <w:t xml:space="preserve">Consumer Lag Monitoring: </w:t>
      </w:r>
      <w:r>
        <w:rPr>
          <w:rFonts w:ascii="Calibri" w:hAnsi="Calibri"/>
          <w:sz w:val="20"/>
        </w:rPr>
        <w:t>Prometheus metrics; alert when lag &gt; 100 messages; auto-scaling consumer groups</w:t>
      </w:r>
    </w:p>
    <w:p>
      <w:pPr>
        <w:pStyle w:val="ListBullet"/>
      </w:pPr>
      <w:r/>
      <w:r>
        <w:rPr>
          <w:rFonts w:ascii="Calibri" w:hAnsi="Calibri"/>
          <w:b/>
          <w:sz w:val="20"/>
        </w:rPr>
        <w:t xml:space="preserve">Throughput Target: </w:t>
      </w:r>
      <w:r>
        <w:rPr>
          <w:rFonts w:ascii="Calibri" w:hAnsi="Calibri"/>
          <w:sz w:val="20"/>
        </w:rPr>
        <w:t>10,000+ events/second sustained; &lt; 2 second end-to-end event propagation</w:t>
      </w:r>
    </w:p>
    <w:p>
      <w:pPr>
        <w:pStyle w:val="Heading2"/>
      </w:pPr>
      <w:r>
        <w:t>7.3 Socket.IO Real-Time Updates</w:t>
      </w:r>
    </w:p>
    <w:p>
      <w:r>
        <w:t>Socket.IO provides real-time UI updates to connected clients. Kafka consumers emit Socket.IO events for scenarios requiring instant UI refresh:</w:t>
      </w:r>
    </w:p>
    <w:p>
      <w:pPr>
        <w:pStyle w:val="ListBullet"/>
      </w:pPr>
      <w:r/>
      <w:r>
        <w:rPr>
          <w:rFonts w:ascii="Calibri" w:hAnsi="Calibri"/>
          <w:sz w:val="20"/>
        </w:rPr>
        <w:t>Token queue position updates (OPD)</w:t>
      </w:r>
    </w:p>
    <w:p>
      <w:pPr>
        <w:pStyle w:val="ListBullet"/>
      </w:pPr>
      <w:r/>
      <w:r>
        <w:rPr>
          <w:rFonts w:ascii="Calibri" w:hAnsi="Calibri"/>
          <w:sz w:val="20"/>
        </w:rPr>
        <w:t>Prescription arrival in pharmacy worklist</w:t>
      </w:r>
    </w:p>
    <w:p>
      <w:pPr>
        <w:pStyle w:val="ListBullet"/>
      </w:pPr>
      <w:r/>
      <w:r>
        <w:rPr>
          <w:rFonts w:ascii="Calibri" w:hAnsi="Calibri"/>
          <w:sz w:val="20"/>
        </w:rPr>
        <w:t>Lab result availability for doctors</w:t>
      </w:r>
    </w:p>
    <w:p>
      <w:pPr>
        <w:pStyle w:val="ListBullet"/>
      </w:pPr>
      <w:r/>
      <w:r>
        <w:rPr>
          <w:rFonts w:ascii="Calibri" w:hAnsi="Calibri"/>
          <w:sz w:val="20"/>
        </w:rPr>
        <w:t>Bed map status changes (IPD)</w:t>
      </w:r>
    </w:p>
    <w:p>
      <w:pPr>
        <w:pStyle w:val="ListBullet"/>
      </w:pPr>
      <w:r/>
      <w:r>
        <w:rPr>
          <w:rFonts w:ascii="Calibri" w:hAnsi="Calibri"/>
          <w:sz w:val="20"/>
        </w:rPr>
        <w:t>Payment confirmations</w:t>
      </w:r>
    </w:p>
    <w:p>
      <w:pPr>
        <w:pStyle w:val="ListBullet"/>
      </w:pPr>
      <w:r/>
      <w:r>
        <w:rPr>
          <w:rFonts w:ascii="Calibri" w:hAnsi="Calibri"/>
          <w:sz w:val="20"/>
        </w:rPr>
        <w:t>Appointment slot availability changes</w:t>
      </w:r>
    </w:p>
    <w:p>
      <w:pPr>
        <w:pStyle w:val="ListBullet"/>
      </w:pPr>
      <w:r/>
      <w:r>
        <w:rPr>
          <w:rFonts w:ascii="Calibri" w:hAnsi="Calibri"/>
          <w:sz w:val="20"/>
        </w:rPr>
        <w:t>Critical alert notifications</w:t>
      </w:r>
    </w:p>
    <w:p>
      <w:r>
        <w:br w:type="page"/>
      </w:r>
    </w:p>
    <w:p>
      <w:pPr>
        <w:pStyle w:val="Heading1"/>
      </w:pPr>
      <w:r>
        <w:t>8. Deliverables &amp; Project Milestones</w:t>
      </w:r>
    </w:p>
    <w:p>
      <w:pPr>
        <w:pStyle w:val="Heading2"/>
      </w:pPr>
      <w:r>
        <w:t>8.1 Delivery Phases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92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1008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432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Deliverables</w:t>
            </w:r>
          </w:p>
        </w:tc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Milestone Gate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sz w:val="18"/>
              </w:rPr>
              <w:t>Phase 1: Discovery &amp; Architecture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18"/>
              </w:rPr>
              <w:t>4 weeks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18"/>
              </w:rPr>
              <w:t>SOW sign-off, Architecture Design Document (ADD), ER diagrams, API contract spec, RBAC matrix, Kafka topic design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Architecture Review Board approval</w:t>
            </w:r>
          </w:p>
        </w:tc>
      </w:tr>
      <w:tr>
        <w:tc>
          <w:tcPr>
            <w:tcW w:type="dxa" w:w="2592"/>
            <w:shd w:fill="F7F9FC"/>
          </w:tcPr>
          <w:p>
            <w:r/>
            <w:r>
              <w:rPr>
                <w:rFonts w:ascii="Calibri" w:hAnsi="Calibri"/>
                <w:sz w:val="18"/>
              </w:rPr>
              <w:t>Phase 2: Core Platform Setup</w:t>
            </w:r>
          </w:p>
        </w:tc>
        <w:tc>
          <w:tcPr>
            <w:tcW w:type="dxa" w:w="1008"/>
            <w:shd w:fill="F7F9FC"/>
          </w:tcPr>
          <w:p>
            <w:r/>
            <w:r>
              <w:rPr>
                <w:rFonts w:ascii="Calibri" w:hAnsi="Calibri"/>
                <w:sz w:val="18"/>
              </w:rPr>
              <w:t>3 weeks</w:t>
            </w:r>
          </w:p>
        </w:tc>
        <w:tc>
          <w:tcPr>
            <w:tcW w:type="dxa" w:w="4320"/>
            <w:shd w:fill="F7F9FC"/>
          </w:tcPr>
          <w:p>
            <w:r/>
            <w:r>
              <w:rPr>
                <w:rFonts w:ascii="Calibri" w:hAnsi="Calibri"/>
                <w:sz w:val="18"/>
              </w:rPr>
              <w:t>Multi-tenant schema engine, RBAC engine, JWT+MFA auth, Kafka cluster, CI/CD pipeline, K8s namespaces, Redis/ES setup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Platform smoke test passed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sz w:val="18"/>
              </w:rPr>
              <w:t>Phase 3: OPD + Patient Registration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18"/>
              </w:rPr>
              <w:t>4 weeks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18"/>
              </w:rPr>
              <w:t>M01 OPD (7 screens), Patient master, Token queue, SOAP EMR, E-prescription, Lab order, Discharge summary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OPD end-to-end demo accepted</w:t>
            </w:r>
          </w:p>
        </w:tc>
      </w:tr>
      <w:tr>
        <w:tc>
          <w:tcPr>
            <w:tcW w:type="dxa" w:w="2592"/>
            <w:shd w:fill="F7F9FC"/>
          </w:tcPr>
          <w:p>
            <w:r/>
            <w:r>
              <w:rPr>
                <w:rFonts w:ascii="Calibri" w:hAnsi="Calibri"/>
                <w:sz w:val="18"/>
              </w:rPr>
              <w:t>Phase 4: Pharmacy + Laboratory</w:t>
            </w:r>
          </w:p>
        </w:tc>
        <w:tc>
          <w:tcPr>
            <w:tcW w:type="dxa" w:w="1008"/>
            <w:shd w:fill="F7F9FC"/>
          </w:tcPr>
          <w:p>
            <w:r/>
            <w:r>
              <w:rPr>
                <w:rFonts w:ascii="Calibri" w:hAnsi="Calibri"/>
                <w:sz w:val="18"/>
              </w:rPr>
              <w:t>5 weeks</w:t>
            </w:r>
          </w:p>
        </w:tc>
        <w:tc>
          <w:tcPr>
            <w:tcW w:type="dxa" w:w="4320"/>
            <w:shd w:fill="F7F9FC"/>
          </w:tcPr>
          <w:p>
            <w:r/>
            <w:r>
              <w:rPr>
                <w:rFonts w:ascii="Calibri" w:hAnsi="Calibri"/>
                <w:sz w:val="18"/>
              </w:rPr>
              <w:t>M02 Pharmacy (7 screens), M03 Lab (6 screens), FIFO engine, Drug interaction checker, Barcode tracking, Pharmacy billing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Pharmacy→Lab→Finance flow validated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sz w:val="18"/>
              </w:rPr>
              <w:t>Phase 5: Finance + HR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18"/>
              </w:rPr>
              <w:t>5 weeks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18"/>
              </w:rPr>
              <w:t>M04 Finance (6 screens), M05 HR (7 screens), TPA/Insurance, GST billing, Doctor profiles, Payroll engine, Biometric integration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Payroll run + GST invoice verified</w:t>
            </w:r>
          </w:p>
        </w:tc>
      </w:tr>
      <w:tr>
        <w:tc>
          <w:tcPr>
            <w:tcW w:type="dxa" w:w="2592"/>
            <w:shd w:fill="F7F9FC"/>
          </w:tcPr>
          <w:p>
            <w:r/>
            <w:r>
              <w:rPr>
                <w:rFonts w:ascii="Calibri" w:hAnsi="Calibri"/>
                <w:sz w:val="18"/>
              </w:rPr>
              <w:t>Phase 6: Inventory + BI + Portal</w:t>
            </w:r>
          </w:p>
        </w:tc>
        <w:tc>
          <w:tcPr>
            <w:tcW w:type="dxa" w:w="1008"/>
            <w:shd w:fill="F7F9FC"/>
          </w:tcPr>
          <w:p>
            <w:r/>
            <w:r>
              <w:rPr>
                <w:rFonts w:ascii="Calibri" w:hAnsi="Calibri"/>
                <w:sz w:val="18"/>
              </w:rPr>
              <w:t>5 weeks</w:t>
            </w:r>
          </w:p>
        </w:tc>
        <w:tc>
          <w:tcPr>
            <w:tcW w:type="dxa" w:w="4320"/>
            <w:shd w:fill="F7F9FC"/>
          </w:tcPr>
          <w:p>
            <w:r/>
            <w:r>
              <w:rPr>
                <w:rFonts w:ascii="Calibri" w:hAnsi="Calibri"/>
                <w:sz w:val="18"/>
              </w:rPr>
              <w:t>M06 Inventory (5 screens), M07 BI (4 screens), M08 Patient Portal PWA (5 screens), Report builder, KPI monitor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Patient self-booking flow validated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sz w:val="18"/>
              </w:rPr>
              <w:t>Phase 7: IPD + Appointments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18"/>
              </w:rPr>
              <w:t>4 weeks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18"/>
              </w:rPr>
              <w:t>M10 IPD (5 screens), M11 Appointments (4 screens), Bed management, Nursing station, Doctor rounds, Schedule engine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IPD admission→discharge flow validated</w:t>
            </w:r>
          </w:p>
        </w:tc>
      </w:tr>
      <w:tr>
        <w:tc>
          <w:tcPr>
            <w:tcW w:type="dxa" w:w="2592"/>
            <w:shd w:fill="F7F9FC"/>
          </w:tcPr>
          <w:p>
            <w:r/>
            <w:r>
              <w:rPr>
                <w:rFonts w:ascii="Calibri" w:hAnsi="Calibri"/>
                <w:sz w:val="18"/>
              </w:rPr>
              <w:t>Phase 8: Audit + Platform Admin</w:t>
            </w:r>
          </w:p>
        </w:tc>
        <w:tc>
          <w:tcPr>
            <w:tcW w:type="dxa" w:w="1008"/>
            <w:shd w:fill="F7F9FC"/>
          </w:tcPr>
          <w:p>
            <w:r/>
            <w:r>
              <w:rPr>
                <w:rFonts w:ascii="Calibri" w:hAnsi="Calibri"/>
                <w:sz w:val="18"/>
              </w:rPr>
              <w:t>3 weeks</w:t>
            </w:r>
          </w:p>
        </w:tc>
        <w:tc>
          <w:tcPr>
            <w:tcW w:type="dxa" w:w="4320"/>
            <w:shd w:fill="F7F9FC"/>
          </w:tcPr>
          <w:p>
            <w:r/>
            <w:r>
              <w:rPr>
                <w:rFonts w:ascii="Calibri" w:hAnsi="Calibri"/>
                <w:sz w:val="18"/>
              </w:rPr>
              <w:t>M09 Audit (4 screens), M12 Platform Admin (4 screens), DISHA compliance, Security monitor, Tenant onboarding wizard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Tenant provisioning &lt; 5 min validated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sz w:val="18"/>
              </w:rPr>
              <w:t>Phase 9: Integration Testing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18"/>
              </w:rPr>
              <w:t>3 weeks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18"/>
              </w:rPr>
              <w:t>End-to-end integration tests, Performance testing, Security testing (VAPT), Cross-module workflow validation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All P1/P2 defects resolved</w:t>
            </w:r>
          </w:p>
        </w:tc>
      </w:tr>
      <w:tr>
        <w:tc>
          <w:tcPr>
            <w:tcW w:type="dxa" w:w="2592"/>
            <w:shd w:fill="F7F9FC"/>
          </w:tcPr>
          <w:p>
            <w:r/>
            <w:r>
              <w:rPr>
                <w:rFonts w:ascii="Calibri" w:hAnsi="Calibri"/>
                <w:sz w:val="18"/>
              </w:rPr>
              <w:t>Phase 10: UAT &amp; Bug Fixes</w:t>
            </w:r>
          </w:p>
        </w:tc>
        <w:tc>
          <w:tcPr>
            <w:tcW w:type="dxa" w:w="1008"/>
            <w:shd w:fill="F7F9FC"/>
          </w:tcPr>
          <w:p>
            <w:r/>
            <w:r>
              <w:rPr>
                <w:rFonts w:ascii="Calibri" w:hAnsi="Calibri"/>
                <w:sz w:val="18"/>
              </w:rPr>
              <w:t>4 weeks</w:t>
            </w:r>
          </w:p>
        </w:tc>
        <w:tc>
          <w:tcPr>
            <w:tcW w:type="dxa" w:w="4320"/>
            <w:shd w:fill="F7F9FC"/>
          </w:tcPr>
          <w:p>
            <w:r/>
            <w:r>
              <w:rPr>
                <w:rFonts w:ascii="Calibri" w:hAnsi="Calibri"/>
                <w:sz w:val="18"/>
              </w:rPr>
              <w:t>User Acceptance Testing with client team, Bug fixes, Performance optimization, Documentation finalization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UAT sign-off from client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sz w:val="18"/>
              </w:rPr>
              <w:t>Phase 11: Deployment &amp; Go-Live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18"/>
              </w:rPr>
              <w:t>2 weeks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18"/>
              </w:rPr>
              <w:t>Production deployment, DNS cutover, Data migration (if applicable), Go-live checklist, War room support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Go-live approval from client</w:t>
            </w:r>
          </w:p>
        </w:tc>
      </w:tr>
      <w:tr>
        <w:tc>
          <w:tcPr>
            <w:tcW w:type="dxa" w:w="2592"/>
            <w:shd w:fill="F7F9FC"/>
          </w:tcPr>
          <w:p>
            <w:r/>
            <w:r>
              <w:rPr>
                <w:rFonts w:ascii="Calibri" w:hAnsi="Calibri"/>
                <w:sz w:val="18"/>
              </w:rPr>
              <w:t>Phase 12: Hypercare &amp; Stabilization</w:t>
            </w:r>
          </w:p>
        </w:tc>
        <w:tc>
          <w:tcPr>
            <w:tcW w:type="dxa" w:w="1008"/>
            <w:shd w:fill="F7F9FC"/>
          </w:tcPr>
          <w:p>
            <w:r/>
            <w:r>
              <w:rPr>
                <w:rFonts w:ascii="Calibri" w:hAnsi="Calibri"/>
                <w:sz w:val="18"/>
              </w:rPr>
              <w:t>4 weeks</w:t>
            </w:r>
          </w:p>
        </w:tc>
        <w:tc>
          <w:tcPr>
            <w:tcW w:type="dxa" w:w="4320"/>
            <w:shd w:fill="F7F9FC"/>
          </w:tcPr>
          <w:p>
            <w:r/>
            <w:r>
              <w:rPr>
                <w:rFonts w:ascii="Calibri" w:hAnsi="Calibri"/>
                <w:sz w:val="18"/>
              </w:rPr>
              <w:t>On-site/remote support, Bug fixes, Performance tuning, User training completion, Knowledge transfer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Hypercare exit criteria met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sz w:val="18"/>
              </w:rPr>
              <w:t>Phase 13: Warranty Support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18"/>
              </w:rPr>
              <w:t>12 weeks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18"/>
              </w:rPr>
              <w:t>Defect resolution, Minor enhancements, Monthly health reports, SLA compliance reporting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Warranty period closure</w:t>
            </w:r>
          </w:p>
        </w:tc>
      </w:tr>
    </w:tbl>
    <w:p>
      <w:pPr>
        <w:pStyle w:val="Heading2"/>
      </w:pPr>
      <w:r>
        <w:t>8.2 Total Project Timeline</w:t>
      </w:r>
    </w:p>
    <w:p>
      <w:r>
        <w:t>Total estimated duration: 54 weeks (approximately 13 months) from SOW sign-off to warranty closure.</w:t>
      </w:r>
    </w:p>
    <w:p>
      <w:pPr>
        <w:shd w:fill="FFF7ED"/>
      </w:pPr>
      <w:r>
        <w:rPr>
          <w:rFonts w:ascii="Calibri" w:hAnsi="Calibri"/>
          <w:b/>
          <w:color w:val="B45309"/>
          <w:sz w:val="18"/>
        </w:rPr>
        <w:t xml:space="preserve">NOTE: </w:t>
      </w:r>
      <w:r>
        <w:rPr>
          <w:rFonts w:ascii="Calibri" w:hAnsi="Calibri"/>
          <w:sz w:val="18"/>
        </w:rPr>
        <w:t>Timeline assumes dedicated client SPOC availability, timely feedback (5 business days SLA for approvals), and no scope changes beyond the defined Change Control process.</w:t>
      </w:r>
    </w:p>
    <w:p>
      <w:pPr>
        <w:pStyle w:val="Heading2"/>
      </w:pPr>
      <w:r>
        <w:t>8.3 Deliverable Artifacts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60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Deliverable</w:t>
            </w:r>
          </w:p>
        </w:tc>
        <w:tc>
          <w:tcPr>
            <w:tcW w:type="dxa" w:w="216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Format</w:t>
            </w:r>
          </w:p>
        </w:tc>
        <w:tc>
          <w:tcPr>
            <w:tcW w:type="dxa" w:w="1728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Approval Required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Statement of Work (this document)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DOCX/PDF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Phase 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Yes — Client Sponsor + CTO</w:t>
            </w:r>
          </w:p>
        </w:tc>
      </w:tr>
      <w:tr>
        <w:tc>
          <w:tcPr>
            <w:tcW w:type="dxa" w:w="3600"/>
            <w:shd w:fill="F7F9FC"/>
          </w:tcPr>
          <w:p>
            <w:r/>
            <w:r>
              <w:rPr>
                <w:rFonts w:ascii="Calibri" w:hAnsi="Calibri"/>
                <w:sz w:val="18"/>
              </w:rPr>
              <w:t>Architecture Design Document (ADD)</w:t>
            </w:r>
          </w:p>
        </w:tc>
        <w:tc>
          <w:tcPr>
            <w:tcW w:type="dxa" w:w="2160"/>
            <w:shd w:fill="F7F9FC"/>
          </w:tcPr>
          <w:p>
            <w:r/>
            <w:r>
              <w:rPr>
                <w:rFonts w:ascii="Calibri" w:hAnsi="Calibri"/>
                <w:sz w:val="18"/>
              </w:rPr>
              <w:t>DOCX/PDF + Diagrams</w:t>
            </w:r>
          </w:p>
        </w:tc>
        <w:tc>
          <w:tcPr>
            <w:tcW w:type="dxa" w:w="1728"/>
            <w:shd w:fill="F7F9FC"/>
          </w:tcPr>
          <w:p>
            <w:r/>
            <w:r>
              <w:rPr>
                <w:rFonts w:ascii="Calibri" w:hAnsi="Calibri"/>
                <w:sz w:val="18"/>
              </w:rPr>
              <w:t>Phase 1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Yes — Architecture Review Board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ER Diagram (all 12 modules)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Draw.io / PNG / PDF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Phase 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Yes — Technical Lead</w:t>
            </w:r>
          </w:p>
        </w:tc>
      </w:tr>
      <w:tr>
        <w:tc>
          <w:tcPr>
            <w:tcW w:type="dxa" w:w="3600"/>
            <w:shd w:fill="F7F9FC"/>
          </w:tcPr>
          <w:p>
            <w:r/>
            <w:r>
              <w:rPr>
                <w:rFonts w:ascii="Calibri" w:hAnsi="Calibri"/>
                <w:sz w:val="18"/>
              </w:rPr>
              <w:t>API Contract Specification</w:t>
            </w:r>
          </w:p>
        </w:tc>
        <w:tc>
          <w:tcPr>
            <w:tcW w:type="dxa" w:w="2160"/>
            <w:shd w:fill="F7F9FC"/>
          </w:tcPr>
          <w:p>
            <w:r/>
            <w:r>
              <w:rPr>
                <w:rFonts w:ascii="Calibri" w:hAnsi="Calibri"/>
                <w:sz w:val="18"/>
              </w:rPr>
              <w:t>OpenAPI 3.0 (Swagger)</w:t>
            </w:r>
          </w:p>
        </w:tc>
        <w:tc>
          <w:tcPr>
            <w:tcW w:type="dxa" w:w="1728"/>
            <w:shd w:fill="F7F9FC"/>
          </w:tcPr>
          <w:p>
            <w:r/>
            <w:r>
              <w:rPr>
                <w:rFonts w:ascii="Calibri" w:hAnsi="Calibri"/>
                <w:sz w:val="18"/>
              </w:rPr>
              <w:t>Phase 1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Yes — Technical Lead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RBAC Permission Matrix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Excel + DOCX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Phase 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Yes — Client IT Head</w:t>
            </w:r>
          </w:p>
        </w:tc>
      </w:tr>
      <w:tr>
        <w:tc>
          <w:tcPr>
            <w:tcW w:type="dxa" w:w="3600"/>
            <w:shd w:fill="F7F9FC"/>
          </w:tcPr>
          <w:p>
            <w:r/>
            <w:r>
              <w:rPr>
                <w:rFonts w:ascii="Calibri" w:hAnsi="Calibri"/>
                <w:sz w:val="18"/>
              </w:rPr>
              <w:t>POC Wireframes (80+ screens)</w:t>
            </w:r>
          </w:p>
        </w:tc>
        <w:tc>
          <w:tcPr>
            <w:tcW w:type="dxa" w:w="2160"/>
            <w:shd w:fill="F7F9FC"/>
          </w:tcPr>
          <w:p>
            <w:r/>
            <w:r>
              <w:rPr>
                <w:rFonts w:ascii="Calibri" w:hAnsi="Calibri"/>
                <w:sz w:val="18"/>
              </w:rPr>
              <w:t>HTML (interactive)</w:t>
            </w:r>
          </w:p>
        </w:tc>
        <w:tc>
          <w:tcPr>
            <w:tcW w:type="dxa" w:w="1728"/>
            <w:shd w:fill="F7F9FC"/>
          </w:tcPr>
          <w:p>
            <w:r/>
            <w:r>
              <w:rPr>
                <w:rFonts w:ascii="Calibri" w:hAnsi="Calibri"/>
                <w:sz w:val="18"/>
              </w:rPr>
              <w:t>Phase 1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Yes — Client UX Sponsor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Source Code Repository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GitHub (private)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Ongoing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N/A</w:t>
            </w:r>
          </w:p>
        </w:tc>
      </w:tr>
      <w:tr>
        <w:tc>
          <w:tcPr>
            <w:tcW w:type="dxa" w:w="3600"/>
            <w:shd w:fill="F7F9FC"/>
          </w:tcPr>
          <w:p>
            <w:r/>
            <w:r>
              <w:rPr>
                <w:rFonts w:ascii="Calibri" w:hAnsi="Calibri"/>
                <w:sz w:val="18"/>
              </w:rPr>
              <w:t>Unit Test Reports</w:t>
            </w:r>
          </w:p>
        </w:tc>
        <w:tc>
          <w:tcPr>
            <w:tcW w:type="dxa" w:w="2160"/>
            <w:shd w:fill="F7F9FC"/>
          </w:tcPr>
          <w:p>
            <w:r/>
            <w:r>
              <w:rPr>
                <w:rFonts w:ascii="Calibri" w:hAnsi="Calibri"/>
                <w:sz w:val="18"/>
              </w:rPr>
              <w:t>JUnit XML + HTML</w:t>
            </w:r>
          </w:p>
        </w:tc>
        <w:tc>
          <w:tcPr>
            <w:tcW w:type="dxa" w:w="1728"/>
            <w:shd w:fill="F7F9FC"/>
          </w:tcPr>
          <w:p>
            <w:r/>
            <w:r>
              <w:rPr>
                <w:rFonts w:ascii="Calibri" w:hAnsi="Calibri"/>
                <w:sz w:val="18"/>
              </w:rPr>
              <w:t>Each phase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No — Reviewed in sprint demos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Integration Test Report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DOCX/PDF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Phase 9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Yes — Client QA Lead</w:t>
            </w:r>
          </w:p>
        </w:tc>
      </w:tr>
      <w:tr>
        <w:tc>
          <w:tcPr>
            <w:tcW w:type="dxa" w:w="3600"/>
            <w:shd w:fill="F7F9FC"/>
          </w:tcPr>
          <w:p>
            <w:r/>
            <w:r>
              <w:rPr>
                <w:rFonts w:ascii="Calibri" w:hAnsi="Calibri"/>
                <w:sz w:val="18"/>
              </w:rPr>
              <w:t>VAPT (Security) Report</w:t>
            </w:r>
          </w:p>
        </w:tc>
        <w:tc>
          <w:tcPr>
            <w:tcW w:type="dxa" w:w="2160"/>
            <w:shd w:fill="F7F9FC"/>
          </w:tcPr>
          <w:p>
            <w:r/>
            <w:r>
              <w:rPr>
                <w:rFonts w:ascii="Calibri" w:hAnsi="Calibri"/>
                <w:sz w:val="18"/>
              </w:rPr>
              <w:t>PDF</w:t>
            </w:r>
          </w:p>
        </w:tc>
        <w:tc>
          <w:tcPr>
            <w:tcW w:type="dxa" w:w="1728"/>
            <w:shd w:fill="F7F9FC"/>
          </w:tcPr>
          <w:p>
            <w:r/>
            <w:r>
              <w:rPr>
                <w:rFonts w:ascii="Calibri" w:hAnsi="Calibri"/>
                <w:sz w:val="18"/>
              </w:rPr>
              <w:t>Phase 9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Yes — Client IT Security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Performance Test Report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PDF + Grafana exports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Phase 9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Yes — Technical Lead</w:t>
            </w:r>
          </w:p>
        </w:tc>
      </w:tr>
      <w:tr>
        <w:tc>
          <w:tcPr>
            <w:tcW w:type="dxa" w:w="3600"/>
            <w:shd w:fill="F7F9FC"/>
          </w:tcPr>
          <w:p>
            <w:r/>
            <w:r>
              <w:rPr>
                <w:rFonts w:ascii="Calibri" w:hAnsi="Calibri"/>
                <w:sz w:val="18"/>
              </w:rPr>
              <w:t>UAT Test Cases &amp; Results</w:t>
            </w:r>
          </w:p>
        </w:tc>
        <w:tc>
          <w:tcPr>
            <w:tcW w:type="dxa" w:w="2160"/>
            <w:shd w:fill="F7F9FC"/>
          </w:tcPr>
          <w:p>
            <w:r/>
            <w:r>
              <w:rPr>
                <w:rFonts w:ascii="Calibri" w:hAnsi="Calibri"/>
                <w:sz w:val="18"/>
              </w:rPr>
              <w:t>Excel</w:t>
            </w:r>
          </w:p>
        </w:tc>
        <w:tc>
          <w:tcPr>
            <w:tcW w:type="dxa" w:w="1728"/>
            <w:shd w:fill="F7F9FC"/>
          </w:tcPr>
          <w:p>
            <w:r/>
            <w:r>
              <w:rPr>
                <w:rFonts w:ascii="Calibri" w:hAnsi="Calibri"/>
                <w:sz w:val="18"/>
              </w:rPr>
              <w:t>Phase 10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Yes — Client UAT Lead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Deployment Runbook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DOCX/PDF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Phase 11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Yes — DevOps Lead</w:t>
            </w:r>
          </w:p>
        </w:tc>
      </w:tr>
      <w:tr>
        <w:tc>
          <w:tcPr>
            <w:tcW w:type="dxa" w:w="3600"/>
            <w:shd w:fill="F7F9FC"/>
          </w:tcPr>
          <w:p>
            <w:r/>
            <w:r>
              <w:rPr>
                <w:rFonts w:ascii="Calibri" w:hAnsi="Calibri"/>
                <w:sz w:val="18"/>
              </w:rPr>
              <w:t>Operations Manual</w:t>
            </w:r>
          </w:p>
        </w:tc>
        <w:tc>
          <w:tcPr>
            <w:tcW w:type="dxa" w:w="2160"/>
            <w:shd w:fill="F7F9FC"/>
          </w:tcPr>
          <w:p>
            <w:r/>
            <w:r>
              <w:rPr>
                <w:rFonts w:ascii="Calibri" w:hAnsi="Calibri"/>
                <w:sz w:val="18"/>
              </w:rPr>
              <w:t>DOCX/PDF</w:t>
            </w:r>
          </w:p>
        </w:tc>
        <w:tc>
          <w:tcPr>
            <w:tcW w:type="dxa" w:w="1728"/>
            <w:shd w:fill="F7F9FC"/>
          </w:tcPr>
          <w:p>
            <w:r/>
            <w:r>
              <w:rPr>
                <w:rFonts w:ascii="Calibri" w:hAnsi="Calibri"/>
                <w:sz w:val="18"/>
              </w:rPr>
              <w:t>Phase 11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Yes — Client IT Ops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User Training Manual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DOCX/PDF + Videos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Phase 12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Yes — Client Training Lead</w:t>
            </w:r>
          </w:p>
        </w:tc>
      </w:tr>
      <w:tr>
        <w:tc>
          <w:tcPr>
            <w:tcW w:type="dxa" w:w="3600"/>
            <w:shd w:fill="F7F9FC"/>
          </w:tcPr>
          <w:p>
            <w:r/>
            <w:r>
              <w:rPr>
                <w:rFonts w:ascii="Calibri" w:hAnsi="Calibri"/>
                <w:sz w:val="18"/>
              </w:rPr>
              <w:t>Admin Training Manual</w:t>
            </w:r>
          </w:p>
        </w:tc>
        <w:tc>
          <w:tcPr>
            <w:tcW w:type="dxa" w:w="2160"/>
            <w:shd w:fill="F7F9FC"/>
          </w:tcPr>
          <w:p>
            <w:r/>
            <w:r>
              <w:rPr>
                <w:rFonts w:ascii="Calibri" w:hAnsi="Calibri"/>
                <w:sz w:val="18"/>
              </w:rPr>
              <w:t>DOCX/PDF</w:t>
            </w:r>
          </w:p>
        </w:tc>
        <w:tc>
          <w:tcPr>
            <w:tcW w:type="dxa" w:w="1728"/>
            <w:shd w:fill="F7F9FC"/>
          </w:tcPr>
          <w:p>
            <w:r/>
            <w:r>
              <w:rPr>
                <w:rFonts w:ascii="Calibri" w:hAnsi="Calibri"/>
                <w:sz w:val="18"/>
              </w:rPr>
              <w:t>Phase 12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Yes — Client IT Admin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Knowledge Transfer Document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DOCX/PDF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Phase 12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Yes — Client CTO</w:t>
            </w:r>
          </w:p>
        </w:tc>
      </w:tr>
      <w:tr>
        <w:tc>
          <w:tcPr>
            <w:tcW w:type="dxa" w:w="3600"/>
            <w:shd w:fill="F7F9FC"/>
          </w:tcPr>
          <w:p>
            <w:r/>
            <w:r>
              <w:rPr>
                <w:rFonts w:ascii="Calibri" w:hAnsi="Calibri"/>
                <w:sz w:val="18"/>
              </w:rPr>
              <w:t>Monthly Health Reports</w:t>
            </w:r>
          </w:p>
        </w:tc>
        <w:tc>
          <w:tcPr>
            <w:tcW w:type="dxa" w:w="2160"/>
            <w:shd w:fill="F7F9FC"/>
          </w:tcPr>
          <w:p>
            <w:r/>
            <w:r>
              <w:rPr>
                <w:rFonts w:ascii="Calibri" w:hAnsi="Calibri"/>
                <w:sz w:val="18"/>
              </w:rPr>
              <w:t>PDF</w:t>
            </w:r>
          </w:p>
        </w:tc>
        <w:tc>
          <w:tcPr>
            <w:tcW w:type="dxa" w:w="1728"/>
            <w:shd w:fill="F7F9FC"/>
          </w:tcPr>
          <w:p>
            <w:r/>
            <w:r>
              <w:rPr>
                <w:rFonts w:ascii="Calibri" w:hAnsi="Calibri"/>
                <w:sz w:val="18"/>
              </w:rPr>
              <w:t>Phase 13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No — For information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Warranty Closure Report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DOCX/PDF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Phase 13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Yes — Client Sponsor</w:t>
            </w:r>
          </w:p>
        </w:tc>
      </w:tr>
    </w:tbl>
    <w:p>
      <w:r>
        <w:br w:type="page"/>
      </w:r>
    </w:p>
    <w:p>
      <w:pPr>
        <w:pStyle w:val="Heading1"/>
      </w:pPr>
      <w:r>
        <w:t>9. Service Level Agreements (SLA)</w:t>
      </w:r>
    </w:p>
    <w:p>
      <w:pPr>
        <w:pStyle w:val="Heading2"/>
      </w:pPr>
      <w:r>
        <w:t>9.1 Platform Availability SLA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592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360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Measurement</w:t>
            </w:r>
          </w:p>
        </w:tc>
        <w:tc>
          <w:tcPr>
            <w:tcW w:type="dxa" w:w="216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Penalty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Monthly Uptime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18"/>
              </w:rPr>
              <w:t>99.9%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Kubernetes health probes; calculated excluding planned maintenance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5% credit per 0.1% below target</w:t>
            </w:r>
          </w:p>
        </w:tc>
      </w:tr>
      <w:tr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Planned Maintenance Window</w:t>
            </w:r>
          </w:p>
        </w:tc>
        <w:tc>
          <w:tcPr>
            <w:tcW w:type="dxa" w:w="2592"/>
            <w:shd w:fill="F7F9FC"/>
          </w:tcPr>
          <w:p>
            <w:r/>
            <w:r>
              <w:rPr>
                <w:rFonts w:ascii="Calibri" w:hAnsi="Calibri"/>
                <w:sz w:val="18"/>
              </w:rPr>
              <w:t>Sunday 02:00-06:00 IST</w:t>
            </w:r>
          </w:p>
        </w:tc>
        <w:tc>
          <w:tcPr>
            <w:tcW w:type="dxa" w:w="3600"/>
            <w:shd w:fill="F7F9FC"/>
          </w:tcPr>
          <w:p>
            <w:r/>
            <w:r>
              <w:rPr>
                <w:rFonts w:ascii="Calibri" w:hAnsi="Calibri"/>
                <w:sz w:val="18"/>
              </w:rPr>
              <w:t>Advance notice: 72 hours minimum</w:t>
            </w:r>
          </w:p>
        </w:tc>
        <w:tc>
          <w:tcPr>
            <w:tcW w:type="dxa" w:w="2160"/>
            <w:shd w:fill="F7F9FC"/>
          </w:tcPr>
          <w:p>
            <w:r/>
            <w:r>
              <w:rPr>
                <w:rFonts w:ascii="Calibri" w:hAnsi="Calibri"/>
                <w:sz w:val="18"/>
              </w:rPr>
              <w:t>No penalty if within window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Unplanned Downtime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18"/>
              </w:rPr>
              <w:t>&lt; 43 min/month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Cumulative unplanned outage minutes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Covered under uptime SLA</w:t>
            </w:r>
          </w:p>
        </w:tc>
      </w:tr>
    </w:tbl>
    <w:p>
      <w:pPr>
        <w:pStyle w:val="Heading2"/>
      </w:pPr>
      <w:r>
        <w:t>9.2 Incident Response SLA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44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Definition</w:t>
            </w:r>
          </w:p>
        </w:tc>
        <w:tc>
          <w:tcPr>
            <w:tcW w:type="dxa" w:w="144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Response Time</w:t>
            </w:r>
          </w:p>
        </w:tc>
        <w:tc>
          <w:tcPr>
            <w:tcW w:type="dxa" w:w="144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Resolution Time</w:t>
            </w:r>
          </w:p>
        </w:tc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Escalation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18"/>
              </w:rPr>
              <w:t>P1 — Critical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Production down; data loss risk; all users affected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18"/>
              </w:rPr>
              <w:t>15 minutes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18"/>
              </w:rPr>
              <w:t>4 hours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Immediate: Delivery Lead + CTO</w:t>
            </w:r>
          </w:p>
        </w:tc>
      </w:tr>
      <w:tr>
        <w:tc>
          <w:tcPr>
            <w:tcW w:type="dxa" w:w="1440"/>
            <w:shd w:fill="F7F9FC"/>
          </w:tcPr>
          <w:p>
            <w:r/>
            <w:r>
              <w:rPr>
                <w:rFonts w:ascii="Calibri" w:hAnsi="Calibri"/>
                <w:sz w:val="18"/>
              </w:rPr>
              <w:t>P2 — High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Major feature unavailable; workaround exists</w:t>
            </w:r>
          </w:p>
        </w:tc>
        <w:tc>
          <w:tcPr>
            <w:tcW w:type="dxa" w:w="1440"/>
            <w:shd w:fill="F7F9FC"/>
          </w:tcPr>
          <w:p>
            <w:r/>
            <w:r>
              <w:rPr>
                <w:rFonts w:ascii="Calibri" w:hAnsi="Calibri"/>
                <w:sz w:val="18"/>
              </w:rPr>
              <w:t>1 hour</w:t>
            </w:r>
          </w:p>
        </w:tc>
        <w:tc>
          <w:tcPr>
            <w:tcW w:type="dxa" w:w="1440"/>
            <w:shd w:fill="F7F9FC"/>
          </w:tcPr>
          <w:p>
            <w:r/>
            <w:r>
              <w:rPr>
                <w:rFonts w:ascii="Calibri" w:hAnsi="Calibri"/>
                <w:sz w:val="18"/>
              </w:rPr>
              <w:t>8 hours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2h: Delivery Lead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18"/>
              </w:rPr>
              <w:t>P3 — Medium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Minor feature issue; cosmetic defects with impact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18"/>
              </w:rPr>
              <w:t>4 hours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18"/>
              </w:rPr>
              <w:t>3 business days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24h: Tech Lead</w:t>
            </w:r>
          </w:p>
        </w:tc>
      </w:tr>
      <w:tr>
        <w:tc>
          <w:tcPr>
            <w:tcW w:type="dxa" w:w="1440"/>
            <w:shd w:fill="F7F9FC"/>
          </w:tcPr>
          <w:p>
            <w:r/>
            <w:r>
              <w:rPr>
                <w:rFonts w:ascii="Calibri" w:hAnsi="Calibri"/>
                <w:sz w:val="18"/>
              </w:rPr>
              <w:t>P4 — Low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Enhancement request; cosmetic issue; documentation</w:t>
            </w:r>
          </w:p>
        </w:tc>
        <w:tc>
          <w:tcPr>
            <w:tcW w:type="dxa" w:w="1440"/>
            <w:shd w:fill="F7F9FC"/>
          </w:tcPr>
          <w:p>
            <w:r/>
            <w:r>
              <w:rPr>
                <w:rFonts w:ascii="Calibri" w:hAnsi="Calibri"/>
                <w:sz w:val="18"/>
              </w:rPr>
              <w:t>1 business day</w:t>
            </w:r>
          </w:p>
        </w:tc>
        <w:tc>
          <w:tcPr>
            <w:tcW w:type="dxa" w:w="1440"/>
            <w:shd w:fill="F7F9FC"/>
          </w:tcPr>
          <w:p>
            <w:r/>
            <w:r>
              <w:rPr>
                <w:rFonts w:ascii="Calibri" w:hAnsi="Calibri"/>
                <w:sz w:val="18"/>
              </w:rPr>
              <w:t>Next sprint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Standard backlog grooming</w:t>
            </w:r>
          </w:p>
        </w:tc>
      </w:tr>
    </w:tbl>
    <w:p>
      <w:pPr>
        <w:pStyle w:val="Heading2"/>
      </w:pPr>
      <w:r>
        <w:t>9.3 Performance SLA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360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Measurement Tool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API Response Time (P50)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&lt; 200ms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APM (Datadog/New Relic)</w:t>
            </w:r>
          </w:p>
        </w:tc>
      </w:tr>
      <w:tr>
        <w:tc>
          <w:tcPr>
            <w:tcW w:type="dxa" w:w="3600"/>
            <w:shd w:fill="F7F9FC"/>
          </w:tcPr>
          <w:p>
            <w:r/>
            <w:r>
              <w:rPr>
                <w:rFonts w:ascii="Calibri" w:hAnsi="Calibri"/>
                <w:sz w:val="18"/>
              </w:rPr>
              <w:t>API Response Time (P95)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&lt; 500ms</w:t>
            </w:r>
          </w:p>
        </w:tc>
        <w:tc>
          <w:tcPr>
            <w:tcW w:type="dxa" w:w="3600"/>
            <w:shd w:fill="F7F9FC"/>
          </w:tcPr>
          <w:p>
            <w:r/>
            <w:r>
              <w:rPr>
                <w:rFonts w:ascii="Calibri" w:hAnsi="Calibri"/>
                <w:sz w:val="18"/>
              </w:rPr>
              <w:t>APM (Datadog/New Relic)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API Response Time (P99)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&lt; 1000ms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APM (Datadog/New Relic)</w:t>
            </w:r>
          </w:p>
        </w:tc>
      </w:tr>
      <w:tr>
        <w:tc>
          <w:tcPr>
            <w:tcW w:type="dxa" w:w="3600"/>
            <w:shd w:fill="F7F9FC"/>
          </w:tcPr>
          <w:p>
            <w:r/>
            <w:r>
              <w:rPr>
                <w:rFonts w:ascii="Calibri" w:hAnsi="Calibri"/>
                <w:sz w:val="18"/>
              </w:rPr>
              <w:t>Page Load Time (First Contentful Paint)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&lt; 2 seconds</w:t>
            </w:r>
          </w:p>
        </w:tc>
        <w:tc>
          <w:tcPr>
            <w:tcW w:type="dxa" w:w="3600"/>
            <w:shd w:fill="F7F9FC"/>
          </w:tcPr>
          <w:p>
            <w:r/>
            <w:r>
              <w:rPr>
                <w:rFonts w:ascii="Calibri" w:hAnsi="Calibri"/>
                <w:sz w:val="18"/>
              </w:rPr>
              <w:t>Lighthouse / Web Vitals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Kafka Event Propagation (end-to-end)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&lt; 2 seconds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Custom Prometheus metrics</w:t>
            </w:r>
          </w:p>
        </w:tc>
      </w:tr>
      <w:tr>
        <w:tc>
          <w:tcPr>
            <w:tcW w:type="dxa" w:w="3600"/>
            <w:shd w:fill="F7F9FC"/>
          </w:tcPr>
          <w:p>
            <w:r/>
            <w:r>
              <w:rPr>
                <w:rFonts w:ascii="Calibri" w:hAnsi="Calibri"/>
                <w:sz w:val="18"/>
              </w:rPr>
              <w:t>Database Query Time (P95)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&lt; 100ms</w:t>
            </w:r>
          </w:p>
        </w:tc>
        <w:tc>
          <w:tcPr>
            <w:tcW w:type="dxa" w:w="3600"/>
            <w:shd w:fill="F7F9FC"/>
          </w:tcPr>
          <w:p>
            <w:r/>
            <w:r>
              <w:rPr>
                <w:rFonts w:ascii="Calibri" w:hAnsi="Calibri"/>
                <w:sz w:val="18"/>
              </w:rPr>
              <w:t>PostgreSQL pg_stat_statements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Concurrent Users Supported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500+ per tenant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Load testing (k6/JMeter)</w:t>
            </w:r>
          </w:p>
        </w:tc>
      </w:tr>
      <w:tr>
        <w:tc>
          <w:tcPr>
            <w:tcW w:type="dxa" w:w="3600"/>
            <w:shd w:fill="F7F9FC"/>
          </w:tcPr>
          <w:p>
            <w:r/>
            <w:r>
              <w:rPr>
                <w:rFonts w:ascii="Calibri" w:hAnsi="Calibri"/>
                <w:sz w:val="18"/>
              </w:rPr>
              <w:t>Bulk Report Generation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&lt; 30 seconds for 10K records</w:t>
            </w:r>
          </w:p>
        </w:tc>
        <w:tc>
          <w:tcPr>
            <w:tcW w:type="dxa" w:w="3600"/>
            <w:shd w:fill="F7F9FC"/>
          </w:tcPr>
          <w:p>
            <w:r/>
            <w:r>
              <w:rPr>
                <w:rFonts w:ascii="Calibri" w:hAnsi="Calibri"/>
                <w:sz w:val="18"/>
              </w:rPr>
              <w:t>Application metrics</w:t>
            </w:r>
          </w:p>
        </w:tc>
      </w:tr>
    </w:tbl>
    <w:p>
      <w:r>
        <w:br w:type="page"/>
      </w:r>
    </w:p>
    <w:p>
      <w:pPr>
        <w:pStyle w:val="Heading1"/>
      </w:pPr>
      <w:r>
        <w:t>10. Project Governance &amp; Team Structure</w:t>
      </w:r>
    </w:p>
    <w:p>
      <w:pPr>
        <w:pStyle w:val="Heading2"/>
      </w:pPr>
      <w:r>
        <w:t>10.1 Governance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Forum</w:t>
            </w:r>
          </w:p>
        </w:tc>
        <w:tc>
          <w:tcPr>
            <w:tcW w:type="dxa" w:w="144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Participants</w:t>
            </w:r>
          </w:p>
        </w:tc>
        <w:tc>
          <w:tcPr>
            <w:tcW w:type="dxa" w:w="432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Daily Standup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18"/>
              </w:rPr>
              <w:t>Daily (15 min)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Dev team + Scrum Master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18"/>
              </w:rPr>
              <w:t>Progress, blockers, daily plan</w:t>
            </w:r>
          </w:p>
        </w:tc>
      </w:tr>
      <w:tr>
        <w:tc>
          <w:tcPr>
            <w:tcW w:type="dxa" w:w="2160"/>
            <w:shd w:fill="F7F9FC"/>
          </w:tcPr>
          <w:p>
            <w:r/>
            <w:r>
              <w:rPr>
                <w:rFonts w:ascii="Calibri" w:hAnsi="Calibri"/>
                <w:sz w:val="18"/>
              </w:rPr>
              <w:t>Sprint Demo</w:t>
            </w:r>
          </w:p>
        </w:tc>
        <w:tc>
          <w:tcPr>
            <w:tcW w:type="dxa" w:w="1440"/>
            <w:shd w:fill="F7F9FC"/>
          </w:tcPr>
          <w:p>
            <w:r/>
            <w:r>
              <w:rPr>
                <w:rFonts w:ascii="Calibri" w:hAnsi="Calibri"/>
                <w:sz w:val="18"/>
              </w:rPr>
              <w:t>Bi-weekly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Full team + Client SPOC</w:t>
            </w:r>
          </w:p>
        </w:tc>
        <w:tc>
          <w:tcPr>
            <w:tcW w:type="dxa" w:w="4320"/>
            <w:shd w:fill="F7F9FC"/>
          </w:tcPr>
          <w:p>
            <w:r/>
            <w:r>
              <w:rPr>
                <w:rFonts w:ascii="Calibri" w:hAnsi="Calibri"/>
                <w:sz w:val="18"/>
              </w:rPr>
              <w:t>Demonstrate completed features; gather feedback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Sprint Retrospective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18"/>
              </w:rPr>
              <w:t>Bi-weekly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Dev team + Scrum Master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18"/>
              </w:rPr>
              <w:t>Process improvement; lessons learned</w:t>
            </w:r>
          </w:p>
        </w:tc>
      </w:tr>
      <w:tr>
        <w:tc>
          <w:tcPr>
            <w:tcW w:type="dxa" w:w="2160"/>
            <w:shd w:fill="F7F9FC"/>
          </w:tcPr>
          <w:p>
            <w:r/>
            <w:r>
              <w:rPr>
                <w:rFonts w:ascii="Calibri" w:hAnsi="Calibri"/>
                <w:sz w:val="18"/>
              </w:rPr>
              <w:t>Steering Committee</w:t>
            </w:r>
          </w:p>
        </w:tc>
        <w:tc>
          <w:tcPr>
            <w:tcW w:type="dxa" w:w="1440"/>
            <w:shd w:fill="F7F9FC"/>
          </w:tcPr>
          <w:p>
            <w:r/>
            <w:r>
              <w:rPr>
                <w:rFonts w:ascii="Calibri" w:hAnsi="Calibri"/>
                <w:sz w:val="18"/>
              </w:rPr>
              <w:t>Monthly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Client Sponsor + CTO + Delivery Lead</w:t>
            </w:r>
          </w:p>
        </w:tc>
        <w:tc>
          <w:tcPr>
            <w:tcW w:type="dxa" w:w="4320"/>
            <w:shd w:fill="F7F9FC"/>
          </w:tcPr>
          <w:p>
            <w:r/>
            <w:r>
              <w:rPr>
                <w:rFonts w:ascii="Calibri" w:hAnsi="Calibri"/>
                <w:sz w:val="18"/>
              </w:rPr>
              <w:t>Budget, timeline, scope decisions; risk escalation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Architecture Review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18"/>
              </w:rPr>
              <w:t>As needed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Solution Architect + Tech Leads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18"/>
              </w:rPr>
              <w:t>Technical design decisions; pattern approvals</w:t>
            </w:r>
          </w:p>
        </w:tc>
      </w:tr>
      <w:tr>
        <w:tc>
          <w:tcPr>
            <w:tcW w:type="dxa" w:w="2160"/>
            <w:shd w:fill="F7F9FC"/>
          </w:tcPr>
          <w:p>
            <w:r/>
            <w:r>
              <w:rPr>
                <w:rFonts w:ascii="Calibri" w:hAnsi="Calibri"/>
                <w:sz w:val="18"/>
              </w:rPr>
              <w:t>Change Control Board</w:t>
            </w:r>
          </w:p>
        </w:tc>
        <w:tc>
          <w:tcPr>
            <w:tcW w:type="dxa" w:w="1440"/>
            <w:shd w:fill="F7F9FC"/>
          </w:tcPr>
          <w:p>
            <w:r/>
            <w:r>
              <w:rPr>
                <w:rFonts w:ascii="Calibri" w:hAnsi="Calibri"/>
                <w:sz w:val="18"/>
              </w:rPr>
              <w:t>As needed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Client PM + TGWT PM + Tech Lead</w:t>
            </w:r>
          </w:p>
        </w:tc>
        <w:tc>
          <w:tcPr>
            <w:tcW w:type="dxa" w:w="4320"/>
            <w:shd w:fill="F7F9FC"/>
          </w:tcPr>
          <w:p>
            <w:r/>
            <w:r>
              <w:rPr>
                <w:rFonts w:ascii="Calibri" w:hAnsi="Calibri"/>
                <w:sz w:val="18"/>
              </w:rPr>
              <w:t>Scope change requests; impact analysis; approval</w:t>
            </w:r>
          </w:p>
        </w:tc>
      </w:tr>
    </w:tbl>
    <w:p>
      <w:pPr>
        <w:pStyle w:val="Heading2"/>
      </w:pPr>
      <w:r>
        <w:t>10.2 TGWT Team Structure (Proposed)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92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72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Count</w:t>
            </w:r>
          </w:p>
        </w:tc>
        <w:tc>
          <w:tcPr>
            <w:tcW w:type="dxa" w:w="1152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Allocation</w:t>
            </w:r>
          </w:p>
        </w:tc>
        <w:tc>
          <w:tcPr>
            <w:tcW w:type="dxa" w:w="576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sz w:val="18"/>
              </w:rPr>
              <w:t>Delivery Manager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18"/>
              </w:rPr>
              <w:t>50%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sz w:val="18"/>
              </w:rPr>
              <w:t>Overall delivery, client communication, risk management</w:t>
            </w:r>
          </w:p>
        </w:tc>
      </w:tr>
      <w:tr>
        <w:tc>
          <w:tcPr>
            <w:tcW w:type="dxa" w:w="2592"/>
            <w:shd w:fill="F7F9FC"/>
          </w:tcPr>
          <w:p>
            <w:r/>
            <w:r>
              <w:rPr>
                <w:rFonts w:ascii="Calibri" w:hAnsi="Calibri"/>
                <w:sz w:val="18"/>
              </w:rPr>
              <w:t>Solution Architect</w:t>
            </w:r>
          </w:p>
        </w:tc>
        <w:tc>
          <w:tcPr>
            <w:tcW w:type="dxa" w:w="720"/>
            <w:shd w:fill="F7F9FC"/>
          </w:tcPr>
          <w:p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152"/>
            <w:shd w:fill="F7F9FC"/>
          </w:tcPr>
          <w:p>
            <w:r/>
            <w:r>
              <w:rPr>
                <w:rFonts w:ascii="Calibri" w:hAnsi="Calibri"/>
                <w:sz w:val="18"/>
              </w:rPr>
              <w:t>100%</w:t>
            </w:r>
          </w:p>
        </w:tc>
        <w:tc>
          <w:tcPr>
            <w:tcW w:type="dxa" w:w="5760"/>
            <w:shd w:fill="F7F9FC"/>
          </w:tcPr>
          <w:p>
            <w:r/>
            <w:r>
              <w:rPr>
                <w:rFonts w:ascii="Calibri" w:hAnsi="Calibri"/>
                <w:sz w:val="18"/>
              </w:rPr>
              <w:t>Architecture design, technical decisions, code reviews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sz w:val="18"/>
              </w:rPr>
              <w:t>Tech Lead — Backend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18"/>
              </w:rPr>
              <w:t>100%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sz w:val="18"/>
              </w:rPr>
              <w:t>Spring Boot services, Kafka, database design, API contracts</w:t>
            </w:r>
          </w:p>
        </w:tc>
      </w:tr>
      <w:tr>
        <w:tc>
          <w:tcPr>
            <w:tcW w:type="dxa" w:w="2592"/>
            <w:shd w:fill="F7F9FC"/>
          </w:tcPr>
          <w:p>
            <w:r/>
            <w:r>
              <w:rPr>
                <w:rFonts w:ascii="Calibri" w:hAnsi="Calibri"/>
                <w:sz w:val="18"/>
              </w:rPr>
              <w:t>Tech Lead — Frontend</w:t>
            </w:r>
          </w:p>
        </w:tc>
        <w:tc>
          <w:tcPr>
            <w:tcW w:type="dxa" w:w="720"/>
            <w:shd w:fill="F7F9FC"/>
          </w:tcPr>
          <w:p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152"/>
            <w:shd w:fill="F7F9FC"/>
          </w:tcPr>
          <w:p>
            <w:r/>
            <w:r>
              <w:rPr>
                <w:rFonts w:ascii="Calibri" w:hAnsi="Calibri"/>
                <w:sz w:val="18"/>
              </w:rPr>
              <w:t>100%</w:t>
            </w:r>
          </w:p>
        </w:tc>
        <w:tc>
          <w:tcPr>
            <w:tcW w:type="dxa" w:w="5760"/>
            <w:shd w:fill="F7F9FC"/>
          </w:tcPr>
          <w:p>
            <w:r/>
            <w:r>
              <w:rPr>
                <w:rFonts w:ascii="Calibri" w:hAnsi="Calibri"/>
                <w:sz w:val="18"/>
              </w:rPr>
              <w:t>React 18, PWA, UI/UX implementation, accessibility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sz w:val="18"/>
              </w:rPr>
              <w:t>Senior Developer — Backend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18"/>
              </w:rPr>
              <w:t>100%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sz w:val="18"/>
              </w:rPr>
              <w:t>Module development, integration, unit testing</w:t>
            </w:r>
          </w:p>
        </w:tc>
      </w:tr>
      <w:tr>
        <w:tc>
          <w:tcPr>
            <w:tcW w:type="dxa" w:w="2592"/>
            <w:shd w:fill="F7F9FC"/>
          </w:tcPr>
          <w:p>
            <w:r/>
            <w:r>
              <w:rPr>
                <w:rFonts w:ascii="Calibri" w:hAnsi="Calibri"/>
                <w:sz w:val="18"/>
              </w:rPr>
              <w:t>Senior Developer — Frontend</w:t>
            </w:r>
          </w:p>
        </w:tc>
        <w:tc>
          <w:tcPr>
            <w:tcW w:type="dxa" w:w="720"/>
            <w:shd w:fill="F7F9FC"/>
          </w:tcPr>
          <w:p>
            <w:r/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152"/>
            <w:shd w:fill="F7F9FC"/>
          </w:tcPr>
          <w:p>
            <w:r/>
            <w:r>
              <w:rPr>
                <w:rFonts w:ascii="Calibri" w:hAnsi="Calibri"/>
                <w:sz w:val="18"/>
              </w:rPr>
              <w:t>100%</w:t>
            </w:r>
          </w:p>
        </w:tc>
        <w:tc>
          <w:tcPr>
            <w:tcW w:type="dxa" w:w="5760"/>
            <w:shd w:fill="F7F9FC"/>
          </w:tcPr>
          <w:p>
            <w:r/>
            <w:r>
              <w:rPr>
                <w:rFonts w:ascii="Calibri" w:hAnsi="Calibri"/>
                <w:sz w:val="18"/>
              </w:rPr>
              <w:t>Screen development, state management, API integration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sz w:val="18"/>
              </w:rPr>
              <w:t>Full Stack Developer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18"/>
              </w:rPr>
              <w:t>100%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sz w:val="18"/>
              </w:rPr>
              <w:t>Cross-functional development, bug fixes</w:t>
            </w:r>
          </w:p>
        </w:tc>
      </w:tr>
      <w:tr>
        <w:tc>
          <w:tcPr>
            <w:tcW w:type="dxa" w:w="2592"/>
            <w:shd w:fill="F7F9FC"/>
          </w:tcPr>
          <w:p>
            <w:r/>
            <w:r>
              <w:rPr>
                <w:rFonts w:ascii="Calibri" w:hAnsi="Calibri"/>
                <w:sz w:val="18"/>
              </w:rPr>
              <w:t>QA Lead</w:t>
            </w:r>
          </w:p>
        </w:tc>
        <w:tc>
          <w:tcPr>
            <w:tcW w:type="dxa" w:w="720"/>
            <w:shd w:fill="F7F9FC"/>
          </w:tcPr>
          <w:p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152"/>
            <w:shd w:fill="F7F9FC"/>
          </w:tcPr>
          <w:p>
            <w:r/>
            <w:r>
              <w:rPr>
                <w:rFonts w:ascii="Calibri" w:hAnsi="Calibri"/>
                <w:sz w:val="18"/>
              </w:rPr>
              <w:t>100%</w:t>
            </w:r>
          </w:p>
        </w:tc>
        <w:tc>
          <w:tcPr>
            <w:tcW w:type="dxa" w:w="5760"/>
            <w:shd w:fill="F7F9FC"/>
          </w:tcPr>
          <w:p>
            <w:r/>
            <w:r>
              <w:rPr>
                <w:rFonts w:ascii="Calibri" w:hAnsi="Calibri"/>
                <w:sz w:val="18"/>
              </w:rPr>
              <w:t>Test strategy, automation, integration testing, UAT coordination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sz w:val="18"/>
              </w:rPr>
              <w:t>QA Engineer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18"/>
              </w:rPr>
              <w:t>100%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sz w:val="18"/>
              </w:rPr>
              <w:t>Test case execution, regression testing, performance testing</w:t>
            </w:r>
          </w:p>
        </w:tc>
      </w:tr>
      <w:tr>
        <w:tc>
          <w:tcPr>
            <w:tcW w:type="dxa" w:w="2592"/>
            <w:shd w:fill="F7F9FC"/>
          </w:tcPr>
          <w:p>
            <w:r/>
            <w:r>
              <w:rPr>
                <w:rFonts w:ascii="Calibri" w:hAnsi="Calibri"/>
                <w:sz w:val="18"/>
              </w:rPr>
              <w:t>DevOps Engineer</w:t>
            </w:r>
          </w:p>
        </w:tc>
        <w:tc>
          <w:tcPr>
            <w:tcW w:type="dxa" w:w="720"/>
            <w:shd w:fill="F7F9FC"/>
          </w:tcPr>
          <w:p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152"/>
            <w:shd w:fill="F7F9FC"/>
          </w:tcPr>
          <w:p>
            <w:r/>
            <w:r>
              <w:rPr>
                <w:rFonts w:ascii="Calibri" w:hAnsi="Calibri"/>
                <w:sz w:val="18"/>
              </w:rPr>
              <w:t>100%</w:t>
            </w:r>
          </w:p>
        </w:tc>
        <w:tc>
          <w:tcPr>
            <w:tcW w:type="dxa" w:w="5760"/>
            <w:shd w:fill="F7F9FC"/>
          </w:tcPr>
          <w:p>
            <w:r/>
            <w:r>
              <w:rPr>
                <w:rFonts w:ascii="Calibri" w:hAnsi="Calibri"/>
                <w:sz w:val="18"/>
              </w:rPr>
              <w:t>CI/CD, Kubernetes, monitoring, deployment automation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sz w:val="18"/>
              </w:rPr>
              <w:t>UI/UX Designer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18"/>
              </w:rPr>
              <w:t>50%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sz w:val="18"/>
              </w:rPr>
              <w:t>Wireframes, design system, usability testing</w:t>
            </w:r>
          </w:p>
        </w:tc>
      </w:tr>
      <w:tr>
        <w:tc>
          <w:tcPr>
            <w:tcW w:type="dxa" w:w="2592"/>
            <w:shd w:fill="F7F9FC"/>
          </w:tcPr>
          <w:p>
            <w:r/>
            <w:r>
              <w:rPr>
                <w:rFonts w:ascii="Calibri" w:hAnsi="Calibri"/>
                <w:sz w:val="18"/>
              </w:rPr>
              <w:t>Business Analyst</w:t>
            </w:r>
          </w:p>
        </w:tc>
        <w:tc>
          <w:tcPr>
            <w:tcW w:type="dxa" w:w="720"/>
            <w:shd w:fill="F7F9FC"/>
          </w:tcPr>
          <w:p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152"/>
            <w:shd w:fill="F7F9FC"/>
          </w:tcPr>
          <w:p>
            <w:r/>
            <w:r>
              <w:rPr>
                <w:rFonts w:ascii="Calibri" w:hAnsi="Calibri"/>
                <w:sz w:val="18"/>
              </w:rPr>
              <w:t>100%</w:t>
            </w:r>
          </w:p>
        </w:tc>
        <w:tc>
          <w:tcPr>
            <w:tcW w:type="dxa" w:w="5760"/>
            <w:shd w:fill="F7F9FC"/>
          </w:tcPr>
          <w:p>
            <w:r/>
            <w:r>
              <w:rPr>
                <w:rFonts w:ascii="Calibri" w:hAnsi="Calibri"/>
                <w:sz w:val="18"/>
              </w:rPr>
              <w:t>Requirements clarification, user stories, acceptance criteria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sz w:val="18"/>
              </w:rPr>
              <w:t>Scrum Master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18"/>
              </w:rPr>
              <w:t>50%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sz w:val="18"/>
              </w:rPr>
              <w:t>Sprint facilitation, impediment removal, process compliance</w:t>
            </w:r>
          </w:p>
        </w:tc>
      </w:tr>
    </w:tbl>
    <w:p>
      <w:pPr>
        <w:pStyle w:val="Heading2"/>
      </w:pPr>
      <w:r>
        <w:t>10.3 Client Responsibilities</w:t>
      </w:r>
    </w:p>
    <w:p>
      <w:pPr>
        <w:pStyle w:val="ListBullet"/>
      </w:pPr>
      <w:r/>
      <w:r>
        <w:rPr>
          <w:rFonts w:ascii="Calibri" w:hAnsi="Calibri"/>
          <w:b/>
          <w:sz w:val="20"/>
        </w:rPr>
        <w:t xml:space="preserve">Dedicated SPOC: </w:t>
      </w:r>
      <w:r>
        <w:rPr>
          <w:rFonts w:ascii="Calibri" w:hAnsi="Calibri"/>
          <w:sz w:val="20"/>
        </w:rPr>
        <w:t>Single Point of Contact available for daily queries; authorized for day-to-day decisions</w:t>
      </w:r>
    </w:p>
    <w:p>
      <w:pPr>
        <w:pStyle w:val="ListBullet"/>
      </w:pPr>
      <w:r/>
      <w:r>
        <w:rPr>
          <w:rFonts w:ascii="Calibri" w:hAnsi="Calibri"/>
          <w:b/>
          <w:sz w:val="20"/>
        </w:rPr>
        <w:t xml:space="preserve">UAT Team: </w:t>
      </w:r>
      <w:r>
        <w:rPr>
          <w:rFonts w:ascii="Calibri" w:hAnsi="Calibri"/>
          <w:sz w:val="20"/>
        </w:rPr>
        <w:t>Minimum 5 members representing key departments (OPD, Pharmacy, Lab, Finance, HR) for UAT phase</w:t>
      </w:r>
    </w:p>
    <w:p>
      <w:pPr>
        <w:pStyle w:val="ListBullet"/>
      </w:pPr>
      <w:r/>
      <w:r>
        <w:rPr>
          <w:rFonts w:ascii="Calibri" w:hAnsi="Calibri"/>
          <w:b/>
          <w:sz w:val="20"/>
        </w:rPr>
        <w:t xml:space="preserve">Feedback SLA: </w:t>
      </w:r>
      <w:r>
        <w:rPr>
          <w:rFonts w:ascii="Calibri" w:hAnsi="Calibri"/>
          <w:sz w:val="20"/>
        </w:rPr>
        <w:t>5 business days for sprint demo feedback; 10 business days for milestone approvals</w:t>
      </w:r>
    </w:p>
    <w:p>
      <w:pPr>
        <w:pStyle w:val="ListBullet"/>
      </w:pPr>
      <w:r/>
      <w:r>
        <w:rPr>
          <w:rFonts w:ascii="Calibri" w:hAnsi="Calibri"/>
          <w:b/>
          <w:sz w:val="20"/>
        </w:rPr>
        <w:t xml:space="preserve">Infrastructure: </w:t>
      </w:r>
      <w:r>
        <w:rPr>
          <w:rFonts w:ascii="Calibri" w:hAnsi="Calibri"/>
          <w:sz w:val="20"/>
        </w:rPr>
        <w:t>Client to provision cloud infrastructure (AWS/Azure) per TGWT specifications; or TGWT manages on client behalf (separate commercial terms)</w:t>
      </w:r>
    </w:p>
    <w:p>
      <w:pPr>
        <w:pStyle w:val="ListBullet"/>
      </w:pPr>
      <w:r/>
      <w:r>
        <w:rPr>
          <w:rFonts w:ascii="Calibri" w:hAnsi="Calibri"/>
          <w:b/>
          <w:sz w:val="20"/>
        </w:rPr>
        <w:t xml:space="preserve">Data: </w:t>
      </w:r>
      <w:r>
        <w:rPr>
          <w:rFonts w:ascii="Calibri" w:hAnsi="Calibri"/>
          <w:sz w:val="20"/>
        </w:rPr>
        <w:t>Client to provide master data (drug formulary, employee list, vendor list, branch configuration) in agreed template format</w:t>
      </w:r>
    </w:p>
    <w:p>
      <w:pPr>
        <w:pStyle w:val="ListBullet"/>
      </w:pPr>
      <w:r/>
      <w:r>
        <w:rPr>
          <w:rFonts w:ascii="Calibri" w:hAnsi="Calibri"/>
          <w:b/>
          <w:sz w:val="20"/>
        </w:rPr>
        <w:t xml:space="preserve">Change Requests: </w:t>
      </w:r>
      <w:r>
        <w:rPr>
          <w:rFonts w:ascii="Calibri" w:hAnsi="Calibri"/>
          <w:sz w:val="20"/>
        </w:rPr>
        <w:t>Submit via Change Control process; no verbal scope changes honored</w:t>
      </w:r>
    </w:p>
    <w:p>
      <w:pPr>
        <w:pStyle w:val="ListBullet"/>
      </w:pPr>
      <w:r/>
      <w:r>
        <w:rPr>
          <w:rFonts w:ascii="Calibri" w:hAnsi="Calibri"/>
          <w:b/>
          <w:sz w:val="20"/>
        </w:rPr>
        <w:t xml:space="preserve">Training Participants: </w:t>
      </w:r>
      <w:r>
        <w:rPr>
          <w:rFonts w:ascii="Calibri" w:hAnsi="Calibri"/>
          <w:sz w:val="20"/>
        </w:rPr>
        <w:t>Nominate trainers for Train-the-Trainer program; minimum 2 per department</w:t>
      </w:r>
    </w:p>
    <w:p>
      <w:r>
        <w:br w:type="page"/>
      </w:r>
    </w:p>
    <w:p>
      <w:pPr>
        <w:pStyle w:val="Heading1"/>
      </w:pPr>
      <w:r>
        <w:t>11. Risk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72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Risk ID</w:t>
            </w:r>
          </w:p>
        </w:tc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Risk Description</w:t>
            </w:r>
          </w:p>
        </w:tc>
        <w:tc>
          <w:tcPr>
            <w:tcW w:type="dxa" w:w="1008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Probability</w:t>
            </w:r>
          </w:p>
        </w:tc>
        <w:tc>
          <w:tcPr>
            <w:tcW w:type="dxa" w:w="864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360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Mitigation Strategy</w:t>
            </w:r>
          </w:p>
        </w:tc>
        <w:tc>
          <w:tcPr>
            <w:tcW w:type="dxa" w:w="144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/>
                <w:sz w:val="18"/>
              </w:rPr>
              <w:t>R-01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Scope creep due to evolving requirements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18"/>
              </w:rPr>
              <w:t>HIGH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sz w:val="18"/>
              </w:rPr>
              <w:t>HIGH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Strict Change Control Board process; SOW freeze after Phase 1; CR impact analysis mandatory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18"/>
              </w:rPr>
              <w:t>PM (both sides)</w:t>
            </w:r>
          </w:p>
        </w:tc>
      </w:tr>
      <w:tr>
        <w:tc>
          <w:tcPr>
            <w:tcW w:type="dxa" w:w="720"/>
            <w:shd w:fill="F7F9FC"/>
          </w:tcPr>
          <w:p>
            <w:r/>
            <w:r>
              <w:rPr>
                <w:rFonts w:ascii="Calibri" w:hAnsi="Calibri"/>
                <w:sz w:val="18"/>
              </w:rPr>
              <w:t>R-02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Kafka event bus complexity causing integration failures</w:t>
            </w:r>
          </w:p>
        </w:tc>
        <w:tc>
          <w:tcPr>
            <w:tcW w:type="dxa" w:w="1008"/>
            <w:shd w:fill="F7F9FC"/>
          </w:tcPr>
          <w:p>
            <w:r/>
            <w:r>
              <w:rPr>
                <w:rFonts w:ascii="Calibri" w:hAnsi="Calibri"/>
                <w:sz w:val="18"/>
              </w:rPr>
              <w:t>MEDIUM</w:t>
            </w:r>
          </w:p>
        </w:tc>
        <w:tc>
          <w:tcPr>
            <w:tcW w:type="dxa" w:w="864"/>
            <w:shd w:fill="F7F9FC"/>
          </w:tcPr>
          <w:p>
            <w:r/>
            <w:r>
              <w:rPr>
                <w:rFonts w:ascii="Calibri" w:hAnsi="Calibri"/>
                <w:sz w:val="18"/>
              </w:rPr>
              <w:t>HIGH</w:t>
            </w:r>
          </w:p>
        </w:tc>
        <w:tc>
          <w:tcPr>
            <w:tcW w:type="dxa" w:w="3600"/>
            <w:shd w:fill="F7F9FC"/>
          </w:tcPr>
          <w:p>
            <w:r/>
            <w:r>
              <w:rPr>
                <w:rFonts w:ascii="Calibri" w:hAnsi="Calibri"/>
                <w:sz w:val="18"/>
              </w:rPr>
              <w:t>Idempotent consumers; DLQ with 3 retries; Spring Batch fallback; comprehensive integration testing</w:t>
            </w:r>
          </w:p>
        </w:tc>
        <w:tc>
          <w:tcPr>
            <w:tcW w:type="dxa" w:w="1440"/>
            <w:shd w:fill="F7F9FC"/>
          </w:tcPr>
          <w:p>
            <w:r/>
            <w:r>
              <w:rPr>
                <w:rFonts w:ascii="Calibri" w:hAnsi="Calibri"/>
                <w:sz w:val="18"/>
              </w:rPr>
              <w:t>Tech Lead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/>
                <w:sz w:val="18"/>
              </w:rPr>
              <w:t>R-03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Third-party API instability (ABDM, Razorpay, Twilio)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18"/>
              </w:rPr>
              <w:t>MEDIUM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sz w:val="18"/>
              </w:rPr>
              <w:t>MEDIUM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Circuit breaker pattern; graceful degradation; mock services for testing; SLA monitoring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18"/>
              </w:rPr>
              <w:t>Solution Architect</w:t>
            </w:r>
          </w:p>
        </w:tc>
      </w:tr>
      <w:tr>
        <w:tc>
          <w:tcPr>
            <w:tcW w:type="dxa" w:w="720"/>
            <w:shd w:fill="F7F9FC"/>
          </w:tcPr>
          <w:p>
            <w:r/>
            <w:r>
              <w:rPr>
                <w:rFonts w:ascii="Calibri" w:hAnsi="Calibri"/>
                <w:sz w:val="18"/>
              </w:rPr>
              <w:t>R-04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Client UAT delays impacting go-live timeline</w:t>
            </w:r>
          </w:p>
        </w:tc>
        <w:tc>
          <w:tcPr>
            <w:tcW w:type="dxa" w:w="1008"/>
            <w:shd w:fill="F7F9FC"/>
          </w:tcPr>
          <w:p>
            <w:r/>
            <w:r>
              <w:rPr>
                <w:rFonts w:ascii="Calibri" w:hAnsi="Calibri"/>
                <w:sz w:val="18"/>
              </w:rPr>
              <w:t>MEDIUM</w:t>
            </w:r>
          </w:p>
        </w:tc>
        <w:tc>
          <w:tcPr>
            <w:tcW w:type="dxa" w:w="864"/>
            <w:shd w:fill="F7F9FC"/>
          </w:tcPr>
          <w:p>
            <w:r/>
            <w:r>
              <w:rPr>
                <w:rFonts w:ascii="Calibri" w:hAnsi="Calibri"/>
                <w:sz w:val="18"/>
              </w:rPr>
              <w:t>HIGH</w:t>
            </w:r>
          </w:p>
        </w:tc>
        <w:tc>
          <w:tcPr>
            <w:tcW w:type="dxa" w:w="3600"/>
            <w:shd w:fill="F7F9FC"/>
          </w:tcPr>
          <w:p>
            <w:r/>
            <w:r>
              <w:rPr>
                <w:rFonts w:ascii="Calibri" w:hAnsi="Calibri"/>
                <w:sz w:val="18"/>
              </w:rPr>
              <w:t>Early UAT engagement from Phase 6; dedicated UAT environment; pre-written test cases</w:t>
            </w:r>
          </w:p>
        </w:tc>
        <w:tc>
          <w:tcPr>
            <w:tcW w:type="dxa" w:w="1440"/>
            <w:shd w:fill="F7F9FC"/>
          </w:tcPr>
          <w:p>
            <w:r/>
            <w:r>
              <w:rPr>
                <w:rFonts w:ascii="Calibri" w:hAnsi="Calibri"/>
                <w:sz w:val="18"/>
              </w:rPr>
              <w:t>Client PM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/>
                <w:sz w:val="18"/>
              </w:rPr>
              <w:t>R-05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Data migration complexity from legacy systems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18"/>
              </w:rPr>
              <w:t>MEDIUM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sz w:val="18"/>
              </w:rPr>
              <w:t>MEDIUM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Migration assessment in Phase 1; ETL pipeline design; trial migration runs; rollback plan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18"/>
              </w:rPr>
              <w:t>BA + Tech Lead</w:t>
            </w:r>
          </w:p>
        </w:tc>
      </w:tr>
      <w:tr>
        <w:tc>
          <w:tcPr>
            <w:tcW w:type="dxa" w:w="720"/>
            <w:shd w:fill="F7F9FC"/>
          </w:tcPr>
          <w:p>
            <w:r/>
            <w:r>
              <w:rPr>
                <w:rFonts w:ascii="Calibri" w:hAnsi="Calibri"/>
                <w:sz w:val="18"/>
              </w:rPr>
              <w:t>R-06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Key resource attrition during project</w:t>
            </w:r>
          </w:p>
        </w:tc>
        <w:tc>
          <w:tcPr>
            <w:tcW w:type="dxa" w:w="1008"/>
            <w:shd w:fill="F7F9FC"/>
          </w:tcPr>
          <w:p>
            <w:r/>
            <w:r>
              <w:rPr>
                <w:rFonts w:ascii="Calibri" w:hAnsi="Calibri"/>
                <w:sz w:val="18"/>
              </w:rPr>
              <w:t>LOW</w:t>
            </w:r>
          </w:p>
        </w:tc>
        <w:tc>
          <w:tcPr>
            <w:tcW w:type="dxa" w:w="864"/>
            <w:shd w:fill="F7F9FC"/>
          </w:tcPr>
          <w:p>
            <w:r/>
            <w:r>
              <w:rPr>
                <w:rFonts w:ascii="Calibri" w:hAnsi="Calibri"/>
                <w:sz w:val="18"/>
              </w:rPr>
              <w:t>HIGH</w:t>
            </w:r>
          </w:p>
        </w:tc>
        <w:tc>
          <w:tcPr>
            <w:tcW w:type="dxa" w:w="3600"/>
            <w:shd w:fill="F7F9FC"/>
          </w:tcPr>
          <w:p>
            <w:r/>
            <w:r>
              <w:rPr>
                <w:rFonts w:ascii="Calibri" w:hAnsi="Calibri"/>
                <w:sz w:val="18"/>
              </w:rPr>
              <w:t>Cross-training within team; documentation-driven development; 30-day notice period clause</w:t>
            </w:r>
          </w:p>
        </w:tc>
        <w:tc>
          <w:tcPr>
            <w:tcW w:type="dxa" w:w="1440"/>
            <w:shd w:fill="F7F9FC"/>
          </w:tcPr>
          <w:p>
            <w:r/>
            <w:r>
              <w:rPr>
                <w:rFonts w:ascii="Calibri" w:hAnsi="Calibri"/>
                <w:sz w:val="18"/>
              </w:rPr>
              <w:t>Delivery Manager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/>
                <w:sz w:val="18"/>
              </w:rPr>
              <w:t>R-07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Performance degradation under peak load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18"/>
              </w:rPr>
              <w:t>MEDIUM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sz w:val="18"/>
              </w:rPr>
              <w:t>HIGH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Load testing from Phase 9; HPA configured; Redis caching; database query optimization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18"/>
              </w:rPr>
              <w:t>DevOps + Tech Lead</w:t>
            </w:r>
          </w:p>
        </w:tc>
      </w:tr>
      <w:tr>
        <w:tc>
          <w:tcPr>
            <w:tcW w:type="dxa" w:w="720"/>
            <w:shd w:fill="F7F9FC"/>
          </w:tcPr>
          <w:p>
            <w:r/>
            <w:r>
              <w:rPr>
                <w:rFonts w:ascii="Calibri" w:hAnsi="Calibri"/>
                <w:sz w:val="18"/>
              </w:rPr>
              <w:t>R-08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Regulatory compliance changes (DISHA/ABDM)</w:t>
            </w:r>
          </w:p>
        </w:tc>
        <w:tc>
          <w:tcPr>
            <w:tcW w:type="dxa" w:w="1008"/>
            <w:shd w:fill="F7F9FC"/>
          </w:tcPr>
          <w:p>
            <w:r/>
            <w:r>
              <w:rPr>
                <w:rFonts w:ascii="Calibri" w:hAnsi="Calibri"/>
                <w:sz w:val="18"/>
              </w:rPr>
              <w:t>LOW</w:t>
            </w:r>
          </w:p>
        </w:tc>
        <w:tc>
          <w:tcPr>
            <w:tcW w:type="dxa" w:w="864"/>
            <w:shd w:fill="F7F9FC"/>
          </w:tcPr>
          <w:p>
            <w:r/>
            <w:r>
              <w:rPr>
                <w:rFonts w:ascii="Calibri" w:hAnsi="Calibri"/>
                <w:sz w:val="18"/>
              </w:rPr>
              <w:t>MEDIUM</w:t>
            </w:r>
          </w:p>
        </w:tc>
        <w:tc>
          <w:tcPr>
            <w:tcW w:type="dxa" w:w="3600"/>
            <w:shd w:fill="F7F9FC"/>
          </w:tcPr>
          <w:p>
            <w:r/>
            <w:r>
              <w:rPr>
                <w:rFonts w:ascii="Calibri" w:hAnsi="Calibri"/>
                <w:sz w:val="18"/>
              </w:rPr>
              <w:t>Modular compliance layer; configurable consent framework; regulatory watch process</w:t>
            </w:r>
          </w:p>
        </w:tc>
        <w:tc>
          <w:tcPr>
            <w:tcW w:type="dxa" w:w="1440"/>
            <w:shd w:fill="F7F9FC"/>
          </w:tcPr>
          <w:p>
            <w:r/>
            <w:r>
              <w:rPr>
                <w:rFonts w:ascii="Calibri" w:hAnsi="Calibri"/>
                <w:sz w:val="18"/>
              </w:rPr>
              <w:t>BA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/>
                <w:sz w:val="18"/>
              </w:rPr>
              <w:t>R-09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Multi-tenant data isolation breach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18"/>
              </w:rPr>
              <w:t>LOW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sz w:val="18"/>
              </w:rPr>
              <w:t>CRITICAL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Schema-per-tenant + RLS; automated security testing; penetration testing; code review gates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18"/>
              </w:rPr>
              <w:t>Solution Architect</w:t>
            </w:r>
          </w:p>
        </w:tc>
      </w:tr>
      <w:tr>
        <w:tc>
          <w:tcPr>
            <w:tcW w:type="dxa" w:w="720"/>
            <w:shd w:fill="F7F9FC"/>
          </w:tcPr>
          <w:p>
            <w:r/>
            <w:r>
              <w:rPr>
                <w:rFonts w:ascii="Calibri" w:hAnsi="Calibri"/>
                <w:sz w:val="18"/>
              </w:rPr>
              <w:t>R-10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rFonts w:ascii="Calibri" w:hAnsi="Calibri"/>
                <w:sz w:val="18"/>
              </w:rPr>
              <w:t>Biometric device compatibility issues</w:t>
            </w:r>
          </w:p>
        </w:tc>
        <w:tc>
          <w:tcPr>
            <w:tcW w:type="dxa" w:w="1008"/>
            <w:shd w:fill="F7F9FC"/>
          </w:tcPr>
          <w:p>
            <w:r/>
            <w:r>
              <w:rPr>
                <w:rFonts w:ascii="Calibri" w:hAnsi="Calibri"/>
                <w:sz w:val="18"/>
              </w:rPr>
              <w:t>MEDIUM</w:t>
            </w:r>
          </w:p>
        </w:tc>
        <w:tc>
          <w:tcPr>
            <w:tcW w:type="dxa" w:w="864"/>
            <w:shd w:fill="F7F9FC"/>
          </w:tcPr>
          <w:p>
            <w:r/>
            <w:r>
              <w:rPr>
                <w:rFonts w:ascii="Calibri" w:hAnsi="Calibri"/>
                <w:sz w:val="18"/>
              </w:rPr>
              <w:t>LOW</w:t>
            </w:r>
          </w:p>
        </w:tc>
        <w:tc>
          <w:tcPr>
            <w:tcW w:type="dxa" w:w="3600"/>
            <w:shd w:fill="F7F9FC"/>
          </w:tcPr>
          <w:p>
            <w:r/>
            <w:r>
              <w:rPr>
                <w:rFonts w:ascii="Calibri" w:hAnsi="Calibri"/>
                <w:sz w:val="18"/>
              </w:rPr>
              <w:t>ZKTeco/Suprema API abstraction layer; manual attendance fallback; device certification pre-check</w:t>
            </w:r>
          </w:p>
        </w:tc>
        <w:tc>
          <w:tcPr>
            <w:tcW w:type="dxa" w:w="1440"/>
            <w:shd w:fill="F7F9FC"/>
          </w:tcPr>
          <w:p>
            <w:r/>
            <w:r>
              <w:rPr>
                <w:rFonts w:ascii="Calibri" w:hAnsi="Calibri"/>
                <w:sz w:val="18"/>
              </w:rPr>
              <w:t>Tech Lead</w:t>
            </w:r>
          </w:p>
        </w:tc>
      </w:tr>
    </w:tbl>
    <w:p>
      <w:r>
        <w:br w:type="page"/>
      </w:r>
    </w:p>
    <w:p>
      <w:pPr>
        <w:pStyle w:val="Heading1"/>
      </w:pPr>
      <w:r>
        <w:t>12. Change Management Process</w:t>
      </w:r>
    </w:p>
    <w:p>
      <w:r>
        <w:t>All changes to the scope, timeline, or deliverables defined in this SOW must follow the formal Change Management process. Verbal requests or email-only requests are not considered formal Change Requests.</w:t>
      </w:r>
    </w:p>
    <w:p>
      <w:pPr>
        <w:pStyle w:val="Heading2"/>
      </w:pPr>
      <w:r>
        <w:t>12.1 Change Request Workflow</w:t>
      </w:r>
    </w:p>
    <w:p>
      <w:r>
        <w:t>Step 1: Requester submits Change Request (CR) form with description, justification, and priority → Step 2: TGWT team performs impact analysis (effort, timeline, cost, risk) within 5 business days → Step 3: Impact analysis presented to Change Control Board (CCB) → Step 4: CCB reviews and decides (Approve / Reject / Defer) → Step 5: If approved, SOW amendment issued and signed → Step 6: CR integrated into sprint backlog per revised timeline</w:t>
      </w:r>
    </w:p>
    <w:p>
      <w:pPr>
        <w:pStyle w:val="Heading2"/>
      </w:pPr>
      <w:r>
        <w:t>12.2 Change Classification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44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360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Definition</w:t>
            </w:r>
          </w:p>
        </w:tc>
        <w:tc>
          <w:tcPr>
            <w:tcW w:type="dxa" w:w="1728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Timeline Impact</w:t>
            </w:r>
          </w:p>
        </w:tc>
        <w:tc>
          <w:tcPr>
            <w:tcW w:type="dxa" w:w="216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Cost Impact</w:t>
            </w:r>
          </w:p>
        </w:tc>
        <w:tc>
          <w:tcPr>
            <w:tcW w:type="dxa" w:w="1872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Authority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18"/>
              </w:rPr>
              <w:t>Minor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UI changes, label text, minor field additions within existing screens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None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None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Tech Lead</w:t>
            </w:r>
          </w:p>
        </w:tc>
      </w:tr>
      <w:tr>
        <w:tc>
          <w:tcPr>
            <w:tcW w:type="dxa" w:w="1440"/>
            <w:shd w:fill="F7F9FC"/>
          </w:tcPr>
          <w:p>
            <w:r/>
            <w:r>
              <w:rPr>
                <w:rFonts w:ascii="Calibri" w:hAnsi="Calibri"/>
                <w:sz w:val="18"/>
              </w:rPr>
              <w:t>Moderate</w:t>
            </w:r>
          </w:p>
        </w:tc>
        <w:tc>
          <w:tcPr>
            <w:tcW w:type="dxa" w:w="3600"/>
            <w:shd w:fill="F7F9FC"/>
          </w:tcPr>
          <w:p>
            <w:r/>
            <w:r>
              <w:rPr>
                <w:rFonts w:ascii="Calibri" w:hAnsi="Calibri"/>
                <w:sz w:val="18"/>
              </w:rPr>
              <w:t>New screen within existing module, workflow modification, new report</w:t>
            </w:r>
          </w:p>
        </w:tc>
        <w:tc>
          <w:tcPr>
            <w:tcW w:type="dxa" w:w="1728"/>
            <w:shd w:fill="F7F9FC"/>
          </w:tcPr>
          <w:p>
            <w:r/>
            <w:r>
              <w:rPr>
                <w:rFonts w:ascii="Calibri" w:hAnsi="Calibri"/>
                <w:sz w:val="18"/>
              </w:rPr>
              <w:t>1-2 sprints</w:t>
            </w:r>
          </w:p>
        </w:tc>
        <w:tc>
          <w:tcPr>
            <w:tcW w:type="dxa" w:w="2160"/>
            <w:shd w:fill="F7F9FC"/>
          </w:tcPr>
          <w:p>
            <w:r/>
            <w:r>
              <w:rPr>
                <w:rFonts w:ascii="Calibri" w:hAnsi="Calibri"/>
                <w:sz w:val="18"/>
              </w:rPr>
              <w:t>Quoted per CR</w:t>
            </w:r>
          </w:p>
        </w:tc>
        <w:tc>
          <w:tcPr>
            <w:tcW w:type="dxa" w:w="1872"/>
            <w:shd w:fill="F7F9FC"/>
          </w:tcPr>
          <w:p>
            <w:r/>
            <w:r>
              <w:rPr>
                <w:rFonts w:ascii="Calibri" w:hAnsi="Calibri"/>
                <w:sz w:val="18"/>
              </w:rPr>
              <w:t>CCB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18"/>
              </w:rPr>
              <w:t>Major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8"/>
              </w:rPr>
              <w:t>New module, new integration, architectural change, new user role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8"/>
              </w:rPr>
              <w:t>4+ sprints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8"/>
              </w:rPr>
              <w:t>Quoted per CR + retesting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Steering Committee</w:t>
            </w:r>
          </w:p>
        </w:tc>
      </w:tr>
      <w:tr>
        <w:tc>
          <w:tcPr>
            <w:tcW w:type="dxa" w:w="1440"/>
            <w:shd w:fill="F7F9FC"/>
          </w:tcPr>
          <w:p>
            <w:r/>
            <w:r>
              <w:rPr>
                <w:rFonts w:ascii="Calibri" w:hAnsi="Calibri"/>
                <w:sz w:val="18"/>
              </w:rPr>
              <w:t>Emergency</w:t>
            </w:r>
          </w:p>
        </w:tc>
        <w:tc>
          <w:tcPr>
            <w:tcW w:type="dxa" w:w="3600"/>
            <w:shd w:fill="F7F9FC"/>
          </w:tcPr>
          <w:p>
            <w:r/>
            <w:r>
              <w:rPr>
                <w:rFonts w:ascii="Calibri" w:hAnsi="Calibri"/>
                <w:sz w:val="18"/>
              </w:rPr>
              <w:t>Critical production fix outside normal process</w:t>
            </w:r>
          </w:p>
        </w:tc>
        <w:tc>
          <w:tcPr>
            <w:tcW w:type="dxa" w:w="1728"/>
            <w:shd w:fill="F7F9FC"/>
          </w:tcPr>
          <w:p>
            <w:r/>
            <w:r>
              <w:rPr>
                <w:rFonts w:ascii="Calibri" w:hAnsi="Calibri"/>
                <w:sz w:val="18"/>
              </w:rPr>
              <w:t>Immediate</w:t>
            </w:r>
          </w:p>
        </w:tc>
        <w:tc>
          <w:tcPr>
            <w:tcW w:type="dxa" w:w="2160"/>
            <w:shd w:fill="F7F9FC"/>
          </w:tcPr>
          <w:p>
            <w:r/>
            <w:r>
              <w:rPr>
                <w:rFonts w:ascii="Calibri" w:hAnsi="Calibri"/>
                <w:sz w:val="18"/>
              </w:rPr>
              <w:t>Post-facto CR</w:t>
            </w:r>
          </w:p>
        </w:tc>
        <w:tc>
          <w:tcPr>
            <w:tcW w:type="dxa" w:w="1872"/>
            <w:shd w:fill="F7F9FC"/>
          </w:tcPr>
          <w:p>
            <w:r/>
            <w:r>
              <w:rPr>
                <w:rFonts w:ascii="Calibri" w:hAnsi="Calibri"/>
                <w:sz w:val="18"/>
              </w:rPr>
              <w:t>Delivery Manager</w:t>
            </w:r>
          </w:p>
        </w:tc>
      </w:tr>
    </w:tbl>
    <w:p>
      <w:r>
        <w:br w:type="page"/>
      </w:r>
    </w:p>
    <w:p>
      <w:pPr>
        <w:pStyle w:val="Heading1"/>
      </w:pPr>
      <w:r>
        <w:t>13. Training &amp; Knowledge Transfer</w:t>
      </w:r>
    </w:p>
    <w:p>
      <w:pPr>
        <w:pStyle w:val="Heading2"/>
      </w:pPr>
      <w:r>
        <w:t>13.1 Training Program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592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Training Track</w:t>
            </w:r>
          </w:p>
        </w:tc>
        <w:tc>
          <w:tcPr>
            <w:tcW w:type="dxa" w:w="2592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Audience</w:t>
            </w:r>
          </w:p>
        </w:tc>
        <w:tc>
          <w:tcPr>
            <w:tcW w:type="dxa" w:w="1152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1440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Mode</w:t>
            </w:r>
          </w:p>
        </w:tc>
        <w:tc>
          <w:tcPr>
            <w:tcW w:type="dxa" w:w="3168"/>
            <w:shd w:fill="1B3A5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Deliverables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sz w:val="18"/>
              </w:rPr>
              <w:t>System Admin Training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18"/>
              </w:rPr>
              <w:t>Client IT team (L2-L3 roles)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18"/>
              </w:rPr>
              <w:t>3 days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18"/>
              </w:rPr>
              <w:t>On-site / Remote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sz w:val="18"/>
              </w:rPr>
              <w:t>Admin manual, video recordings, lab exercises</w:t>
            </w:r>
          </w:p>
        </w:tc>
      </w:tr>
      <w:tr>
        <w:tc>
          <w:tcPr>
            <w:tcW w:type="dxa" w:w="2592"/>
            <w:shd w:fill="F7F9FC"/>
          </w:tcPr>
          <w:p>
            <w:r/>
            <w:r>
              <w:rPr>
                <w:rFonts w:ascii="Calibri" w:hAnsi="Calibri"/>
                <w:sz w:val="18"/>
              </w:rPr>
              <w:t>End-User Training — Clinical</w:t>
            </w:r>
          </w:p>
        </w:tc>
        <w:tc>
          <w:tcPr>
            <w:tcW w:type="dxa" w:w="2592"/>
            <w:shd w:fill="F7F9FC"/>
          </w:tcPr>
          <w:p>
            <w:r/>
            <w:r>
              <w:rPr>
                <w:rFonts w:ascii="Calibri" w:hAnsi="Calibri"/>
                <w:sz w:val="18"/>
              </w:rPr>
              <w:t>Doctors, Nurses, Pharmacists, Lab technicians</w:t>
            </w:r>
          </w:p>
        </w:tc>
        <w:tc>
          <w:tcPr>
            <w:tcW w:type="dxa" w:w="1152"/>
            <w:shd w:fill="F7F9FC"/>
          </w:tcPr>
          <w:p>
            <w:r/>
            <w:r>
              <w:rPr>
                <w:rFonts w:ascii="Calibri" w:hAnsi="Calibri"/>
                <w:sz w:val="18"/>
              </w:rPr>
              <w:t>2 days per dept</w:t>
            </w:r>
          </w:p>
        </w:tc>
        <w:tc>
          <w:tcPr>
            <w:tcW w:type="dxa" w:w="1440"/>
            <w:shd w:fill="F7F9FC"/>
          </w:tcPr>
          <w:p>
            <w:r/>
            <w:r>
              <w:rPr>
                <w:rFonts w:ascii="Calibri" w:hAnsi="Calibri"/>
                <w:sz w:val="18"/>
              </w:rPr>
              <w:t>On-site</w:t>
            </w:r>
          </w:p>
        </w:tc>
        <w:tc>
          <w:tcPr>
            <w:tcW w:type="dxa" w:w="3168"/>
            <w:shd w:fill="F7F9FC"/>
          </w:tcPr>
          <w:p>
            <w:r/>
            <w:r>
              <w:rPr>
                <w:rFonts w:ascii="Calibri" w:hAnsi="Calibri"/>
                <w:sz w:val="18"/>
              </w:rPr>
              <w:t>Quick-reference cards, module-specific guides, video walkthroughs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sz w:val="18"/>
              </w:rPr>
              <w:t>End-User Training — Admin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18"/>
              </w:rPr>
              <w:t>Finance, HR, Inventory staff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18"/>
              </w:rPr>
              <w:t>2 days per dept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18"/>
              </w:rPr>
              <w:t>On-site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sz w:val="18"/>
              </w:rPr>
              <w:t>Process guides, cheat sheets, FAQ documents</w:t>
            </w:r>
          </w:p>
        </w:tc>
      </w:tr>
      <w:tr>
        <w:tc>
          <w:tcPr>
            <w:tcW w:type="dxa" w:w="2592"/>
            <w:shd w:fill="F7F9FC"/>
          </w:tcPr>
          <w:p>
            <w:r/>
            <w:r>
              <w:rPr>
                <w:rFonts w:ascii="Calibri" w:hAnsi="Calibri"/>
                <w:sz w:val="18"/>
              </w:rPr>
              <w:t>Train-the-Trainer</w:t>
            </w:r>
          </w:p>
        </w:tc>
        <w:tc>
          <w:tcPr>
            <w:tcW w:type="dxa" w:w="2592"/>
            <w:shd w:fill="F7F9FC"/>
          </w:tcPr>
          <w:p>
            <w:r/>
            <w:r>
              <w:rPr>
                <w:rFonts w:ascii="Calibri" w:hAnsi="Calibri"/>
                <w:sz w:val="18"/>
              </w:rPr>
              <w:t>Client nominated super-users (2 per dept)</w:t>
            </w:r>
          </w:p>
        </w:tc>
        <w:tc>
          <w:tcPr>
            <w:tcW w:type="dxa" w:w="1152"/>
            <w:shd w:fill="F7F9FC"/>
          </w:tcPr>
          <w:p>
            <w:r/>
            <w:r>
              <w:rPr>
                <w:rFonts w:ascii="Calibri" w:hAnsi="Calibri"/>
                <w:sz w:val="18"/>
              </w:rPr>
              <w:t>3 days</w:t>
            </w:r>
          </w:p>
        </w:tc>
        <w:tc>
          <w:tcPr>
            <w:tcW w:type="dxa" w:w="1440"/>
            <w:shd w:fill="F7F9FC"/>
          </w:tcPr>
          <w:p>
            <w:r/>
            <w:r>
              <w:rPr>
                <w:rFonts w:ascii="Calibri" w:hAnsi="Calibri"/>
                <w:sz w:val="18"/>
              </w:rPr>
              <w:t>On-site</w:t>
            </w:r>
          </w:p>
        </w:tc>
        <w:tc>
          <w:tcPr>
            <w:tcW w:type="dxa" w:w="3168"/>
            <w:shd w:fill="F7F9FC"/>
          </w:tcPr>
          <w:p>
            <w:r/>
            <w:r>
              <w:rPr>
                <w:rFonts w:ascii="Calibri" w:hAnsi="Calibri"/>
                <w:sz w:val="18"/>
              </w:rPr>
              <w:t>Trainer kit, presentation slides, assessment templates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sz w:val="18"/>
              </w:rPr>
              <w:t>Patient Portal Orientation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18"/>
              </w:rPr>
              <w:t>Front desk staff for patient guidance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18"/>
              </w:rPr>
              <w:t>1 day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18"/>
              </w:rPr>
              <w:t>On-site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sz w:val="18"/>
              </w:rPr>
              <w:t>Patient onboarding script, demo environment access</w:t>
            </w:r>
          </w:p>
        </w:tc>
      </w:tr>
      <w:tr>
        <w:tc>
          <w:tcPr>
            <w:tcW w:type="dxa" w:w="2592"/>
            <w:shd w:fill="F7F9FC"/>
          </w:tcPr>
          <w:p>
            <w:r/>
            <w:r>
              <w:rPr>
                <w:rFonts w:ascii="Calibri" w:hAnsi="Calibri"/>
                <w:sz w:val="18"/>
              </w:rPr>
              <w:t>DevOps &amp; Operations</w:t>
            </w:r>
          </w:p>
        </w:tc>
        <w:tc>
          <w:tcPr>
            <w:tcW w:type="dxa" w:w="2592"/>
            <w:shd w:fill="F7F9FC"/>
          </w:tcPr>
          <w:p>
            <w:r/>
            <w:r>
              <w:rPr>
                <w:rFonts w:ascii="Calibri" w:hAnsi="Calibri"/>
                <w:sz w:val="18"/>
              </w:rPr>
              <w:t>Client DevOps/IT Ops team</w:t>
            </w:r>
          </w:p>
        </w:tc>
        <w:tc>
          <w:tcPr>
            <w:tcW w:type="dxa" w:w="1152"/>
            <w:shd w:fill="F7F9FC"/>
          </w:tcPr>
          <w:p>
            <w:r/>
            <w:r>
              <w:rPr>
                <w:rFonts w:ascii="Calibri" w:hAnsi="Calibri"/>
                <w:sz w:val="18"/>
              </w:rPr>
              <w:t>2 days</w:t>
            </w:r>
          </w:p>
        </w:tc>
        <w:tc>
          <w:tcPr>
            <w:tcW w:type="dxa" w:w="1440"/>
            <w:shd w:fill="F7F9FC"/>
          </w:tcPr>
          <w:p>
            <w:r/>
            <w:r>
              <w:rPr>
                <w:rFonts w:ascii="Calibri" w:hAnsi="Calibri"/>
                <w:sz w:val="18"/>
              </w:rPr>
              <w:t>Remote</w:t>
            </w:r>
          </w:p>
        </w:tc>
        <w:tc>
          <w:tcPr>
            <w:tcW w:type="dxa" w:w="3168"/>
            <w:shd w:fill="F7F9FC"/>
          </w:tcPr>
          <w:p>
            <w:r/>
            <w:r>
              <w:rPr>
                <w:rFonts w:ascii="Calibri" w:hAnsi="Calibri"/>
                <w:sz w:val="18"/>
              </w:rPr>
              <w:t>Runbook, monitoring dashboards, incident playbooks</w:t>
            </w:r>
          </w:p>
        </w:tc>
      </w:tr>
    </w:tbl>
    <w:p>
      <w:pPr>
        <w:pStyle w:val="Heading2"/>
      </w:pPr>
      <w:r>
        <w:t>13.2 Knowledge Transfer</w:t>
      </w:r>
    </w:p>
    <w:p>
      <w:pPr>
        <w:pStyle w:val="ListBullet"/>
      </w:pPr>
      <w:r/>
      <w:r>
        <w:rPr>
          <w:rFonts w:ascii="Calibri" w:hAnsi="Calibri"/>
          <w:b/>
          <w:sz w:val="20"/>
        </w:rPr>
        <w:t xml:space="preserve">Code Repository Access: </w:t>
      </w:r>
      <w:r>
        <w:rPr>
          <w:rFonts w:ascii="Calibri" w:hAnsi="Calibri"/>
          <w:sz w:val="20"/>
        </w:rPr>
        <w:t>Full source code access via private GitHub repository; branch-based development with PR reviews</w:t>
      </w:r>
    </w:p>
    <w:p>
      <w:pPr>
        <w:pStyle w:val="ListBullet"/>
      </w:pPr>
      <w:r/>
      <w:r>
        <w:rPr>
          <w:rFonts w:ascii="Calibri" w:hAnsi="Calibri"/>
          <w:b/>
          <w:sz w:val="20"/>
        </w:rPr>
        <w:t xml:space="preserve">Documentation: </w:t>
      </w:r>
      <w:r>
        <w:rPr>
          <w:rFonts w:ascii="Calibri" w:hAnsi="Calibri"/>
          <w:sz w:val="20"/>
        </w:rPr>
        <w:t>Architecture Design Document, API docs (Swagger), Database schemas, Deployment runbooks, Operations manual</w:t>
      </w:r>
    </w:p>
    <w:p>
      <w:pPr>
        <w:pStyle w:val="ListBullet"/>
      </w:pPr>
      <w:r/>
      <w:r>
        <w:rPr>
          <w:rFonts w:ascii="Calibri" w:hAnsi="Calibri"/>
          <w:b/>
          <w:sz w:val="20"/>
        </w:rPr>
        <w:t xml:space="preserve">Recorded Sessions: </w:t>
      </w:r>
      <w:r>
        <w:rPr>
          <w:rFonts w:ascii="Calibri" w:hAnsi="Calibri"/>
          <w:sz w:val="20"/>
        </w:rPr>
        <w:t>All training sessions and architecture walkthroughs recorded and delivered as video files</w:t>
      </w:r>
    </w:p>
    <w:p>
      <w:pPr>
        <w:pStyle w:val="ListBullet"/>
      </w:pPr>
      <w:r/>
      <w:r>
        <w:rPr>
          <w:rFonts w:ascii="Calibri" w:hAnsi="Calibri"/>
          <w:b/>
          <w:sz w:val="20"/>
        </w:rPr>
        <w:t xml:space="preserve">Handover Period: </w:t>
      </w:r>
      <w:r>
        <w:rPr>
          <w:rFonts w:ascii="Calibri" w:hAnsi="Calibri"/>
          <w:sz w:val="20"/>
        </w:rPr>
        <w:t>4 weeks overlap during hypercare for gradual ownership transfer to client IT team</w:t>
      </w:r>
    </w:p>
    <w:p>
      <w:pPr>
        <w:pStyle w:val="ListBullet"/>
      </w:pPr>
      <w:r/>
      <w:r>
        <w:rPr>
          <w:rFonts w:ascii="Calibri" w:hAnsi="Calibri"/>
          <w:b/>
          <w:sz w:val="20"/>
        </w:rPr>
        <w:t xml:space="preserve">Post-Handover Support: </w:t>
      </w:r>
      <w:r>
        <w:rPr>
          <w:rFonts w:ascii="Calibri" w:hAnsi="Calibri"/>
          <w:sz w:val="20"/>
        </w:rPr>
        <w:t>Email/Slack support channel available during warranty period for queries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t>14. Acceptance Criteria &amp; Sign-Off Process</w:t>
      </w:r>
    </w:p>
    <w:p>
      <w:pPr>
        <w:pStyle w:val="Heading2"/>
      </w:pPr>
      <w:r>
        <w:t>14.1 Acceptance Framework</w:t>
      </w:r>
    </w:p>
    <w:p>
      <w:r>
        <w:t xml:space="preserve">All deliverables shall undergo a formal acceptance process comprising three gates: </w:t>
      </w:r>
      <w:r>
        <w:rPr>
          <w:b/>
        </w:rPr>
        <w:t xml:space="preserve">Technical Verification, Functional Validation, </w:t>
      </w:r>
      <w:r>
        <w:t xml:space="preserve">and </w:t>
      </w:r>
      <w:r>
        <w:rPr>
          <w:b/>
        </w:rPr>
        <w:t>Business Acceptance.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Gate</w:t>
            </w:r>
          </w:p>
        </w:tc>
        <w:tc>
          <w:tcPr>
            <w:tcW w:type="dxa" w:w="1872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Conducted By</w:t>
            </w:r>
          </w:p>
        </w:tc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Criteria</w:t>
            </w:r>
          </w:p>
        </w:tc>
        <w:tc>
          <w:tcPr>
            <w:tcW w:type="dxa" w:w="1440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1872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Outcome</w:t>
            </w:r>
          </w:p>
        </w:tc>
      </w:tr>
      <w:tr>
        <w:tc>
          <w:tcPr>
            <w:tcW w:type="dxa" w:w="1728"/>
            <w:shd w:fill="F7F9FC"/>
          </w:tcPr>
          <w:p>
            <w:r/>
            <w:r>
              <w:rPr>
                <w:sz w:val="17"/>
              </w:rPr>
              <w:t>Gate 1: Technical</w:t>
            </w:r>
          </w:p>
        </w:tc>
        <w:tc>
          <w:tcPr>
            <w:tcW w:type="dxa" w:w="1872"/>
            <w:shd w:fill="F7F9FC"/>
          </w:tcPr>
          <w:p>
            <w:r/>
            <w:r>
              <w:rPr>
                <w:sz w:val="17"/>
              </w:rPr>
              <w:t>TGWT QA + Client IT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sz w:val="17"/>
              </w:rPr>
              <w:t>Code review, security scan, performance benchmarks pass</w:t>
            </w:r>
          </w:p>
        </w:tc>
        <w:tc>
          <w:tcPr>
            <w:tcW w:type="dxa" w:w="1440"/>
            <w:shd w:fill="F7F9FC"/>
          </w:tcPr>
          <w:p>
            <w:r/>
            <w:r>
              <w:rPr>
                <w:sz w:val="17"/>
              </w:rPr>
              <w:t>5 business days</w:t>
            </w:r>
          </w:p>
        </w:tc>
        <w:tc>
          <w:tcPr>
            <w:tcW w:type="dxa" w:w="1872"/>
            <w:shd w:fill="F7F9FC"/>
          </w:tcPr>
          <w:p>
            <w:r/>
            <w:r>
              <w:rPr>
                <w:sz w:val="17"/>
              </w:rPr>
              <w:t>Technical Sign-Off Certificate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Gate 2: Functional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Client SMEs + Dept Heads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All use cases executed, edge cases validated, UAT scripts pass ≥95%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10 business days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UAT Sign-Off Certificate</w:t>
            </w:r>
          </w:p>
        </w:tc>
      </w:tr>
      <w:tr>
        <w:tc>
          <w:tcPr>
            <w:tcW w:type="dxa" w:w="1728"/>
            <w:shd w:fill="F7F9FC"/>
          </w:tcPr>
          <w:p>
            <w:r/>
            <w:r>
              <w:rPr>
                <w:sz w:val="17"/>
              </w:rPr>
              <w:t>Gate 3: Business</w:t>
            </w:r>
          </w:p>
        </w:tc>
        <w:tc>
          <w:tcPr>
            <w:tcW w:type="dxa" w:w="1872"/>
            <w:shd w:fill="F7F9FC"/>
          </w:tcPr>
          <w:p>
            <w:r/>
            <w:r>
              <w:rPr>
                <w:sz w:val="17"/>
              </w:rPr>
              <w:t>Client CXO / Project Sponsor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sz w:val="17"/>
              </w:rPr>
              <w:t>Business KPIs achievable, workflow alignment confirmed</w:t>
            </w:r>
          </w:p>
        </w:tc>
        <w:tc>
          <w:tcPr>
            <w:tcW w:type="dxa" w:w="1440"/>
            <w:shd w:fill="F7F9FC"/>
          </w:tcPr>
          <w:p>
            <w:r/>
            <w:r>
              <w:rPr>
                <w:sz w:val="17"/>
              </w:rPr>
              <w:t>5 business days</w:t>
            </w:r>
          </w:p>
        </w:tc>
        <w:tc>
          <w:tcPr>
            <w:tcW w:type="dxa" w:w="1872"/>
            <w:shd w:fill="F7F9FC"/>
          </w:tcPr>
          <w:p>
            <w:r/>
            <w:r>
              <w:rPr>
                <w:sz w:val="17"/>
              </w:rPr>
              <w:t>Final Acceptance Certificate</w:t>
            </w:r>
          </w:p>
        </w:tc>
      </w:tr>
    </w:tbl>
    <w:p>
      <w:pPr>
        <w:pStyle w:val="Heading2"/>
      </w:pPr>
      <w:r>
        <w:t>14.2 UAT Criteria by Module</w:t>
      </w:r>
    </w:p>
    <w:p>
      <w:r>
        <w:t>Each module must satisfy the following minimum acceptance thresholds: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1296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Min Test Cases</w:t>
            </w:r>
          </w:p>
        </w:tc>
        <w:tc>
          <w:tcPr>
            <w:tcW w:type="dxa" w:w="1440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Pass Rate Required</w:t>
            </w:r>
          </w:p>
        </w:tc>
        <w:tc>
          <w:tcPr>
            <w:tcW w:type="dxa" w:w="1728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Critical Defects Allowed</w:t>
            </w:r>
          </w:p>
        </w:tc>
        <w:tc>
          <w:tcPr>
            <w:tcW w:type="dxa" w:w="3600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Performance SLA</w:t>
            </w:r>
          </w:p>
        </w:tc>
      </w:tr>
      <w:tr>
        <w:tc>
          <w:tcPr>
            <w:tcW w:type="dxa" w:w="1728"/>
            <w:shd w:fill="F7F9FC"/>
          </w:tcPr>
          <w:p>
            <w:r/>
            <w:r>
              <w:rPr>
                <w:sz w:val="17"/>
              </w:rPr>
              <w:t>M01 OPD</w:t>
            </w:r>
          </w:p>
        </w:tc>
        <w:tc>
          <w:tcPr>
            <w:tcW w:type="dxa" w:w="1296"/>
            <w:shd w:fill="F7F9FC"/>
          </w:tcPr>
          <w:p>
            <w:r/>
            <w:r>
              <w:rPr>
                <w:sz w:val="17"/>
              </w:rPr>
              <w:t>85</w:t>
            </w:r>
          </w:p>
        </w:tc>
        <w:tc>
          <w:tcPr>
            <w:tcW w:type="dxa" w:w="1440"/>
            <w:shd w:fill="F7F9FC"/>
          </w:tcPr>
          <w:p>
            <w:r/>
            <w:r>
              <w:rPr>
                <w:sz w:val="17"/>
              </w:rPr>
              <w:t>≥95%</w:t>
            </w:r>
          </w:p>
        </w:tc>
        <w:tc>
          <w:tcPr>
            <w:tcW w:type="dxa" w:w="1728"/>
            <w:shd w:fill="F7F9FC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3600"/>
            <w:shd w:fill="F7F9FC"/>
          </w:tcPr>
          <w:p>
            <w:r/>
            <w:r>
              <w:rPr>
                <w:sz w:val="17"/>
              </w:rPr>
              <w:t>Registration &lt;3s, Queue refresh &lt;1s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M02 Pharmacy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70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≥95%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Dispensing &lt;2s, Stock query &lt;1s</w:t>
            </w:r>
          </w:p>
        </w:tc>
      </w:tr>
      <w:tr>
        <w:tc>
          <w:tcPr>
            <w:tcW w:type="dxa" w:w="1728"/>
            <w:shd w:fill="F7F9FC"/>
          </w:tcPr>
          <w:p>
            <w:r/>
            <w:r>
              <w:rPr>
                <w:sz w:val="17"/>
              </w:rPr>
              <w:t>M03 Laboratory</w:t>
            </w:r>
          </w:p>
        </w:tc>
        <w:tc>
          <w:tcPr>
            <w:tcW w:type="dxa" w:w="1296"/>
            <w:shd w:fill="F7F9FC"/>
          </w:tcPr>
          <w:p>
            <w:r/>
            <w:r>
              <w:rPr>
                <w:sz w:val="17"/>
              </w:rPr>
              <w:t>65</w:t>
            </w:r>
          </w:p>
        </w:tc>
        <w:tc>
          <w:tcPr>
            <w:tcW w:type="dxa" w:w="1440"/>
            <w:shd w:fill="F7F9FC"/>
          </w:tcPr>
          <w:p>
            <w:r/>
            <w:r>
              <w:rPr>
                <w:sz w:val="17"/>
              </w:rPr>
              <w:t>≥95%</w:t>
            </w:r>
          </w:p>
        </w:tc>
        <w:tc>
          <w:tcPr>
            <w:tcW w:type="dxa" w:w="1728"/>
            <w:shd w:fill="F7F9FC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3600"/>
            <w:shd w:fill="F7F9FC"/>
          </w:tcPr>
          <w:p>
            <w:r/>
            <w:r>
              <w:rPr>
                <w:sz w:val="17"/>
              </w:rPr>
              <w:t>Result entry &lt;2s, Report gen &lt;5s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M04 Finance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60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≥98%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Bill generation &lt;3s, Receipt &lt;2s</w:t>
            </w:r>
          </w:p>
        </w:tc>
      </w:tr>
      <w:tr>
        <w:tc>
          <w:tcPr>
            <w:tcW w:type="dxa" w:w="1728"/>
            <w:shd w:fill="F7F9FC"/>
          </w:tcPr>
          <w:p>
            <w:r/>
            <w:r>
              <w:rPr>
                <w:sz w:val="17"/>
              </w:rPr>
              <w:t>M05 HR &amp; Payroll</w:t>
            </w:r>
          </w:p>
        </w:tc>
        <w:tc>
          <w:tcPr>
            <w:tcW w:type="dxa" w:w="1296"/>
            <w:shd w:fill="F7F9FC"/>
          </w:tcPr>
          <w:p>
            <w:r/>
            <w:r>
              <w:rPr>
                <w:sz w:val="17"/>
              </w:rPr>
              <w:t>55</w:t>
            </w:r>
          </w:p>
        </w:tc>
        <w:tc>
          <w:tcPr>
            <w:tcW w:type="dxa" w:w="1440"/>
            <w:shd w:fill="F7F9FC"/>
          </w:tcPr>
          <w:p>
            <w:r/>
            <w:r>
              <w:rPr>
                <w:sz w:val="17"/>
              </w:rPr>
              <w:t>≥95%</w:t>
            </w:r>
          </w:p>
        </w:tc>
        <w:tc>
          <w:tcPr>
            <w:tcW w:type="dxa" w:w="1728"/>
            <w:shd w:fill="F7F9FC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3600"/>
            <w:shd w:fill="F7F9FC"/>
          </w:tcPr>
          <w:p>
            <w:r/>
            <w:r>
              <w:rPr>
                <w:sz w:val="17"/>
              </w:rPr>
              <w:t>Payroll run &lt;30s (100 emp)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M06 Inventory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50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≥95%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Stock dashboard &lt;2s</w:t>
            </w:r>
          </w:p>
        </w:tc>
      </w:tr>
      <w:tr>
        <w:tc>
          <w:tcPr>
            <w:tcW w:type="dxa" w:w="1728"/>
            <w:shd w:fill="F7F9FC"/>
          </w:tcPr>
          <w:p>
            <w:r/>
            <w:r>
              <w:rPr>
                <w:sz w:val="17"/>
              </w:rPr>
              <w:t>M07 BI &amp; Reports</w:t>
            </w:r>
          </w:p>
        </w:tc>
        <w:tc>
          <w:tcPr>
            <w:tcW w:type="dxa" w:w="1296"/>
            <w:shd w:fill="F7F9FC"/>
          </w:tcPr>
          <w:p>
            <w:r/>
            <w:r>
              <w:rPr>
                <w:sz w:val="17"/>
              </w:rPr>
              <w:t>40</w:t>
            </w:r>
          </w:p>
        </w:tc>
        <w:tc>
          <w:tcPr>
            <w:tcW w:type="dxa" w:w="1440"/>
            <w:shd w:fill="F7F9FC"/>
          </w:tcPr>
          <w:p>
            <w:r/>
            <w:r>
              <w:rPr>
                <w:sz w:val="17"/>
              </w:rPr>
              <w:t>≥90%</w:t>
            </w:r>
          </w:p>
        </w:tc>
        <w:tc>
          <w:tcPr>
            <w:tcW w:type="dxa" w:w="1728"/>
            <w:shd w:fill="F7F9FC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3600"/>
            <w:shd w:fill="F7F9FC"/>
          </w:tcPr>
          <w:p>
            <w:r/>
            <w:r>
              <w:rPr>
                <w:sz w:val="17"/>
              </w:rPr>
              <w:t>Dashboard load &lt;5s, Export &lt;10s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M08 Patient Portal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45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≥95%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Login &lt;2s, Booking &lt;3s</w:t>
            </w:r>
          </w:p>
        </w:tc>
      </w:tr>
      <w:tr>
        <w:tc>
          <w:tcPr>
            <w:tcW w:type="dxa" w:w="1728"/>
            <w:shd w:fill="F7F9FC"/>
          </w:tcPr>
          <w:p>
            <w:r/>
            <w:r>
              <w:rPr>
                <w:sz w:val="17"/>
              </w:rPr>
              <w:t>M09 Audit</w:t>
            </w:r>
          </w:p>
        </w:tc>
        <w:tc>
          <w:tcPr>
            <w:tcW w:type="dxa" w:w="1296"/>
            <w:shd w:fill="F7F9FC"/>
          </w:tcPr>
          <w:p>
            <w:r/>
            <w:r>
              <w:rPr>
                <w:sz w:val="17"/>
              </w:rPr>
              <w:t>35</w:t>
            </w:r>
          </w:p>
        </w:tc>
        <w:tc>
          <w:tcPr>
            <w:tcW w:type="dxa" w:w="1440"/>
            <w:shd w:fill="F7F9FC"/>
          </w:tcPr>
          <w:p>
            <w:r/>
            <w:r>
              <w:rPr>
                <w:sz w:val="17"/>
              </w:rPr>
              <w:t>≥98%</w:t>
            </w:r>
          </w:p>
        </w:tc>
        <w:tc>
          <w:tcPr>
            <w:tcW w:type="dxa" w:w="1728"/>
            <w:shd w:fill="F7F9FC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3600"/>
            <w:shd w:fill="F7F9FC"/>
          </w:tcPr>
          <w:p>
            <w:r/>
            <w:r>
              <w:rPr>
                <w:sz w:val="17"/>
              </w:rPr>
              <w:t>Log search &lt;3s (1M records)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M10 IPD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60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≥95%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Bed map &lt;2s, Vitals entry &lt;1s</w:t>
            </w:r>
          </w:p>
        </w:tc>
      </w:tr>
      <w:tr>
        <w:tc>
          <w:tcPr>
            <w:tcW w:type="dxa" w:w="1728"/>
            <w:shd w:fill="F7F9FC"/>
          </w:tcPr>
          <w:p>
            <w:r/>
            <w:r>
              <w:rPr>
                <w:sz w:val="17"/>
              </w:rPr>
              <w:t>M11 Appointments</w:t>
            </w:r>
          </w:p>
        </w:tc>
        <w:tc>
          <w:tcPr>
            <w:tcW w:type="dxa" w:w="1296"/>
            <w:shd w:fill="F7F9FC"/>
          </w:tcPr>
          <w:p>
            <w:r/>
            <w:r>
              <w:rPr>
                <w:sz w:val="17"/>
              </w:rPr>
              <w:t>40</w:t>
            </w:r>
          </w:p>
        </w:tc>
        <w:tc>
          <w:tcPr>
            <w:tcW w:type="dxa" w:w="1440"/>
            <w:shd w:fill="F7F9FC"/>
          </w:tcPr>
          <w:p>
            <w:r/>
            <w:r>
              <w:rPr>
                <w:sz w:val="17"/>
              </w:rPr>
              <w:t>≥95%</w:t>
            </w:r>
          </w:p>
        </w:tc>
        <w:tc>
          <w:tcPr>
            <w:tcW w:type="dxa" w:w="1728"/>
            <w:shd w:fill="F7F9FC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3600"/>
            <w:shd w:fill="F7F9FC"/>
          </w:tcPr>
          <w:p>
            <w:r/>
            <w:r>
              <w:rPr>
                <w:sz w:val="17"/>
              </w:rPr>
              <w:t>Slot search &lt;1s, Check-in &lt;2s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M12 Platform Admin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30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≥98%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Tenant provision &lt;60s</w:t>
            </w:r>
          </w:p>
        </w:tc>
      </w:tr>
    </w:tbl>
    <w:p>
      <w:pPr>
        <w:pStyle w:val="Heading2"/>
      </w:pPr>
      <w:r>
        <w:t>14.3 Defect Classification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3600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Definition</w:t>
            </w:r>
          </w:p>
        </w:tc>
        <w:tc>
          <w:tcPr>
            <w:tcW w:type="dxa" w:w="1728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Resolution SLA</w:t>
            </w:r>
          </w:p>
        </w:tc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Impact on Acceptance</w:t>
            </w:r>
          </w:p>
        </w:tc>
      </w:tr>
      <w:tr>
        <w:tc>
          <w:tcPr>
            <w:tcW w:type="dxa" w:w="1440"/>
            <w:shd w:fill="F7F9FC"/>
          </w:tcPr>
          <w:p>
            <w:r/>
            <w:r>
              <w:rPr>
                <w:sz w:val="17"/>
              </w:rPr>
              <w:t>S1 — Critical</w:t>
            </w:r>
          </w:p>
        </w:tc>
        <w:tc>
          <w:tcPr>
            <w:tcW w:type="dxa" w:w="3600"/>
            <w:shd w:fill="F7F9FC"/>
          </w:tcPr>
          <w:p>
            <w:r/>
            <w:r>
              <w:rPr>
                <w:sz w:val="17"/>
              </w:rPr>
              <w:t>System crash, data loss, security breach, billing error</w:t>
            </w:r>
          </w:p>
        </w:tc>
        <w:tc>
          <w:tcPr>
            <w:tcW w:type="dxa" w:w="1728"/>
            <w:shd w:fill="F7F9FC"/>
          </w:tcPr>
          <w:p>
            <w:r/>
            <w:r>
              <w:rPr>
                <w:sz w:val="17"/>
              </w:rPr>
              <w:t>4 hours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sz w:val="17"/>
              </w:rPr>
              <w:t>Blocks acceptance; must be zero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S2 — Major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Feature non-functional, workflow broken, incorrect calculations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8 hours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Must be resolved before sign-off</w:t>
            </w:r>
          </w:p>
        </w:tc>
      </w:tr>
      <w:tr>
        <w:tc>
          <w:tcPr>
            <w:tcW w:type="dxa" w:w="1440"/>
            <w:shd w:fill="F7F9FC"/>
          </w:tcPr>
          <w:p>
            <w:r/>
            <w:r>
              <w:rPr>
                <w:sz w:val="17"/>
              </w:rPr>
              <w:t>S3 — Minor</w:t>
            </w:r>
          </w:p>
        </w:tc>
        <w:tc>
          <w:tcPr>
            <w:tcW w:type="dxa" w:w="3600"/>
            <w:shd w:fill="F7F9FC"/>
          </w:tcPr>
          <w:p>
            <w:r/>
            <w:r>
              <w:rPr>
                <w:sz w:val="17"/>
              </w:rPr>
              <w:t>UI inconsistency, non-critical validation missing</w:t>
            </w:r>
          </w:p>
        </w:tc>
        <w:tc>
          <w:tcPr>
            <w:tcW w:type="dxa" w:w="1728"/>
            <w:shd w:fill="F7F9FC"/>
          </w:tcPr>
          <w:p>
            <w:r/>
            <w:r>
              <w:rPr>
                <w:sz w:val="17"/>
              </w:rPr>
              <w:t>3 business days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sz w:val="17"/>
              </w:rPr>
              <w:t>≤5 open allowed at sign-off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S4 — Cosmetic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Typo, alignment, color deviation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5 business days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Can be deferred to next release</w:t>
            </w:r>
          </w:p>
        </w:tc>
      </w:tr>
    </w:tbl>
    <w:p>
      <w:pPr>
        <w:pStyle w:val="Heading2"/>
      </w:pPr>
      <w:r>
        <w:t>14.4 Sign-Off Process</w:t>
      </w:r>
    </w:p>
    <w:p>
      <w:pPr>
        <w:pStyle w:val="ListBullet"/>
      </w:pPr>
      <w:r>
        <w:rPr>
          <w:b/>
        </w:rPr>
        <w:t>Step 1 — Deliverable Submission</w:t>
      </w:r>
      <w:r>
        <w:t xml:space="preserve"> — TGWT submits deliverable with test evidence, deployment guide, and release notes</w:t>
      </w:r>
    </w:p>
    <w:p>
      <w:pPr>
        <w:pStyle w:val="ListBullet"/>
      </w:pPr>
      <w:r>
        <w:rPr>
          <w:b/>
        </w:rPr>
        <w:t>Step 2 — Client Review Window</w:t>
      </w:r>
      <w:r>
        <w:t xml:space="preserve"> — 10 business days for functional validation using provided UAT scripts</w:t>
      </w:r>
    </w:p>
    <w:p>
      <w:pPr>
        <w:pStyle w:val="ListBullet"/>
      </w:pPr>
      <w:r>
        <w:rPr>
          <w:b/>
        </w:rPr>
        <w:t>Step 3 — Defect Reporting</w:t>
      </w:r>
      <w:r>
        <w:t xml:space="preserve"> — Client logs defects in shared JIRA project with severity classification</w:t>
      </w:r>
    </w:p>
    <w:p>
      <w:pPr>
        <w:pStyle w:val="ListBullet"/>
      </w:pPr>
      <w:r>
        <w:rPr>
          <w:b/>
        </w:rPr>
        <w:t>Step 4 — Defect Resolution</w:t>
      </w:r>
      <w:r>
        <w:t xml:space="preserve"> — TGWT resolves all S1/S2 defects within SLA; retesting by client</w:t>
      </w:r>
    </w:p>
    <w:p>
      <w:pPr>
        <w:pStyle w:val="ListBullet"/>
      </w:pPr>
      <w:r>
        <w:rPr>
          <w:b/>
        </w:rPr>
        <w:t>Step 5 — Acceptance Decision</w:t>
      </w:r>
      <w:r>
        <w:t xml:space="preserve"> — Client issues Acceptance Certificate or Conditional Acceptance with punch list</w:t>
      </w:r>
    </w:p>
    <w:p>
      <w:pPr>
        <w:pStyle w:val="ListBullet"/>
      </w:pPr>
      <w:r>
        <w:rPr>
          <w:b/>
        </w:rPr>
        <w:t>Step 6 — Deemed Acceptance</w:t>
      </w:r>
      <w:r>
        <w:t xml:space="preserve"> — If no response within 15 business days of submission, deliverable is deemed accepted</w:t>
      </w:r>
    </w:p>
    <w:p>
      <w:pPr>
        <w:shd w:fill="FFF3CD"/>
      </w:pPr>
      <w:r>
        <w:rPr>
          <w:b/>
          <w:color w:val="856D0A"/>
          <w:sz w:val="18"/>
        </w:rPr>
        <w:t xml:space="preserve">  NOTE: </w:t>
      </w:r>
      <w:r>
        <w:rPr>
          <w:color w:val="856D0A"/>
          <w:sz w:val="18"/>
        </w:rPr>
        <w:t>Conditional Acceptance allows Go-Live with a documented punch list of ≤5 S3/S4 defects to be resolved within 15 business days post Go-Live.</w:t>
      </w:r>
    </w:p>
    <w:p>
      <w:r>
        <w:br w:type="page"/>
      </w:r>
    </w:p>
    <w:p>
      <w:pPr>
        <w:pStyle w:val="Heading1"/>
      </w:pPr>
      <w:r>
        <w:t>15. Assumptions &amp; Dependencies</w:t>
      </w:r>
    </w:p>
    <w:p>
      <w:pPr>
        <w:pStyle w:val="Heading2"/>
      </w:pPr>
      <w:r>
        <w:t>15.1 Client-Side Assumptions</w:t>
      </w:r>
    </w:p>
    <w:p>
      <w:pPr>
        <w:pStyle w:val="ListBullet"/>
      </w:pPr>
      <w:r>
        <w:rPr>
          <w:b/>
        </w:rPr>
        <w:t>Infrastructure Readiness</w:t>
      </w:r>
      <w:r>
        <w:t xml:space="preserve"> — Client provides cloud account (AWS/Azure) with admin access within 2 weeks of project kick-off</w:t>
      </w:r>
    </w:p>
    <w:p>
      <w:pPr>
        <w:pStyle w:val="ListBullet"/>
      </w:pPr>
      <w:r>
        <w:rPr>
          <w:b/>
        </w:rPr>
        <w:t>Network Connectivity</w:t>
      </w:r>
      <w:r>
        <w:t xml:space="preserve"> — All branch locations have minimum 50 Mbps dedicated internet with VPN capability</w:t>
      </w:r>
    </w:p>
    <w:p>
      <w:pPr>
        <w:pStyle w:val="ListBullet"/>
      </w:pPr>
      <w:r>
        <w:rPr>
          <w:b/>
        </w:rPr>
        <w:t>Hardware Availability</w:t>
      </w:r>
      <w:r>
        <w:t xml:space="preserve"> — Workstations, barcode scanners, label printers, and biometric devices procured by client before Phase 9</w:t>
      </w:r>
    </w:p>
    <w:p>
      <w:pPr>
        <w:pStyle w:val="ListBullet"/>
      </w:pPr>
      <w:r>
        <w:rPr>
          <w:b/>
        </w:rPr>
        <w:t>Active Directory / SSO</w:t>
      </w:r>
      <w:r>
        <w:t xml:space="preserve"> — Client provides LDAP/AD integration details if SSO is required; SAML 2.0 IdP available</w:t>
      </w:r>
    </w:p>
    <w:p>
      <w:pPr>
        <w:pStyle w:val="ListBullet"/>
      </w:pPr>
      <w:r>
        <w:rPr>
          <w:b/>
        </w:rPr>
        <w:t>Data Migration</w:t>
      </w:r>
      <w:r>
        <w:t xml:space="preserve"> — Client provides legacy data in agreed CSV/Excel format with data dictionary within 4 weeks of Phase 7 start</w:t>
      </w:r>
    </w:p>
    <w:p>
      <w:pPr>
        <w:pStyle w:val="ListBullet"/>
      </w:pPr>
      <w:r>
        <w:rPr>
          <w:b/>
        </w:rPr>
        <w:t>Subject Matter Experts</w:t>
      </w:r>
      <w:r>
        <w:t xml:space="preserve"> — Client assigns dedicated SMEs (1 per module) available ≥4 hours/week throughout project</w:t>
      </w:r>
    </w:p>
    <w:p>
      <w:pPr>
        <w:pStyle w:val="ListBullet"/>
      </w:pPr>
      <w:r>
        <w:rPr>
          <w:b/>
        </w:rPr>
        <w:t>Decision Authority</w:t>
      </w:r>
      <w:r>
        <w:t xml:space="preserve"> — Client Project Manager has authority to approve designs and UAT within 5 business days</w:t>
      </w:r>
    </w:p>
    <w:p>
      <w:pPr>
        <w:pStyle w:val="ListBullet"/>
      </w:pPr>
      <w:r>
        <w:rPr>
          <w:b/>
        </w:rPr>
        <w:t>Regulatory Licenses</w:t>
      </w:r>
      <w:r>
        <w:t xml:space="preserve"> — Client possesses valid hospital licenses, drug licenses, and lab accreditation certificates</w:t>
      </w:r>
    </w:p>
    <w:p>
      <w:pPr>
        <w:pStyle w:val="ListBullet"/>
      </w:pPr>
      <w:r>
        <w:rPr>
          <w:b/>
        </w:rPr>
        <w:t>Email &amp; SMS Gateway</w:t>
      </w:r>
      <w:r>
        <w:t xml:space="preserve"> — Client provides SMTP credentials and SMS gateway API (MSG91/Twilio) for notifications</w:t>
      </w:r>
    </w:p>
    <w:p>
      <w:pPr>
        <w:pStyle w:val="ListBullet"/>
      </w:pPr>
      <w:r>
        <w:rPr>
          <w:b/>
        </w:rPr>
        <w:t>Payment Gateway</w:t>
      </w:r>
      <w:r>
        <w:t xml:space="preserve"> — Client onboards with Razorpay/PayU and provides API keys for online payment integration</w:t>
      </w:r>
    </w:p>
    <w:p>
      <w:pPr>
        <w:pStyle w:val="Heading2"/>
      </w:pPr>
      <w:r>
        <w:t>15.2 TGWT-Side Assumptions</w:t>
      </w:r>
    </w:p>
    <w:p>
      <w:pPr>
        <w:pStyle w:val="ListBullet"/>
      </w:pPr>
      <w:r>
        <w:rPr>
          <w:b/>
        </w:rPr>
        <w:t>Team Availability</w:t>
      </w:r>
      <w:r>
        <w:t xml:space="preserve"> — TGWT maintains dedicated team of 13 resources as per governance structure throughout project duration</w:t>
      </w:r>
    </w:p>
    <w:p>
      <w:pPr>
        <w:pStyle w:val="ListBullet"/>
      </w:pPr>
      <w:r>
        <w:rPr>
          <w:b/>
        </w:rPr>
        <w:t>Technology Stack</w:t>
      </w:r>
      <w:r>
        <w:t xml:space="preserve"> — No mid-project technology changes unless mutually agreed via Change Request</w:t>
      </w:r>
    </w:p>
    <w:p>
      <w:pPr>
        <w:pStyle w:val="ListBullet"/>
      </w:pPr>
      <w:r>
        <w:rPr>
          <w:b/>
        </w:rPr>
        <w:t>Third-Party APIs</w:t>
      </w:r>
      <w:r>
        <w:t xml:space="preserve"> — ABDM/ABHA sandbox available for development; production credentials provided by client</w:t>
      </w:r>
    </w:p>
    <w:p>
      <w:pPr>
        <w:pStyle w:val="ListBullet"/>
      </w:pPr>
      <w:r>
        <w:rPr>
          <w:b/>
        </w:rPr>
        <w:t>Development Environment</w:t>
      </w:r>
      <w:r>
        <w:t xml:space="preserve"> — TGWT provisions own development and staging environments; client provides production</w:t>
      </w:r>
    </w:p>
    <w:p>
      <w:pPr>
        <w:pStyle w:val="ListBullet"/>
      </w:pPr>
      <w:r>
        <w:rPr>
          <w:b/>
        </w:rPr>
        <w:t>Code Repository</w:t>
      </w:r>
      <w:r>
        <w:t xml:space="preserve"> — TGWT uses private GitHub/GitLab repository; client receives read access and full transfer at project completion</w:t>
      </w:r>
    </w:p>
    <w:p>
      <w:pPr>
        <w:pStyle w:val="Heading2"/>
      </w:pPr>
      <w:r>
        <w:t>15.3 External Dependencies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Dependency</w:t>
            </w:r>
          </w:p>
        </w:tc>
        <w:tc>
          <w:tcPr>
            <w:tcW w:type="dxa" w:w="1440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152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Required By</w:t>
            </w:r>
          </w:p>
        </w:tc>
        <w:tc>
          <w:tcPr>
            <w:tcW w:type="dxa" w:w="4320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Risk if Delayed</w:t>
            </w:r>
          </w:p>
        </w:tc>
      </w:tr>
      <w:tr>
        <w:tc>
          <w:tcPr>
            <w:tcW w:type="dxa" w:w="2880"/>
            <w:shd w:fill="F7F9FC"/>
          </w:tcPr>
          <w:p>
            <w:r/>
            <w:r>
              <w:rPr>
                <w:sz w:val="17"/>
              </w:rPr>
              <w:t>AWS/Azure account provisioning</w:t>
            </w:r>
          </w:p>
        </w:tc>
        <w:tc>
          <w:tcPr>
            <w:tcW w:type="dxa" w:w="1440"/>
            <w:shd w:fill="F7F9FC"/>
          </w:tcPr>
          <w:p>
            <w:r/>
            <w:r>
              <w:rPr>
                <w:sz w:val="17"/>
              </w:rPr>
              <w:t>Client IT</w:t>
            </w:r>
          </w:p>
        </w:tc>
        <w:tc>
          <w:tcPr>
            <w:tcW w:type="dxa" w:w="1152"/>
            <w:shd w:fill="F7F9FC"/>
          </w:tcPr>
          <w:p>
            <w:r/>
            <w:r>
              <w:rPr>
                <w:sz w:val="17"/>
              </w:rPr>
              <w:t>Week 2</w:t>
            </w:r>
          </w:p>
        </w:tc>
        <w:tc>
          <w:tcPr>
            <w:tcW w:type="dxa" w:w="4320"/>
            <w:shd w:fill="F7F9FC"/>
          </w:tcPr>
          <w:p>
            <w:r/>
            <w:r>
              <w:rPr>
                <w:sz w:val="17"/>
              </w:rPr>
              <w:t>Blocks infrastructure setup; 2-week delay cascade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ABDM/ABHA sandbox access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NHA (India)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Week 8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Health ID integration deferred to post-MVP</w:t>
            </w:r>
          </w:p>
        </w:tc>
      </w:tr>
      <w:tr>
        <w:tc>
          <w:tcPr>
            <w:tcW w:type="dxa" w:w="2880"/>
            <w:shd w:fill="F7F9FC"/>
          </w:tcPr>
          <w:p>
            <w:r/>
            <w:r>
              <w:rPr>
                <w:sz w:val="17"/>
              </w:rPr>
              <w:t>Razorpay/PayU merchant account</w:t>
            </w:r>
          </w:p>
        </w:tc>
        <w:tc>
          <w:tcPr>
            <w:tcW w:type="dxa" w:w="1440"/>
            <w:shd w:fill="F7F9FC"/>
          </w:tcPr>
          <w:p>
            <w:r/>
            <w:r>
              <w:rPr>
                <w:sz w:val="17"/>
              </w:rPr>
              <w:t>Client Finance</w:t>
            </w:r>
          </w:p>
        </w:tc>
        <w:tc>
          <w:tcPr>
            <w:tcW w:type="dxa" w:w="1152"/>
            <w:shd w:fill="F7F9FC"/>
          </w:tcPr>
          <w:p>
            <w:r/>
            <w:r>
              <w:rPr>
                <w:sz w:val="17"/>
              </w:rPr>
              <w:t>Week 20</w:t>
            </w:r>
          </w:p>
        </w:tc>
        <w:tc>
          <w:tcPr>
            <w:tcW w:type="dxa" w:w="4320"/>
            <w:shd w:fill="F7F9FC"/>
          </w:tcPr>
          <w:p>
            <w:r/>
            <w:r>
              <w:rPr>
                <w:sz w:val="17"/>
              </w:rPr>
              <w:t>Online payments unavailable at Go-Live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Drug Master Database (CDSCO)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TGWT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Week 6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Pharmacy module uses limited drug list</w:t>
            </w:r>
          </w:p>
        </w:tc>
      </w:tr>
      <w:tr>
        <w:tc>
          <w:tcPr>
            <w:tcW w:type="dxa" w:w="2880"/>
            <w:shd w:fill="F7F9FC"/>
          </w:tcPr>
          <w:p>
            <w:r/>
            <w:r>
              <w:rPr>
                <w:sz w:val="17"/>
              </w:rPr>
              <w:t>ICD-10/ICD-11 code library</w:t>
            </w:r>
          </w:p>
        </w:tc>
        <w:tc>
          <w:tcPr>
            <w:tcW w:type="dxa" w:w="1440"/>
            <w:shd w:fill="F7F9FC"/>
          </w:tcPr>
          <w:p>
            <w:r/>
            <w:r>
              <w:rPr>
                <w:sz w:val="17"/>
              </w:rPr>
              <w:t>TGWT</w:t>
            </w:r>
          </w:p>
        </w:tc>
        <w:tc>
          <w:tcPr>
            <w:tcW w:type="dxa" w:w="1152"/>
            <w:shd w:fill="F7F9FC"/>
          </w:tcPr>
          <w:p>
            <w:r/>
            <w:r>
              <w:rPr>
                <w:sz w:val="17"/>
              </w:rPr>
              <w:t>Week 6</w:t>
            </w:r>
          </w:p>
        </w:tc>
        <w:tc>
          <w:tcPr>
            <w:tcW w:type="dxa" w:w="4320"/>
            <w:shd w:fill="F7F9FC"/>
          </w:tcPr>
          <w:p>
            <w:r/>
            <w:r>
              <w:rPr>
                <w:sz w:val="17"/>
              </w:rPr>
              <w:t>Diagnosis coding uses free-text fallback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SSL certificates (wildcard)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Client IT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Week 24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Blocks production HTTPS deployment</w:t>
            </w:r>
          </w:p>
        </w:tc>
      </w:tr>
      <w:tr>
        <w:tc>
          <w:tcPr>
            <w:tcW w:type="dxa" w:w="2880"/>
            <w:shd w:fill="F7F9FC"/>
          </w:tcPr>
          <w:p>
            <w:r/>
            <w:r>
              <w:rPr>
                <w:sz w:val="17"/>
              </w:rPr>
              <w:t>Biometric SDK license</w:t>
            </w:r>
          </w:p>
        </w:tc>
        <w:tc>
          <w:tcPr>
            <w:tcW w:type="dxa" w:w="1440"/>
            <w:shd w:fill="F7F9FC"/>
          </w:tcPr>
          <w:p>
            <w:r/>
            <w:r>
              <w:rPr>
                <w:sz w:val="17"/>
              </w:rPr>
              <w:t>Client / Vendor</w:t>
            </w:r>
          </w:p>
        </w:tc>
        <w:tc>
          <w:tcPr>
            <w:tcW w:type="dxa" w:w="1152"/>
            <w:shd w:fill="F7F9FC"/>
          </w:tcPr>
          <w:p>
            <w:r/>
            <w:r>
              <w:rPr>
                <w:sz w:val="17"/>
              </w:rPr>
              <w:t>Week 28</w:t>
            </w:r>
          </w:p>
        </w:tc>
        <w:tc>
          <w:tcPr>
            <w:tcW w:type="dxa" w:w="4320"/>
            <w:shd w:fill="F7F9FC"/>
          </w:tcPr>
          <w:p>
            <w:r/>
            <w:r>
              <w:rPr>
                <w:sz w:val="17"/>
              </w:rPr>
              <w:t>Attendance uses manual punch fallback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SMS gateway credits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Client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Week 24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OTP and notifications unavailable</w:t>
            </w:r>
          </w:p>
        </w:tc>
      </w:tr>
      <w:tr>
        <w:tc>
          <w:tcPr>
            <w:tcW w:type="dxa" w:w="2880"/>
            <w:shd w:fill="F7F9FC"/>
          </w:tcPr>
          <w:p>
            <w:r/>
            <w:r>
              <w:rPr>
                <w:sz w:val="17"/>
              </w:rPr>
              <w:t>Google Maps API key</w:t>
            </w:r>
          </w:p>
        </w:tc>
        <w:tc>
          <w:tcPr>
            <w:tcW w:type="dxa" w:w="1440"/>
            <w:shd w:fill="F7F9FC"/>
          </w:tcPr>
          <w:p>
            <w:r/>
            <w:r>
              <w:rPr>
                <w:sz w:val="17"/>
              </w:rPr>
              <w:t>Client</w:t>
            </w:r>
          </w:p>
        </w:tc>
        <w:tc>
          <w:tcPr>
            <w:tcW w:type="dxa" w:w="1152"/>
            <w:shd w:fill="F7F9FC"/>
          </w:tcPr>
          <w:p>
            <w:r/>
            <w:r>
              <w:rPr>
                <w:sz w:val="17"/>
              </w:rPr>
              <w:t>Week 20</w:t>
            </w:r>
          </w:p>
        </w:tc>
        <w:tc>
          <w:tcPr>
            <w:tcW w:type="dxa" w:w="4320"/>
            <w:shd w:fill="F7F9FC"/>
          </w:tcPr>
          <w:p>
            <w:r/>
            <w:r>
              <w:rPr>
                <w:sz w:val="17"/>
              </w:rPr>
              <w:t>Branch locator in Patient Portal disabled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Penetration testing vendor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Client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Week 36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Security certification delayed</w:t>
            </w:r>
          </w:p>
        </w:tc>
      </w:tr>
    </w:tbl>
    <w:p>
      <w:pPr>
        <w:pStyle w:val="Heading2"/>
      </w:pPr>
      <w:r>
        <w:t>15.4 Exclusions</w:t>
      </w:r>
    </w:p>
    <w:p>
      <w:r>
        <w:t xml:space="preserve">The following items are </w:t>
      </w:r>
      <w:r>
        <w:rPr>
          <w:b/>
        </w:rPr>
        <w:t xml:space="preserve">explicitly excluded </w:t>
      </w:r>
      <w:r>
        <w:t>from this SOW and may be addressed via separate engagements:</w:t>
      </w:r>
    </w:p>
    <w:p>
      <w:pPr>
        <w:pStyle w:val="ListBullet"/>
      </w:pPr>
      <w:r>
        <w:t>Radiology module (PACS/RIS integration) — requires separate DICOM infrastructure</w:t>
      </w:r>
    </w:p>
    <w:p>
      <w:pPr>
        <w:pStyle w:val="ListBullet"/>
      </w:pPr>
      <w:r>
        <w:t>Blood bank management — regulated separately under Drug &amp; Cosmetics Act</w:t>
      </w:r>
    </w:p>
    <w:p>
      <w:pPr>
        <w:pStyle w:val="ListBullet"/>
      </w:pPr>
      <w:r>
        <w:t>Telemedicine video consultation — requires separate WebRTC infrastructure and ABDM telemedicine guidelines compliance</w:t>
      </w:r>
    </w:p>
    <w:p>
      <w:pPr>
        <w:pStyle w:val="ListBullet"/>
      </w:pPr>
      <w:r>
        <w:t>Mobile native applications (iOS/Android) — PWA serves as mobile solution; native apps via separate SOW</w:t>
      </w:r>
    </w:p>
    <w:p>
      <w:pPr>
        <w:pStyle w:val="ListBullet"/>
      </w:pPr>
      <w:r>
        <w:t>Legacy system data migration beyond agreed formats — complex ETL requires separate assessment</w:t>
      </w:r>
    </w:p>
    <w:p>
      <w:pPr>
        <w:pStyle w:val="ListBullet"/>
      </w:pPr>
      <w:r>
        <w:t>Custom hardware procurement, installation, or maintenance</w:t>
      </w:r>
    </w:p>
    <w:p>
      <w:pPr>
        <w:pStyle w:val="ListBullet"/>
      </w:pPr>
      <w:r>
        <w:t>Ongoing content updates (drug database, ICD codes) beyond initial load</w:t>
      </w:r>
    </w:p>
    <w:p>
      <w:pPr>
        <w:pStyle w:val="ListBullet"/>
      </w:pPr>
      <w:r>
        <w:t>Third-party software licensing costs (AWS, Razorpay, SMS gateway, SSL)</w:t>
      </w:r>
    </w:p>
    <w:p>
      <w:pPr>
        <w:pStyle w:val="ListBullet"/>
      </w:pPr>
      <w:r>
        <w:t>Regulatory audit preparation or certification filing (NABH, NABL)</w:t>
      </w:r>
    </w:p>
    <w:p>
      <w:pPr>
        <w:pStyle w:val="ListBullet"/>
      </w:pPr>
      <w:r>
        <w:t>Multi-language support beyond English and Hindi — additional languages via CR</w:t>
      </w:r>
    </w:p>
    <w:p>
      <w:r>
        <w:br w:type="page"/>
      </w:r>
    </w:p>
    <w:p>
      <w:pPr>
        <w:pStyle w:val="Heading1"/>
      </w:pPr>
      <w:r>
        <w:t>16. Commercial Terms</w:t>
      </w:r>
    </w:p>
    <w:p>
      <w:pPr>
        <w:pStyle w:val="Heading2"/>
      </w:pPr>
      <w:r>
        <w:t>16.1 Pricing Model</w:t>
      </w:r>
    </w:p>
    <w:p>
      <w:r>
        <w:t xml:space="preserve">This engagement follows a </w:t>
      </w:r>
      <w:r>
        <w:rPr>
          <w:b/>
        </w:rPr>
        <w:t xml:space="preserve">Fixed-Price model </w:t>
      </w:r>
      <w:r>
        <w:t xml:space="preserve">with milestone-based billing. The total project value covers all 12 modules, </w:t>
      </w:r>
      <w:r>
        <w:t>54 weeks of delivery, 12 weeks of warranty support, and knowledge transfer.</w:t>
      </w:r>
    </w:p>
    <w:p>
      <w:pPr>
        <w:shd w:fill="FFF3CD"/>
      </w:pPr>
      <w:r>
        <w:rPr>
          <w:b/>
          <w:color w:val="856D0A"/>
          <w:sz w:val="18"/>
        </w:rPr>
        <w:t xml:space="preserve">  COMMERCIAL NOTE: </w:t>
      </w:r>
      <w:r>
        <w:rPr>
          <w:color w:val="856D0A"/>
          <w:sz w:val="18"/>
        </w:rPr>
        <w:t>Specific commercial values are captured in a separate Commercial Annexure (Confidential). This section defines the payment structure and terms.</w:t>
      </w:r>
    </w:p>
    <w:p>
      <w:pPr>
        <w:pStyle w:val="Heading2"/>
      </w:pPr>
      <w:r>
        <w:t>16.2 Payment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592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Milestone</w:t>
            </w:r>
          </w:p>
        </w:tc>
        <w:tc>
          <w:tcPr>
            <w:tcW w:type="dxa" w:w="1008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1008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Percentage</w:t>
            </w:r>
          </w:p>
        </w:tc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Trigger</w:t>
            </w:r>
          </w:p>
        </w:tc>
        <w:tc>
          <w:tcPr>
            <w:tcW w:type="dxa" w:w="1152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Payment Terms</w:t>
            </w:r>
          </w:p>
        </w:tc>
      </w:tr>
      <w:tr>
        <w:tc>
          <w:tcPr>
            <w:tcW w:type="dxa" w:w="2592"/>
            <w:shd w:fill="F7F9FC"/>
          </w:tcPr>
          <w:p>
            <w:r/>
            <w:r>
              <w:rPr>
                <w:sz w:val="17"/>
              </w:rPr>
              <w:t>M1 — Project Kick-Off</w:t>
            </w:r>
          </w:p>
        </w:tc>
        <w:tc>
          <w:tcPr>
            <w:tcW w:type="dxa" w:w="1008"/>
            <w:shd w:fill="F7F9FC"/>
          </w:tcPr>
          <w:p>
            <w:r/>
            <w:r>
              <w:rPr>
                <w:sz w:val="17"/>
              </w:rPr>
              <w:t>Phase 1</w:t>
            </w:r>
          </w:p>
        </w:tc>
        <w:tc>
          <w:tcPr>
            <w:tcW w:type="dxa" w:w="1008"/>
            <w:shd w:fill="F7F9FC"/>
          </w:tcPr>
          <w:p>
            <w:r/>
            <w:r>
              <w:rPr>
                <w:sz w:val="17"/>
              </w:rPr>
              <w:t>10%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sz w:val="17"/>
              </w:rPr>
              <w:t>SOW execution + kick-off completion</w:t>
            </w:r>
          </w:p>
        </w:tc>
        <w:tc>
          <w:tcPr>
            <w:tcW w:type="dxa" w:w="1152"/>
            <w:shd w:fill="F7F9FC"/>
          </w:tcPr>
          <w:p>
            <w:r/>
            <w:r>
              <w:rPr>
                <w:sz w:val="17"/>
              </w:rPr>
              <w:t>Due on signing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7"/>
              </w:rPr>
              <w:t>M2 — Architecture Approval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Phase 2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10%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HLD/LLD sign-off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Net 15 days</w:t>
            </w:r>
          </w:p>
        </w:tc>
      </w:tr>
      <w:tr>
        <w:tc>
          <w:tcPr>
            <w:tcW w:type="dxa" w:w="2592"/>
            <w:shd w:fill="F7F9FC"/>
          </w:tcPr>
          <w:p>
            <w:r/>
            <w:r>
              <w:rPr>
                <w:sz w:val="17"/>
              </w:rPr>
              <w:t>M3 — Core Modules (OPD+Pharmacy+Lab)</w:t>
            </w:r>
          </w:p>
        </w:tc>
        <w:tc>
          <w:tcPr>
            <w:tcW w:type="dxa" w:w="1008"/>
            <w:shd w:fill="F7F9FC"/>
          </w:tcPr>
          <w:p>
            <w:r/>
            <w:r>
              <w:rPr>
                <w:sz w:val="17"/>
              </w:rPr>
              <w:t>Phase 3-4</w:t>
            </w:r>
          </w:p>
        </w:tc>
        <w:tc>
          <w:tcPr>
            <w:tcW w:type="dxa" w:w="1008"/>
            <w:shd w:fill="F7F9FC"/>
          </w:tcPr>
          <w:p>
            <w:r/>
            <w:r>
              <w:rPr>
                <w:sz w:val="17"/>
              </w:rPr>
              <w:t>20%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sz w:val="17"/>
              </w:rPr>
              <w:t>SIT completion for M01-M03</w:t>
            </w:r>
          </w:p>
        </w:tc>
        <w:tc>
          <w:tcPr>
            <w:tcW w:type="dxa" w:w="1152"/>
            <w:shd w:fill="F7F9FC"/>
          </w:tcPr>
          <w:p>
            <w:r/>
            <w:r>
              <w:rPr>
                <w:sz w:val="17"/>
              </w:rPr>
              <w:t>Net 15 days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7"/>
              </w:rPr>
              <w:t>M4 — Finance + HR + Inventory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Phase 5-6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15%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SIT completion for M04-M06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Net 15 days</w:t>
            </w:r>
          </w:p>
        </w:tc>
      </w:tr>
      <w:tr>
        <w:tc>
          <w:tcPr>
            <w:tcW w:type="dxa" w:w="2592"/>
            <w:shd w:fill="F7F9FC"/>
          </w:tcPr>
          <w:p>
            <w:r/>
            <w:r>
              <w:rPr>
                <w:sz w:val="17"/>
              </w:rPr>
              <w:t>M5 — BI + Portal + Audit + IPD</w:t>
            </w:r>
          </w:p>
        </w:tc>
        <w:tc>
          <w:tcPr>
            <w:tcW w:type="dxa" w:w="1008"/>
            <w:shd w:fill="F7F9FC"/>
          </w:tcPr>
          <w:p>
            <w:r/>
            <w:r>
              <w:rPr>
                <w:sz w:val="17"/>
              </w:rPr>
              <w:t>Phase 7-8</w:t>
            </w:r>
          </w:p>
        </w:tc>
        <w:tc>
          <w:tcPr>
            <w:tcW w:type="dxa" w:w="1008"/>
            <w:shd w:fill="F7F9FC"/>
          </w:tcPr>
          <w:p>
            <w:r/>
            <w:r>
              <w:rPr>
                <w:sz w:val="17"/>
              </w:rPr>
              <w:t>15%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sz w:val="17"/>
              </w:rPr>
              <w:t>SIT completion for M07-M10</w:t>
            </w:r>
          </w:p>
        </w:tc>
        <w:tc>
          <w:tcPr>
            <w:tcW w:type="dxa" w:w="1152"/>
            <w:shd w:fill="F7F9FC"/>
          </w:tcPr>
          <w:p>
            <w:r/>
            <w:r>
              <w:rPr>
                <w:sz w:val="17"/>
              </w:rPr>
              <w:t>Net 15 days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7"/>
              </w:rPr>
              <w:t>M6 — UAT Completion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Phase 10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15%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UAT sign-off (≥95% pass rate)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Net 15 days</w:t>
            </w:r>
          </w:p>
        </w:tc>
      </w:tr>
      <w:tr>
        <w:tc>
          <w:tcPr>
            <w:tcW w:type="dxa" w:w="2592"/>
            <w:shd w:fill="F7F9FC"/>
          </w:tcPr>
          <w:p>
            <w:r/>
            <w:r>
              <w:rPr>
                <w:sz w:val="17"/>
              </w:rPr>
              <w:t>M7 — Go-Live</w:t>
            </w:r>
          </w:p>
        </w:tc>
        <w:tc>
          <w:tcPr>
            <w:tcW w:type="dxa" w:w="1008"/>
            <w:shd w:fill="F7F9FC"/>
          </w:tcPr>
          <w:p>
            <w:r/>
            <w:r>
              <w:rPr>
                <w:sz w:val="17"/>
              </w:rPr>
              <w:t>Phase 11</w:t>
            </w:r>
          </w:p>
        </w:tc>
        <w:tc>
          <w:tcPr>
            <w:tcW w:type="dxa" w:w="1008"/>
            <w:shd w:fill="F7F9FC"/>
          </w:tcPr>
          <w:p>
            <w:r/>
            <w:r>
              <w:rPr>
                <w:sz w:val="17"/>
              </w:rPr>
              <w:t>10%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sz w:val="17"/>
              </w:rPr>
              <w:t>Production deployment + 2 weeks stable</w:t>
            </w:r>
          </w:p>
        </w:tc>
        <w:tc>
          <w:tcPr>
            <w:tcW w:type="dxa" w:w="1152"/>
            <w:shd w:fill="F7F9FC"/>
          </w:tcPr>
          <w:p>
            <w:r/>
            <w:r>
              <w:rPr>
                <w:sz w:val="17"/>
              </w:rPr>
              <w:t>Net 15 days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7"/>
              </w:rPr>
              <w:t>M8 — Warranty Completion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Phase 13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5%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Warranty period end + KT completion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Net 30 days</w:t>
            </w:r>
          </w:p>
        </w:tc>
      </w:tr>
    </w:tbl>
    <w:p>
      <w:pPr>
        <w:pStyle w:val="Heading2"/>
      </w:pPr>
      <w:r>
        <w:t>16.3 Additional Commercial Terms</w:t>
      </w:r>
    </w:p>
    <w:p>
      <w:pPr>
        <w:pStyle w:val="ListBullet"/>
      </w:pPr>
      <w:r>
        <w:rPr>
          <w:b/>
        </w:rPr>
        <w:t>Currency</w:t>
      </w:r>
      <w:r>
        <w:t xml:space="preserve"> — All amounts in Indian Rupees (INR) unless otherwise specified</w:t>
      </w:r>
    </w:p>
    <w:p>
      <w:pPr>
        <w:pStyle w:val="ListBullet"/>
      </w:pPr>
      <w:r>
        <w:rPr>
          <w:b/>
        </w:rPr>
        <w:t>GST</w:t>
      </w:r>
      <w:r>
        <w:t xml:space="preserve"> — 18% GST applicable on all invoices as per prevailing rates</w:t>
      </w:r>
    </w:p>
    <w:p>
      <w:pPr>
        <w:pStyle w:val="ListBullet"/>
      </w:pPr>
      <w:r>
        <w:rPr>
          <w:b/>
        </w:rPr>
        <w:t>Late Payment</w:t>
      </w:r>
      <w:r>
        <w:t xml:space="preserve"> — 1.5% per month interest on overdue amounts beyond payment terms</w:t>
      </w:r>
    </w:p>
    <w:p>
      <w:pPr>
        <w:pStyle w:val="ListBullet"/>
      </w:pPr>
      <w:r>
        <w:rPr>
          <w:b/>
        </w:rPr>
        <w:t>Travel &amp; Expenses</w:t>
      </w:r>
      <w:r>
        <w:t xml:space="preserve"> — Pre-approved client-site visits billed at actuals with receipts; domestic travel within India</w:t>
      </w:r>
    </w:p>
    <w:p>
      <w:pPr>
        <w:pStyle w:val="ListBullet"/>
      </w:pPr>
      <w:r>
        <w:rPr>
          <w:b/>
        </w:rPr>
        <w:t>Change Requests</w:t>
      </w:r>
      <w:r>
        <w:t xml:space="preserve"> — CRs priced separately based on effort estimation at agreed blended rate</w:t>
      </w:r>
    </w:p>
    <w:p>
      <w:pPr>
        <w:pStyle w:val="ListBullet"/>
      </w:pPr>
      <w:r>
        <w:rPr>
          <w:b/>
        </w:rPr>
        <w:t>Blended Rate</w:t>
      </w:r>
      <w:r>
        <w:t xml:space="preserve"> — CR effort billed at mutually agreed blended daily rate defined in Commercial Annexure</w:t>
      </w:r>
    </w:p>
    <w:p>
      <w:pPr>
        <w:pStyle w:val="ListBullet"/>
      </w:pPr>
      <w:r>
        <w:rPr>
          <w:b/>
        </w:rPr>
        <w:t>Inflation Clause</w:t>
      </w:r>
      <w:r>
        <w:t xml:space="preserve"> — For engagements extending beyond 12 months, rates subject to annual CPI adjustment (capped at 5%)</w:t>
      </w:r>
    </w:p>
    <w:p>
      <w:pPr>
        <w:pStyle w:val="ListBullet"/>
      </w:pPr>
      <w:r>
        <w:rPr>
          <w:b/>
        </w:rPr>
        <w:t>Escrow</w:t>
      </w:r>
      <w:r>
        <w:t xml:space="preserve"> — Source code escrowed with agreed third-party agent; released to client upon full payment or TGWT insolvency</w:t>
      </w:r>
    </w:p>
    <w:p>
      <w:r>
        <w:br w:type="page"/>
      </w:r>
    </w:p>
    <w:p>
      <w:pPr>
        <w:pStyle w:val="Heading1"/>
      </w:pPr>
      <w:r>
        <w:t>17. Warranty &amp; Post-Warranty Support</w:t>
      </w:r>
    </w:p>
    <w:p>
      <w:pPr>
        <w:pStyle w:val="Heading2"/>
      </w:pPr>
      <w:r>
        <w:t>17.1 Warranty Period</w:t>
      </w:r>
    </w:p>
    <w:p>
      <w:r>
        <w:t xml:space="preserve">TGWT provides a </w:t>
      </w:r>
      <w:r>
        <w:rPr>
          <w:b/>
        </w:rPr>
        <w:t xml:space="preserve">12-week warranty period </w:t>
      </w:r>
      <w:r>
        <w:t>commencing from the date of Go-Live Acceptance Certificate. During warranty:</w:t>
      </w:r>
    </w:p>
    <w:p>
      <w:pPr>
        <w:pStyle w:val="ListBullet"/>
      </w:pPr>
      <w:r>
        <w:t>All S1/S2 defects resolved at no additional cost within defined SLAs</w:t>
      </w:r>
    </w:p>
    <w:p>
      <w:pPr>
        <w:pStyle w:val="ListBullet"/>
      </w:pPr>
      <w:r>
        <w:t>Up to 3 minor enhancement requests (≤2 person-days each) included</w:t>
      </w:r>
    </w:p>
    <w:p>
      <w:pPr>
        <w:pStyle w:val="ListBullet"/>
      </w:pPr>
      <w:r>
        <w:t>Dedicated support engineer available during business hours (9 AM — 7 PM IST)</w:t>
      </w:r>
    </w:p>
    <w:p>
      <w:pPr>
        <w:pStyle w:val="ListBullet"/>
      </w:pPr>
      <w:r>
        <w:t>24/7 on-call support for S1 (Critical) incidents</w:t>
      </w:r>
    </w:p>
    <w:p>
      <w:pPr>
        <w:pStyle w:val="ListBullet"/>
      </w:pPr>
      <w:r>
        <w:t>Weekly status calls with client IT team</w:t>
      </w:r>
    </w:p>
    <w:p>
      <w:pPr>
        <w:pStyle w:val="ListBullet"/>
      </w:pPr>
      <w:r>
        <w:t>Monthly health check reports covering system performance and usage metrics</w:t>
      </w:r>
    </w:p>
    <w:p>
      <w:pPr>
        <w:pStyle w:val="Heading2"/>
      </w:pPr>
      <w:r>
        <w:t>17.2 Warranty Exclusions</w:t>
      </w:r>
    </w:p>
    <w:p>
      <w:pPr>
        <w:pStyle w:val="ListBullet"/>
      </w:pPr>
      <w:r>
        <w:t>Defects caused by client modifications to source code without TGWT approval</w:t>
      </w:r>
    </w:p>
    <w:p>
      <w:pPr>
        <w:pStyle w:val="ListBullet"/>
      </w:pPr>
      <w:r>
        <w:t>Issues arising from infrastructure changes not communicated to TGWT</w:t>
      </w:r>
    </w:p>
    <w:p>
      <w:pPr>
        <w:pStyle w:val="ListBullet"/>
      </w:pPr>
      <w:r>
        <w:t>Third-party service outages (AWS, payment gateways, SMS providers)</w:t>
      </w:r>
    </w:p>
    <w:p>
      <w:pPr>
        <w:pStyle w:val="ListBullet"/>
      </w:pPr>
      <w:r>
        <w:t>Data corruption caused by unauthorized direct database access</w:t>
      </w:r>
    </w:p>
    <w:p>
      <w:pPr>
        <w:pStyle w:val="ListBullet"/>
      </w:pPr>
      <w:r>
        <w:t>Performance degradation due to client exceeding agreed concurrent user limits</w:t>
      </w:r>
    </w:p>
    <w:p>
      <w:pPr>
        <w:pStyle w:val="ListBullet"/>
      </w:pPr>
      <w:r>
        <w:t>Compatibility issues from client-initiated OS/browser/JDK version upgrades</w:t>
      </w:r>
    </w:p>
    <w:p>
      <w:pPr>
        <w:pStyle w:val="Heading2"/>
      </w:pPr>
      <w:r>
        <w:t>17.3 Post-Warranty AMC Options</w:t>
      </w:r>
    </w:p>
    <w:p>
      <w:r>
        <w:t>Upon warranty expiry, client may opt for Annual Maintenance Contract (AMC):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52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AMC Tier</w:t>
            </w:r>
          </w:p>
        </w:tc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Coverage</w:t>
            </w:r>
          </w:p>
        </w:tc>
        <w:tc>
          <w:tcPr>
            <w:tcW w:type="dxa" w:w="1728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SLA</w:t>
            </w:r>
          </w:p>
        </w:tc>
        <w:tc>
          <w:tcPr>
            <w:tcW w:type="dxa" w:w="1728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Included Hours/Month</w:t>
            </w:r>
          </w:p>
        </w:tc>
        <w:tc>
          <w:tcPr>
            <w:tcW w:type="dxa" w:w="2160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Pricing Basis</w:t>
            </w:r>
          </w:p>
        </w:tc>
      </w:tr>
      <w:tr>
        <w:tc>
          <w:tcPr>
            <w:tcW w:type="dxa" w:w="1152"/>
            <w:shd w:fill="F7F9FC"/>
          </w:tcPr>
          <w:p>
            <w:r/>
            <w:r>
              <w:rPr>
                <w:sz w:val="17"/>
              </w:rPr>
              <w:t>Bronze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sz w:val="17"/>
              </w:rPr>
              <w:t>Bug fixes + security patches</w:t>
            </w:r>
          </w:p>
        </w:tc>
        <w:tc>
          <w:tcPr>
            <w:tcW w:type="dxa" w:w="1728"/>
            <w:shd w:fill="F7F9FC"/>
          </w:tcPr>
          <w:p>
            <w:r/>
            <w:r>
              <w:rPr>
                <w:sz w:val="17"/>
              </w:rPr>
              <w:t>S1: 8h, S2: 24h</w:t>
            </w:r>
          </w:p>
        </w:tc>
        <w:tc>
          <w:tcPr>
            <w:tcW w:type="dxa" w:w="1728"/>
            <w:shd w:fill="F7F9FC"/>
          </w:tcPr>
          <w:p>
            <w:r/>
            <w:r>
              <w:rPr>
                <w:sz w:val="17"/>
              </w:rPr>
              <w:t>10 hours</w:t>
            </w:r>
          </w:p>
        </w:tc>
        <w:tc>
          <w:tcPr>
            <w:tcW w:type="dxa" w:w="2160"/>
            <w:shd w:fill="F7F9FC"/>
          </w:tcPr>
          <w:p>
            <w:r/>
            <w:r>
              <w:rPr>
                <w:sz w:val="17"/>
              </w:rPr>
              <w:t>12% of project value/year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7"/>
              </w:rPr>
              <w:t>Silver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Bronze + minor enhancements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S1: 4h, S2: 12h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20 hours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18% of project value/year</w:t>
            </w:r>
          </w:p>
        </w:tc>
      </w:tr>
      <w:tr>
        <w:tc>
          <w:tcPr>
            <w:tcW w:type="dxa" w:w="1152"/>
            <w:shd w:fill="F7F9FC"/>
          </w:tcPr>
          <w:p>
            <w:r/>
            <w:r>
              <w:rPr>
                <w:sz w:val="17"/>
              </w:rPr>
              <w:t>Gold</w:t>
            </w:r>
          </w:p>
        </w:tc>
        <w:tc>
          <w:tcPr>
            <w:tcW w:type="dxa" w:w="2880"/>
            <w:shd w:fill="F7F9FC"/>
          </w:tcPr>
          <w:p>
            <w:r/>
            <w:r>
              <w:rPr>
                <w:sz w:val="17"/>
              </w:rPr>
              <w:t>Silver + dedicated resource + proactive monitoring</w:t>
            </w:r>
          </w:p>
        </w:tc>
        <w:tc>
          <w:tcPr>
            <w:tcW w:type="dxa" w:w="1728"/>
            <w:shd w:fill="F7F9FC"/>
          </w:tcPr>
          <w:p>
            <w:r/>
            <w:r>
              <w:rPr>
                <w:sz w:val="17"/>
              </w:rPr>
              <w:t>S1: 2h, S2: 8h</w:t>
            </w:r>
          </w:p>
        </w:tc>
        <w:tc>
          <w:tcPr>
            <w:tcW w:type="dxa" w:w="1728"/>
            <w:shd w:fill="F7F9FC"/>
          </w:tcPr>
          <w:p>
            <w:r/>
            <w:r>
              <w:rPr>
                <w:sz w:val="17"/>
              </w:rPr>
              <w:t>40 hours</w:t>
            </w:r>
          </w:p>
        </w:tc>
        <w:tc>
          <w:tcPr>
            <w:tcW w:type="dxa" w:w="2160"/>
            <w:shd w:fill="F7F9FC"/>
          </w:tcPr>
          <w:p>
            <w:r/>
            <w:r>
              <w:rPr>
                <w:sz w:val="17"/>
              </w:rPr>
              <w:t>25% of project value/year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7"/>
              </w:rPr>
              <w:t>Platinum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Gold + 24/7 support + guaranteed SLA penalties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S1: 1h, S2: 4h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Unlimited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Custom quote</w:t>
            </w:r>
          </w:p>
        </w:tc>
      </w:tr>
    </w:tbl>
    <w:p>
      <w:pPr>
        <w:shd w:fill="FFF3CD"/>
      </w:pPr>
      <w:r>
        <w:rPr>
          <w:b/>
          <w:color w:val="856D0A"/>
          <w:sz w:val="18"/>
        </w:rPr>
        <w:t xml:space="preserve">  NOTE: </w:t>
      </w:r>
      <w:r>
        <w:rPr>
          <w:color w:val="856D0A"/>
          <w:sz w:val="18"/>
        </w:rPr>
        <w:t>AMC pricing is indicative and subject to negotiation. Detailed AMC terms are defined in a separate AMC agreement.</w:t>
      </w:r>
    </w:p>
    <w:p>
      <w:pPr>
        <w:pStyle w:val="Heading2"/>
      </w:pPr>
      <w:r>
        <w:t>17.4 Knowledge Transfer for Independence</w:t>
      </w:r>
    </w:p>
    <w:p>
      <w:r>
        <w:t>To ensure client self-sufficiency, TGWT delivers:</w:t>
      </w:r>
    </w:p>
    <w:p>
      <w:pPr>
        <w:pStyle w:val="ListBullet"/>
      </w:pPr>
      <w:r>
        <w:rPr>
          <w:b/>
        </w:rPr>
        <w:t>Source Code</w:t>
      </w:r>
      <w:r>
        <w:t xml:space="preserve"> — Complete source code with build scripts, Docker files, and CI/CD pipelines</w:t>
      </w:r>
    </w:p>
    <w:p>
      <w:pPr>
        <w:pStyle w:val="ListBullet"/>
      </w:pPr>
      <w:r>
        <w:rPr>
          <w:b/>
        </w:rPr>
        <w:t>Documentation</w:t>
      </w:r>
      <w:r>
        <w:t xml:space="preserve"> — API docs (Swagger), database ERD, architecture decision records, runbooks</w:t>
      </w:r>
    </w:p>
    <w:p>
      <w:pPr>
        <w:pStyle w:val="ListBullet"/>
      </w:pPr>
      <w:r>
        <w:rPr>
          <w:b/>
        </w:rPr>
        <w:t>Admin Training</w:t>
      </w:r>
      <w:r>
        <w:t xml:space="preserve"> — Client IT team trained on deployment, monitoring, backup/restore, and scaling</w:t>
      </w:r>
    </w:p>
    <w:p>
      <w:pPr>
        <w:pStyle w:val="ListBullet"/>
      </w:pPr>
      <w:r>
        <w:rPr>
          <w:b/>
        </w:rPr>
        <w:t>Developer Handoff</w:t>
      </w:r>
      <w:r>
        <w:t xml:space="preserve"> — Optional 4-week developer shadowing program for client engineering team</w:t>
      </w:r>
    </w:p>
    <w:p>
      <w:pPr>
        <w:pStyle w:val="ListBullet"/>
      </w:pPr>
      <w:r>
        <w:rPr>
          <w:b/>
        </w:rPr>
        <w:t>Operational Runbooks</w:t>
      </w:r>
      <w:r>
        <w:t xml:space="preserve"> — Step-by-step guides for 25+ operational scenarios (failover, scaling, data recovery)</w:t>
      </w:r>
    </w:p>
    <w:p>
      <w:r>
        <w:br w:type="page"/>
      </w:r>
    </w:p>
    <w:p>
      <w:pPr>
        <w:pStyle w:val="Heading1"/>
      </w:pPr>
      <w:r>
        <w:t>18. Annexures</w:t>
      </w:r>
    </w:p>
    <w:p>
      <w:pPr>
        <w:pStyle w:val="Heading2"/>
      </w:pPr>
      <w:r>
        <w:t>Annexure A — Glossary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7920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1728"/>
            <w:shd w:fill="F7F9FC"/>
          </w:tcPr>
          <w:p>
            <w:r/>
            <w:r>
              <w:rPr>
                <w:sz w:val="17"/>
              </w:rPr>
              <w:t>ABDM</w:t>
            </w:r>
          </w:p>
        </w:tc>
        <w:tc>
          <w:tcPr>
            <w:tcW w:type="dxa" w:w="7920"/>
            <w:shd w:fill="F7F9FC"/>
          </w:tcPr>
          <w:p>
            <w:r/>
            <w:r>
              <w:rPr>
                <w:sz w:val="17"/>
              </w:rPr>
              <w:t>Ayushman Bharat Digital Mission — India's national digital health ecosystem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ABHA</w:t>
            </w:r>
          </w:p>
        </w:tc>
        <w:tc>
          <w:tcPr>
            <w:tcW w:type="dxa" w:w="7920"/>
          </w:tcPr>
          <w:p>
            <w:r/>
            <w:r>
              <w:rPr>
                <w:sz w:val="17"/>
              </w:rPr>
              <w:t>Ayushman Bharat Health Account — 14-digit unique health identifier</w:t>
            </w:r>
          </w:p>
        </w:tc>
      </w:tr>
      <w:tr>
        <w:tc>
          <w:tcPr>
            <w:tcW w:type="dxa" w:w="1728"/>
            <w:shd w:fill="F7F9FC"/>
          </w:tcPr>
          <w:p>
            <w:r/>
            <w:r>
              <w:rPr>
                <w:sz w:val="17"/>
              </w:rPr>
              <w:t>AMC</w:t>
            </w:r>
          </w:p>
        </w:tc>
        <w:tc>
          <w:tcPr>
            <w:tcW w:type="dxa" w:w="7920"/>
            <w:shd w:fill="F7F9FC"/>
          </w:tcPr>
          <w:p>
            <w:r/>
            <w:r>
              <w:rPr>
                <w:sz w:val="17"/>
              </w:rPr>
              <w:t>Annual Maintenance Contract — post-warranty support agreement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CGST/SGST</w:t>
            </w:r>
          </w:p>
        </w:tc>
        <w:tc>
          <w:tcPr>
            <w:tcW w:type="dxa" w:w="7920"/>
          </w:tcPr>
          <w:p>
            <w:r/>
            <w:r>
              <w:rPr>
                <w:sz w:val="17"/>
              </w:rPr>
              <w:t>Central/State Goods &amp; Services Tax — dual GST structure in India</w:t>
            </w:r>
          </w:p>
        </w:tc>
      </w:tr>
      <w:tr>
        <w:tc>
          <w:tcPr>
            <w:tcW w:type="dxa" w:w="1728"/>
            <w:shd w:fill="F7F9FC"/>
          </w:tcPr>
          <w:p>
            <w:r/>
            <w:r>
              <w:rPr>
                <w:sz w:val="17"/>
              </w:rPr>
              <w:t>CR</w:t>
            </w:r>
          </w:p>
        </w:tc>
        <w:tc>
          <w:tcPr>
            <w:tcW w:type="dxa" w:w="7920"/>
            <w:shd w:fill="F7F9FC"/>
          </w:tcPr>
          <w:p>
            <w:r/>
            <w:r>
              <w:rPr>
                <w:sz w:val="17"/>
              </w:rPr>
              <w:t>Change Request — formal request for scope modification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DISHA</w:t>
            </w:r>
          </w:p>
        </w:tc>
        <w:tc>
          <w:tcPr>
            <w:tcW w:type="dxa" w:w="7920"/>
          </w:tcPr>
          <w:p>
            <w:r/>
            <w:r>
              <w:rPr>
                <w:sz w:val="17"/>
              </w:rPr>
              <w:t>Digital Information Security in Healthcare Act — India's health data protection law</w:t>
            </w:r>
          </w:p>
        </w:tc>
      </w:tr>
      <w:tr>
        <w:tc>
          <w:tcPr>
            <w:tcW w:type="dxa" w:w="1728"/>
            <w:shd w:fill="F7F9FC"/>
          </w:tcPr>
          <w:p>
            <w:r/>
            <w:r>
              <w:rPr>
                <w:sz w:val="17"/>
              </w:rPr>
              <w:t>DLQ</w:t>
            </w:r>
          </w:p>
        </w:tc>
        <w:tc>
          <w:tcPr>
            <w:tcW w:type="dxa" w:w="7920"/>
            <w:shd w:fill="F7F9FC"/>
          </w:tcPr>
          <w:p>
            <w:r/>
            <w:r>
              <w:rPr>
                <w:sz w:val="17"/>
              </w:rPr>
              <w:t>Dead Letter Queue — Kafka queue for failed message processing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EMR</w:t>
            </w:r>
          </w:p>
        </w:tc>
        <w:tc>
          <w:tcPr>
            <w:tcW w:type="dxa" w:w="7920"/>
          </w:tcPr>
          <w:p>
            <w:r/>
            <w:r>
              <w:rPr>
                <w:sz w:val="17"/>
              </w:rPr>
              <w:t>Electronic Medical Record — digital patient health records</w:t>
            </w:r>
          </w:p>
        </w:tc>
      </w:tr>
      <w:tr>
        <w:tc>
          <w:tcPr>
            <w:tcW w:type="dxa" w:w="1728"/>
            <w:shd w:fill="F7F9FC"/>
          </w:tcPr>
          <w:p>
            <w:r/>
            <w:r>
              <w:rPr>
                <w:sz w:val="17"/>
              </w:rPr>
              <w:t>ESIC</w:t>
            </w:r>
          </w:p>
        </w:tc>
        <w:tc>
          <w:tcPr>
            <w:tcW w:type="dxa" w:w="7920"/>
            <w:shd w:fill="F7F9FC"/>
          </w:tcPr>
          <w:p>
            <w:r/>
            <w:r>
              <w:rPr>
                <w:sz w:val="17"/>
              </w:rPr>
              <w:t>Employees' State Insurance Corporation — social security for Indian workers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FIFO</w:t>
            </w:r>
          </w:p>
        </w:tc>
        <w:tc>
          <w:tcPr>
            <w:tcW w:type="dxa" w:w="7920"/>
          </w:tcPr>
          <w:p>
            <w:r/>
            <w:r>
              <w:rPr>
                <w:sz w:val="17"/>
              </w:rPr>
              <w:t>First In First Out — inventory valuation and dispensing method</w:t>
            </w:r>
          </w:p>
        </w:tc>
      </w:tr>
      <w:tr>
        <w:tc>
          <w:tcPr>
            <w:tcW w:type="dxa" w:w="1728"/>
            <w:shd w:fill="F7F9FC"/>
          </w:tcPr>
          <w:p>
            <w:r/>
            <w:r>
              <w:rPr>
                <w:sz w:val="17"/>
              </w:rPr>
              <w:t>GRN</w:t>
            </w:r>
          </w:p>
        </w:tc>
        <w:tc>
          <w:tcPr>
            <w:tcW w:type="dxa" w:w="7920"/>
            <w:shd w:fill="F7F9FC"/>
          </w:tcPr>
          <w:p>
            <w:r/>
            <w:r>
              <w:rPr>
                <w:sz w:val="17"/>
              </w:rPr>
              <w:t>Goods Receipt Note — document confirming receipt of purchased goods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HLD/LLD</w:t>
            </w:r>
          </w:p>
        </w:tc>
        <w:tc>
          <w:tcPr>
            <w:tcW w:type="dxa" w:w="7920"/>
          </w:tcPr>
          <w:p>
            <w:r/>
            <w:r>
              <w:rPr>
                <w:sz w:val="17"/>
              </w:rPr>
              <w:t>High-Level Design / Low-Level Design — architecture documentation</w:t>
            </w:r>
          </w:p>
        </w:tc>
      </w:tr>
      <w:tr>
        <w:tc>
          <w:tcPr>
            <w:tcW w:type="dxa" w:w="1728"/>
            <w:shd w:fill="F7F9FC"/>
          </w:tcPr>
          <w:p>
            <w:r/>
            <w:r>
              <w:rPr>
                <w:sz w:val="17"/>
              </w:rPr>
              <w:t>ICD-10</w:t>
            </w:r>
          </w:p>
        </w:tc>
        <w:tc>
          <w:tcPr>
            <w:tcW w:type="dxa" w:w="7920"/>
            <w:shd w:fill="F7F9FC"/>
          </w:tcPr>
          <w:p>
            <w:r/>
            <w:r>
              <w:rPr>
                <w:sz w:val="17"/>
              </w:rPr>
              <w:t>International Classification of Diseases, 10th Revision — WHO diagnosis coding standard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K8s</w:t>
            </w:r>
          </w:p>
        </w:tc>
        <w:tc>
          <w:tcPr>
            <w:tcW w:type="dxa" w:w="7920"/>
          </w:tcPr>
          <w:p>
            <w:r/>
            <w:r>
              <w:rPr>
                <w:sz w:val="17"/>
              </w:rPr>
              <w:t>Kubernetes — container orchestration platform</w:t>
            </w:r>
          </w:p>
        </w:tc>
      </w:tr>
      <w:tr>
        <w:tc>
          <w:tcPr>
            <w:tcW w:type="dxa" w:w="1728"/>
            <w:shd w:fill="F7F9FC"/>
          </w:tcPr>
          <w:p>
            <w:r/>
            <w:r>
              <w:rPr>
                <w:sz w:val="17"/>
              </w:rPr>
              <w:t>MAR</w:t>
            </w:r>
          </w:p>
        </w:tc>
        <w:tc>
          <w:tcPr>
            <w:tcW w:type="dxa" w:w="7920"/>
            <w:shd w:fill="F7F9FC"/>
          </w:tcPr>
          <w:p>
            <w:r/>
            <w:r>
              <w:rPr>
                <w:sz w:val="17"/>
              </w:rPr>
              <w:t>Medication Administration Record — nursing documentation for drug administration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NABH</w:t>
            </w:r>
          </w:p>
        </w:tc>
        <w:tc>
          <w:tcPr>
            <w:tcW w:type="dxa" w:w="7920"/>
          </w:tcPr>
          <w:p>
            <w:r/>
            <w:r>
              <w:rPr>
                <w:sz w:val="17"/>
              </w:rPr>
              <w:t>National Accreditation Board for Hospitals — Indian hospital quality standard</w:t>
            </w:r>
          </w:p>
        </w:tc>
      </w:tr>
      <w:tr>
        <w:tc>
          <w:tcPr>
            <w:tcW w:type="dxa" w:w="1728"/>
            <w:shd w:fill="F7F9FC"/>
          </w:tcPr>
          <w:p>
            <w:r/>
            <w:r>
              <w:rPr>
                <w:sz w:val="17"/>
              </w:rPr>
              <w:t>NABL</w:t>
            </w:r>
          </w:p>
        </w:tc>
        <w:tc>
          <w:tcPr>
            <w:tcW w:type="dxa" w:w="7920"/>
            <w:shd w:fill="F7F9FC"/>
          </w:tcPr>
          <w:p>
            <w:r/>
            <w:r>
              <w:rPr>
                <w:sz w:val="17"/>
              </w:rPr>
              <w:t>National Accreditation Board for Testing and Calibration Laboratories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PF</w:t>
            </w:r>
          </w:p>
        </w:tc>
        <w:tc>
          <w:tcPr>
            <w:tcW w:type="dxa" w:w="7920"/>
          </w:tcPr>
          <w:p>
            <w:r/>
            <w:r>
              <w:rPr>
                <w:sz w:val="17"/>
              </w:rPr>
              <w:t>Provident Fund — mandatory employee retirement savings in India</w:t>
            </w:r>
          </w:p>
        </w:tc>
      </w:tr>
      <w:tr>
        <w:tc>
          <w:tcPr>
            <w:tcW w:type="dxa" w:w="1728"/>
            <w:shd w:fill="F7F9FC"/>
          </w:tcPr>
          <w:p>
            <w:r/>
            <w:r>
              <w:rPr>
                <w:sz w:val="17"/>
              </w:rPr>
              <w:t>PITR</w:t>
            </w:r>
          </w:p>
        </w:tc>
        <w:tc>
          <w:tcPr>
            <w:tcW w:type="dxa" w:w="7920"/>
            <w:shd w:fill="F7F9FC"/>
          </w:tcPr>
          <w:p>
            <w:r/>
            <w:r>
              <w:rPr>
                <w:sz w:val="17"/>
              </w:rPr>
              <w:t>Point-In-Time Recovery — database restore to any point within retention period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POC</w:t>
            </w:r>
          </w:p>
        </w:tc>
        <w:tc>
          <w:tcPr>
            <w:tcW w:type="dxa" w:w="7920"/>
          </w:tcPr>
          <w:p>
            <w:r/>
            <w:r>
              <w:rPr>
                <w:sz w:val="17"/>
              </w:rPr>
              <w:t>Proof of Concept — preliminary implementation to validate approach</w:t>
            </w:r>
          </w:p>
        </w:tc>
      </w:tr>
      <w:tr>
        <w:tc>
          <w:tcPr>
            <w:tcW w:type="dxa" w:w="1728"/>
            <w:shd w:fill="F7F9FC"/>
          </w:tcPr>
          <w:p>
            <w:r/>
            <w:r>
              <w:rPr>
                <w:sz w:val="17"/>
              </w:rPr>
              <w:t>PT</w:t>
            </w:r>
          </w:p>
        </w:tc>
        <w:tc>
          <w:tcPr>
            <w:tcW w:type="dxa" w:w="7920"/>
            <w:shd w:fill="F7F9FC"/>
          </w:tcPr>
          <w:p>
            <w:r/>
            <w:r>
              <w:rPr>
                <w:sz w:val="17"/>
              </w:rPr>
              <w:t>Professional Tax — state-level employment tax in India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RBAC</w:t>
            </w:r>
          </w:p>
        </w:tc>
        <w:tc>
          <w:tcPr>
            <w:tcW w:type="dxa" w:w="7920"/>
          </w:tcPr>
          <w:p>
            <w:r/>
            <w:r>
              <w:rPr>
                <w:sz w:val="17"/>
              </w:rPr>
              <w:t>Role-Based Access Control — permission management by user roles</w:t>
            </w:r>
          </w:p>
        </w:tc>
      </w:tr>
      <w:tr>
        <w:tc>
          <w:tcPr>
            <w:tcW w:type="dxa" w:w="1728"/>
            <w:shd w:fill="F7F9FC"/>
          </w:tcPr>
          <w:p>
            <w:r/>
            <w:r>
              <w:rPr>
                <w:sz w:val="17"/>
              </w:rPr>
              <w:t>RTO/RPO</w:t>
            </w:r>
          </w:p>
        </w:tc>
        <w:tc>
          <w:tcPr>
            <w:tcW w:type="dxa" w:w="7920"/>
            <w:shd w:fill="F7F9FC"/>
          </w:tcPr>
          <w:p>
            <w:r/>
            <w:r>
              <w:rPr>
                <w:sz w:val="17"/>
              </w:rPr>
              <w:t>Recovery Time Objective / Recovery Point Objective — disaster recovery metrics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SIT</w:t>
            </w:r>
          </w:p>
        </w:tc>
        <w:tc>
          <w:tcPr>
            <w:tcW w:type="dxa" w:w="7920"/>
          </w:tcPr>
          <w:p>
            <w:r/>
            <w:r>
              <w:rPr>
                <w:sz w:val="17"/>
              </w:rPr>
              <w:t>System Integration Testing — testing of integrated modules</w:t>
            </w:r>
          </w:p>
        </w:tc>
      </w:tr>
      <w:tr>
        <w:tc>
          <w:tcPr>
            <w:tcW w:type="dxa" w:w="1728"/>
            <w:shd w:fill="F7F9FC"/>
          </w:tcPr>
          <w:p>
            <w:r/>
            <w:r>
              <w:rPr>
                <w:sz w:val="17"/>
              </w:rPr>
              <w:t>SLA</w:t>
            </w:r>
          </w:p>
        </w:tc>
        <w:tc>
          <w:tcPr>
            <w:tcW w:type="dxa" w:w="7920"/>
            <w:shd w:fill="F7F9FC"/>
          </w:tcPr>
          <w:p>
            <w:r/>
            <w:r>
              <w:rPr>
                <w:sz w:val="17"/>
              </w:rPr>
              <w:t>Service Level Agreement — defined performance and availability targets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SOAP</w:t>
            </w:r>
          </w:p>
        </w:tc>
        <w:tc>
          <w:tcPr>
            <w:tcW w:type="dxa" w:w="7920"/>
          </w:tcPr>
          <w:p>
            <w:r/>
            <w:r>
              <w:rPr>
                <w:sz w:val="17"/>
              </w:rPr>
              <w:t>Subjective, Objective, Assessment, Plan — clinical documentation format</w:t>
            </w:r>
          </w:p>
        </w:tc>
      </w:tr>
      <w:tr>
        <w:tc>
          <w:tcPr>
            <w:tcW w:type="dxa" w:w="1728"/>
            <w:shd w:fill="F7F9FC"/>
          </w:tcPr>
          <w:p>
            <w:r/>
            <w:r>
              <w:rPr>
                <w:sz w:val="17"/>
              </w:rPr>
              <w:t>TAT</w:t>
            </w:r>
          </w:p>
        </w:tc>
        <w:tc>
          <w:tcPr>
            <w:tcW w:type="dxa" w:w="7920"/>
            <w:shd w:fill="F7F9FC"/>
          </w:tcPr>
          <w:p>
            <w:r/>
            <w:r>
              <w:rPr>
                <w:sz w:val="17"/>
              </w:rPr>
              <w:t>Turnaround Time — time from order placement to result delivery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TDS</w:t>
            </w:r>
          </w:p>
        </w:tc>
        <w:tc>
          <w:tcPr>
            <w:tcW w:type="dxa" w:w="7920"/>
          </w:tcPr>
          <w:p>
            <w:r/>
            <w:r>
              <w:rPr>
                <w:sz w:val="17"/>
              </w:rPr>
              <w:t>Tax Deducted at Source — Indian income tax withholding</w:t>
            </w:r>
          </w:p>
        </w:tc>
      </w:tr>
      <w:tr>
        <w:tc>
          <w:tcPr>
            <w:tcW w:type="dxa" w:w="1728"/>
            <w:shd w:fill="F7F9FC"/>
          </w:tcPr>
          <w:p>
            <w:r/>
            <w:r>
              <w:rPr>
                <w:sz w:val="17"/>
              </w:rPr>
              <w:t>TPA</w:t>
            </w:r>
          </w:p>
        </w:tc>
        <w:tc>
          <w:tcPr>
            <w:tcW w:type="dxa" w:w="7920"/>
            <w:shd w:fill="F7F9FC"/>
          </w:tcPr>
          <w:p>
            <w:r/>
            <w:r>
              <w:rPr>
                <w:sz w:val="17"/>
              </w:rPr>
              <w:t>Third Party Administrator — insurance claim processing intermediary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UAT</w:t>
            </w:r>
          </w:p>
        </w:tc>
        <w:tc>
          <w:tcPr>
            <w:tcW w:type="dxa" w:w="7920"/>
          </w:tcPr>
          <w:p>
            <w:r/>
            <w:r>
              <w:rPr>
                <w:sz w:val="17"/>
              </w:rPr>
              <w:t>User Acceptance Testing — client validation of delivered functionality</w:t>
            </w:r>
          </w:p>
        </w:tc>
      </w:tr>
      <w:tr>
        <w:tc>
          <w:tcPr>
            <w:tcW w:type="dxa" w:w="1728"/>
            <w:shd w:fill="F7F9FC"/>
          </w:tcPr>
          <w:p>
            <w:r/>
            <w:r>
              <w:rPr>
                <w:sz w:val="17"/>
              </w:rPr>
              <w:t>UHID</w:t>
            </w:r>
          </w:p>
        </w:tc>
        <w:tc>
          <w:tcPr>
            <w:tcW w:type="dxa" w:w="7920"/>
            <w:shd w:fill="F7F9FC"/>
          </w:tcPr>
          <w:p>
            <w:r/>
            <w:r>
              <w:rPr>
                <w:sz w:val="17"/>
              </w:rPr>
              <w:t>Unique Hospital Identification — patient identifier within hospital system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UPI</w:t>
            </w:r>
          </w:p>
        </w:tc>
        <w:tc>
          <w:tcPr>
            <w:tcW w:type="dxa" w:w="7920"/>
          </w:tcPr>
          <w:p>
            <w:r/>
            <w:r>
              <w:rPr>
                <w:sz w:val="17"/>
              </w:rPr>
              <w:t>Unified Payments Interface — India's real-time inter-bank payment system</w:t>
            </w:r>
          </w:p>
        </w:tc>
      </w:tr>
    </w:tbl>
    <w:p>
      <w:pPr>
        <w:pStyle w:val="Heading2"/>
      </w:pPr>
      <w:r>
        <w:t>Annexure B — Referenced Standards &amp; Regulations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Standard / Regulation</w:t>
            </w:r>
          </w:p>
        </w:tc>
        <w:tc>
          <w:tcPr>
            <w:tcW w:type="dxa" w:w="4320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Applicability</w:t>
            </w:r>
          </w:p>
        </w:tc>
        <w:tc>
          <w:tcPr>
            <w:tcW w:type="dxa" w:w="2160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Compliance Level</w:t>
            </w:r>
          </w:p>
        </w:tc>
      </w:tr>
      <w:tr>
        <w:tc>
          <w:tcPr>
            <w:tcW w:type="dxa" w:w="2592"/>
            <w:shd w:fill="F7F9FC"/>
          </w:tcPr>
          <w:p>
            <w:r/>
            <w:r>
              <w:rPr>
                <w:sz w:val="17"/>
              </w:rPr>
              <w:t>DISHA Act (India)</w:t>
            </w:r>
          </w:p>
        </w:tc>
        <w:tc>
          <w:tcPr>
            <w:tcW w:type="dxa" w:w="4320"/>
            <w:shd w:fill="F7F9FC"/>
          </w:tcPr>
          <w:p>
            <w:r/>
            <w:r>
              <w:rPr>
                <w:sz w:val="17"/>
              </w:rPr>
              <w:t>Health data privacy, patient consent, data localization</w:t>
            </w:r>
          </w:p>
        </w:tc>
        <w:tc>
          <w:tcPr>
            <w:tcW w:type="dxa" w:w="2160"/>
            <w:shd w:fill="F7F9FC"/>
          </w:tcPr>
          <w:p>
            <w:r/>
            <w:r>
              <w:rPr>
                <w:sz w:val="17"/>
              </w:rPr>
              <w:t>Full compliance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7"/>
              </w:rPr>
              <w:t>ABDM Guidelines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Health ID (ABHA), health records interoperability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Integration ready</w:t>
            </w:r>
          </w:p>
        </w:tc>
      </w:tr>
      <w:tr>
        <w:tc>
          <w:tcPr>
            <w:tcW w:type="dxa" w:w="2592"/>
            <w:shd w:fill="F7F9FC"/>
          </w:tcPr>
          <w:p>
            <w:r/>
            <w:r>
              <w:rPr>
                <w:sz w:val="17"/>
              </w:rPr>
              <w:t>NABH Standards (5th Ed.)</w:t>
            </w:r>
          </w:p>
        </w:tc>
        <w:tc>
          <w:tcPr>
            <w:tcW w:type="dxa" w:w="4320"/>
            <w:shd w:fill="F7F9FC"/>
          </w:tcPr>
          <w:p>
            <w:r/>
            <w:r>
              <w:rPr>
                <w:sz w:val="17"/>
              </w:rPr>
              <w:t>Hospital quality management, patient safety</w:t>
            </w:r>
          </w:p>
        </w:tc>
        <w:tc>
          <w:tcPr>
            <w:tcW w:type="dxa" w:w="2160"/>
            <w:shd w:fill="F7F9FC"/>
          </w:tcPr>
          <w:p>
            <w:r/>
            <w:r>
              <w:rPr>
                <w:sz w:val="17"/>
              </w:rPr>
              <w:t>Process alignment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7"/>
              </w:rPr>
              <w:t>NABL ISO 15189:2022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Medical laboratory quality and competence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Report format compliance</w:t>
            </w:r>
          </w:p>
        </w:tc>
      </w:tr>
      <w:tr>
        <w:tc>
          <w:tcPr>
            <w:tcW w:type="dxa" w:w="2592"/>
            <w:shd w:fill="F7F9FC"/>
          </w:tcPr>
          <w:p>
            <w:r/>
            <w:r>
              <w:rPr>
                <w:sz w:val="17"/>
              </w:rPr>
              <w:t>Indian Pharmacopoeia</w:t>
            </w:r>
          </w:p>
        </w:tc>
        <w:tc>
          <w:tcPr>
            <w:tcW w:type="dxa" w:w="4320"/>
            <w:shd w:fill="F7F9FC"/>
          </w:tcPr>
          <w:p>
            <w:r/>
            <w:r>
              <w:rPr>
                <w:sz w:val="17"/>
              </w:rPr>
              <w:t>Drug nomenclature, scheduling, interactions</w:t>
            </w:r>
          </w:p>
        </w:tc>
        <w:tc>
          <w:tcPr>
            <w:tcW w:type="dxa" w:w="2160"/>
            <w:shd w:fill="F7F9FC"/>
          </w:tcPr>
          <w:p>
            <w:r/>
            <w:r>
              <w:rPr>
                <w:sz w:val="17"/>
              </w:rPr>
              <w:t>Drug master database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7"/>
              </w:rPr>
              <w:t>GST Act 2017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Tax computation, invoice format, filing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Full compliance</w:t>
            </w:r>
          </w:p>
        </w:tc>
      </w:tr>
      <w:tr>
        <w:tc>
          <w:tcPr>
            <w:tcW w:type="dxa" w:w="2592"/>
            <w:shd w:fill="F7F9FC"/>
          </w:tcPr>
          <w:p>
            <w:r/>
            <w:r>
              <w:rPr>
                <w:sz w:val="17"/>
              </w:rPr>
              <w:t>PF Act 1952 / ESIC Act 1948</w:t>
            </w:r>
          </w:p>
        </w:tc>
        <w:tc>
          <w:tcPr>
            <w:tcW w:type="dxa" w:w="4320"/>
            <w:shd w:fill="F7F9FC"/>
          </w:tcPr>
          <w:p>
            <w:r/>
            <w:r>
              <w:rPr>
                <w:sz w:val="17"/>
              </w:rPr>
              <w:t>Employee benefits computation and reporting</w:t>
            </w:r>
          </w:p>
        </w:tc>
        <w:tc>
          <w:tcPr>
            <w:tcW w:type="dxa" w:w="2160"/>
            <w:shd w:fill="F7F9FC"/>
          </w:tcPr>
          <w:p>
            <w:r/>
            <w:r>
              <w:rPr>
                <w:sz w:val="17"/>
              </w:rPr>
              <w:t>Full compliance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7"/>
              </w:rPr>
              <w:t>IT Act 2000 / CERT-In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Cyber security incident reporting, audit logs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Full compliance</w:t>
            </w:r>
          </w:p>
        </w:tc>
      </w:tr>
      <w:tr>
        <w:tc>
          <w:tcPr>
            <w:tcW w:type="dxa" w:w="2592"/>
            <w:shd w:fill="F7F9FC"/>
          </w:tcPr>
          <w:p>
            <w:r/>
            <w:r>
              <w:rPr>
                <w:sz w:val="17"/>
              </w:rPr>
              <w:t>OWASP Top 10 (2021)</w:t>
            </w:r>
          </w:p>
        </w:tc>
        <w:tc>
          <w:tcPr>
            <w:tcW w:type="dxa" w:w="4320"/>
            <w:shd w:fill="F7F9FC"/>
          </w:tcPr>
          <w:p>
            <w:r/>
            <w:r>
              <w:rPr>
                <w:sz w:val="17"/>
              </w:rPr>
              <w:t>Web application security best practices</w:t>
            </w:r>
          </w:p>
        </w:tc>
        <w:tc>
          <w:tcPr>
            <w:tcW w:type="dxa" w:w="2160"/>
            <w:shd w:fill="F7F9FC"/>
          </w:tcPr>
          <w:p>
            <w:r/>
            <w:r>
              <w:rPr>
                <w:sz w:val="17"/>
              </w:rPr>
              <w:t>Full compliance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7"/>
              </w:rPr>
              <w:t>ISO 27001:2022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Information security management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Aligned (certification optional)</w:t>
            </w:r>
          </w:p>
        </w:tc>
      </w:tr>
      <w:tr>
        <w:tc>
          <w:tcPr>
            <w:tcW w:type="dxa" w:w="2592"/>
            <w:shd w:fill="F7F9FC"/>
          </w:tcPr>
          <w:p>
            <w:r/>
            <w:r>
              <w:rPr>
                <w:sz w:val="17"/>
              </w:rPr>
              <w:t>HL7 FHIR R4</w:t>
            </w:r>
          </w:p>
        </w:tc>
        <w:tc>
          <w:tcPr>
            <w:tcW w:type="dxa" w:w="4320"/>
            <w:shd w:fill="F7F9FC"/>
          </w:tcPr>
          <w:p>
            <w:r/>
            <w:r>
              <w:rPr>
                <w:sz w:val="17"/>
              </w:rPr>
              <w:t>Healthcare data interoperability standard</w:t>
            </w:r>
          </w:p>
        </w:tc>
        <w:tc>
          <w:tcPr>
            <w:tcW w:type="dxa" w:w="2160"/>
            <w:shd w:fill="F7F9FC"/>
          </w:tcPr>
          <w:p>
            <w:r/>
            <w:r>
              <w:rPr>
                <w:sz w:val="17"/>
              </w:rPr>
              <w:t>Future-ready architecture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7"/>
              </w:rPr>
              <w:t>ICD-10-CM / ICD-11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Diagnosis and procedure coding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Full support</w:t>
            </w:r>
          </w:p>
        </w:tc>
      </w:tr>
      <w:tr>
        <w:tc>
          <w:tcPr>
            <w:tcW w:type="dxa" w:w="2592"/>
            <w:shd w:fill="F7F9FC"/>
          </w:tcPr>
          <w:p>
            <w:r/>
            <w:r>
              <w:rPr>
                <w:sz w:val="17"/>
              </w:rPr>
              <w:t>LOINC</w:t>
            </w:r>
          </w:p>
        </w:tc>
        <w:tc>
          <w:tcPr>
            <w:tcW w:type="dxa" w:w="4320"/>
            <w:shd w:fill="F7F9FC"/>
          </w:tcPr>
          <w:p>
            <w:r/>
            <w:r>
              <w:rPr>
                <w:sz w:val="17"/>
              </w:rPr>
              <w:t>Laboratory test observation coding</w:t>
            </w:r>
          </w:p>
        </w:tc>
        <w:tc>
          <w:tcPr>
            <w:tcW w:type="dxa" w:w="2160"/>
            <w:shd w:fill="F7F9FC"/>
          </w:tcPr>
          <w:p>
            <w:r/>
            <w:r>
              <w:rPr>
                <w:sz w:val="17"/>
              </w:rPr>
              <w:t>Lab module integration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7"/>
              </w:rPr>
              <w:t>SNOMED CT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Clinical terminology standard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Future roadmap</w:t>
            </w:r>
          </w:p>
        </w:tc>
      </w:tr>
    </w:tbl>
    <w:p>
      <w:pPr>
        <w:pStyle w:val="Heading2"/>
      </w:pPr>
      <w:r>
        <w:t>Annexure C — Document 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08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440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1872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5472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1008"/>
            <w:shd w:fill="F7F9FC"/>
          </w:tcPr>
          <w:p>
            <w:r/>
            <w:r>
              <w:rPr>
                <w:sz w:val="17"/>
              </w:rPr>
              <w:t>1.0</w:t>
            </w:r>
          </w:p>
        </w:tc>
        <w:tc>
          <w:tcPr>
            <w:tcW w:type="dxa" w:w="1440"/>
            <w:shd w:fill="F7F9FC"/>
          </w:tcPr>
          <w:p>
            <w:r/>
            <w:r>
              <w:rPr>
                <w:sz w:val="17"/>
              </w:rPr>
              <w:t>10-Mar-2026</w:t>
            </w:r>
          </w:p>
        </w:tc>
        <w:tc>
          <w:tcPr>
            <w:tcW w:type="dxa" w:w="1872"/>
            <w:shd w:fill="F7F9FC"/>
          </w:tcPr>
          <w:p>
            <w:r/>
            <w:r>
              <w:rPr>
                <w:sz w:val="17"/>
              </w:rPr>
              <w:t>TGWT Solutions</w:t>
            </w:r>
          </w:p>
        </w:tc>
        <w:tc>
          <w:tcPr>
            <w:tcW w:type="dxa" w:w="5472"/>
            <w:shd w:fill="F7F9FC"/>
          </w:tcPr>
          <w:p>
            <w:r/>
            <w:r>
              <w:rPr>
                <w:sz w:val="17"/>
              </w:rPr>
              <w:t>Initial SOW release — all 12 modules, 64 screens, full technical architecture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5472"/>
          </w:tcPr>
          <w:p>
            <w:r/>
            <w:r>
              <w:rPr>
                <w:sz w:val="17"/>
              </w:rPr>
              <w:t>Subsequent versions to be tracked via Document Control (Section 0.1)</w:t>
            </w:r>
          </w:p>
        </w:tc>
      </w:tr>
    </w:tbl>
    <w:p>
      <w:r>
        <w:br w:type="page"/>
      </w:r>
    </w:p>
    <w:p>
      <w:pPr>
        <w:pStyle w:val="Heading1"/>
      </w:pPr>
      <w:r>
        <w:t>Signatures &amp; Authorization</w:t>
      </w:r>
    </w:p>
    <w:p>
      <w:r>
        <w:t>This Statement of Work, when executed by authorized representatives of both parties, constitutes a binding agreement.</w:t>
      </w:r>
      <w:r>
        <w:t xml:space="preserve"> This SOW is governed by the terms of the Master Services Agreement (MSA) between the parties.</w:t>
      </w:r>
    </w:p>
    <w:p/>
    <w:p>
      <w:pPr>
        <w:pStyle w:val="Heading2"/>
      </w:pPr>
      <w:r>
        <w:t>For the Client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Name: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Title: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Signature: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Date: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2"/>
      </w:pPr>
      <w:r>
        <w:t>For TGWT Solutions Private Limited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Name: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Title: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Signature: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Date: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jc w:val="center"/>
      </w:pPr>
      <w:r>
        <w:rPr>
          <w:b/>
          <w:color w:val="1B3A5C"/>
          <w:sz w:val="24"/>
        </w:rPr>
        <w:t>— End of Document —</w:t>
      </w:r>
    </w:p>
    <w:p/>
    <w:p>
      <w:pPr>
        <w:jc w:val="center"/>
      </w:pPr>
      <w:r>
        <w:rPr>
          <w:color w:val="6B7280"/>
          <w:sz w:val="16"/>
        </w:rPr>
        <w:t>TGWT-HMS-SOW-2026-001 | Confidential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B3A5C"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B3A5C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2C5282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