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rHeight w:val="200" w:hRule="exact"/>
        </w:trPr>
        <w:tc>
          <w:tcPr>
            <w:tcW w:type="dxa" w:w="9360"/>
            <w:shd w:val="clear" w:color="auto" w:fill="1B3A5C"/>
          </w:tcPr>
          <w:p>
            <w:pPr>
              <w:spacing w:before="0" w:after="0"/>
            </w:pPr>
            <w:r/>
          </w:p>
        </w:tc>
      </w:tr>
    </w:tbl>
    <w:p>
      <w:pPr>
        <w:spacing w:after="360" w:line="300" w:lineRule="auto"/>
        <w:jc w:val="left"/>
      </w:pPr>
    </w:p>
    <w:p>
      <w:pPr>
        <w:spacing w:after="80" w:line="300" w:lineRule="auto"/>
        <w:jc w:val="center"/>
      </w:pPr>
      <w:r>
        <w:rPr>
          <w:rFonts w:ascii="Arial" w:hAnsi="Arial" w:cs="Arial"/>
          <w:b/>
          <w:i w:val="0"/>
          <w:color w:val="7F8C8D"/>
          <w:sz w:val="20"/>
        </w:rPr>
        <w:t>THE POLICY EXCHANGE (FAIRVALUE INSURETECH PVT. LTD.)</w:t>
      </w:r>
    </w:p>
    <w:p>
      <w:pPr>
        <w:spacing w:after="160" w:line="300" w:lineRule="auto"/>
        <w:jc w:val="center"/>
      </w:pPr>
      <w:r>
        <w:rPr>
          <w:rFonts w:ascii="Arial" w:hAnsi="Arial" w:cs="Arial"/>
          <w:b/>
          <w:i w:val="0"/>
          <w:color w:val="1B3A5C"/>
          <w:sz w:val="44"/>
        </w:rPr>
        <w:t>OPERATOR MANUAL</w:t>
      </w:r>
    </w:p>
    <w:p>
      <w:pPr>
        <w:spacing w:after="120" w:line="300" w:lineRule="auto"/>
        <w:jc w:val="center"/>
      </w:pPr>
      <w:r>
        <w:rPr>
          <w:rFonts w:ascii="Arial" w:hAnsi="Arial" w:cs="Arial"/>
          <w:b/>
          <w:i w:val="0"/>
          <w:color w:val="2C3E50"/>
          <w:sz w:val="52"/>
        </w:rPr>
        <w:t>TPE Communication System</w:t>
      </w:r>
    </w:p>
    <w:p>
      <w:pPr>
        <w:spacing w:after="480" w:line="300" w:lineRule="auto"/>
        <w:jc w:val="center"/>
      </w:pPr>
      <w:r>
        <w:rPr>
          <w:rFonts w:ascii="Arial" w:hAnsi="Arial" w:cs="Arial"/>
          <w:b w:val="0"/>
          <w:i/>
          <w:color w:val="7F8C8D"/>
          <w:sz w:val="22"/>
        </w:rPr>
        <w:t>Sandbox 3.15 Dashboard — daily reference for the operations team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AFBFC"/>
            <w:tcBorders>
              <w:top w:val="single" w:sz="18" w:color="1B3A5C"/>
              <w:left w:val="single" w:sz="18" w:color="1B3A5C"/>
              <w:bottom w:val="single" w:sz="18" w:color="1B3A5C"/>
              <w:right w:val="single" w:sz="18" w:color="1B3A5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1B3A5C"/>
                <w:sz w:val="44"/>
              </w:rPr>
              <w:t>17</w:t>
            </w:r>
          </w:p>
          <w:p>
            <w:pPr>
              <w:spacing w:after="80"/>
              <w:jc w:val="center"/>
            </w:pPr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Workflows live</w:t>
            </w:r>
          </w:p>
        </w:tc>
        <w:tc>
          <w:tcPr>
            <w:tcW w:type="dxa" w:w="2340"/>
            <w:shd w:val="clear" w:color="auto" w:fill="FAFBFC"/>
            <w:tcBorders>
              <w:top w:val="single" w:sz="18" w:color="2E75B6"/>
              <w:left w:val="single" w:sz="18" w:color="2E75B6"/>
              <w:bottom w:val="single" w:sz="18" w:color="2E75B6"/>
              <w:right w:val="single" w:sz="18" w:color="2E75B6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2E75B6"/>
                <w:sz w:val="44"/>
              </w:rPr>
              <w:t>4</w:t>
            </w:r>
          </w:p>
          <w:p>
            <w:pPr>
              <w:spacing w:after="80"/>
              <w:jc w:val="center"/>
            </w:pPr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Channels supported</w:t>
            </w:r>
          </w:p>
        </w:tc>
        <w:tc>
          <w:tcPr>
            <w:tcW w:type="dxa" w:w="2340"/>
            <w:shd w:val="clear" w:color="auto" w:fill="FAFBFC"/>
            <w:tcBorders>
              <w:top w:val="single" w:sz="18" w:color="27AE60"/>
              <w:left w:val="single" w:sz="18" w:color="27AE60"/>
              <w:bottom w:val="single" w:sz="18" w:color="27AE60"/>
              <w:right w:val="single" w:sz="18" w:color="27AE6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27AE60"/>
                <w:sz w:val="44"/>
              </w:rPr>
              <w:t>2</w:t>
            </w:r>
          </w:p>
          <w:p>
            <w:pPr>
              <w:spacing w:after="80"/>
              <w:jc w:val="center"/>
            </w:pPr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Providers active</w:t>
            </w:r>
          </w:p>
        </w:tc>
        <w:tc>
          <w:tcPr>
            <w:tcW w:type="dxa" w:w="2340"/>
            <w:shd w:val="clear" w:color="auto" w:fill="FAFBFC"/>
            <w:tcBorders>
              <w:top w:val="single" w:sz="18" w:color="E67E22"/>
              <w:left w:val="single" w:sz="18" w:color="E67E22"/>
              <w:bottom w:val="single" w:sz="18" w:color="E67E22"/>
              <w:right w:val="single" w:sz="18" w:color="E67E22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E67E22"/>
                <w:sz w:val="44"/>
              </w:rPr>
              <w:t>32</w:t>
            </w:r>
          </w:p>
          <w:p>
            <w:pPr>
              <w:spacing w:after="80"/>
              <w:jc w:val="center"/>
            </w:pPr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Workflows pending</w:t>
            </w:r>
          </w:p>
        </w:tc>
      </w:tr>
    </w:tbl>
    <w:p>
      <w:pPr>
        <w:spacing w:after="360" w:line="300" w:lineRule="auto"/>
        <w:jc w:val="left"/>
      </w:pPr>
    </w:p>
    <w:p>
      <w:pPr>
        <w:spacing w:after="80" w:line="300" w:lineRule="auto"/>
        <w:jc w:val="center"/>
      </w:pPr>
      <w:r>
        <w:rPr>
          <w:rFonts w:ascii="Arial" w:hAnsi="Arial" w:cs="Arial"/>
          <w:b/>
          <w:i w:val="0"/>
          <w:color w:val="1B3A5C"/>
          <w:sz w:val="20"/>
        </w:rPr>
        <w:t>Document metadata</w:t>
      </w:r>
    </w:p>
    <w:tbl>
      <w:tblPr>
        <w:tblW w:type="dxa" w:w="7488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4464"/>
      </w:tblGrid>
      <w:tr>
        <w:tc>
          <w:tcPr>
            <w:tcW w:type="dxa" w:w="3024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Arial" w:hAnsi="Arial" w:cs="Arial"/>
                <w:b/>
                <w:i w:val="0"/>
                <w:color w:val="1B3A5C"/>
                <w:sz w:val="18"/>
              </w:rPr>
              <w:t>Document ID</w:t>
            </w:r>
          </w:p>
        </w:tc>
        <w:tc>
          <w:tcPr>
            <w:tcW w:type="dxa" w:w="4464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TPE-COMMS-OPS-MANUAL-2026-001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Arial" w:hAnsi="Arial" w:cs="Arial"/>
                <w:b/>
                <w:i w:val="0"/>
                <w:color w:val="1B3A5C"/>
                <w:sz w:val="18"/>
              </w:rPr>
              <w:t>Version</w:t>
            </w:r>
          </w:p>
        </w:tc>
        <w:tc>
          <w:tcPr>
            <w:tcW w:type="dxa" w:w="446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1.0</w:t>
            </w:r>
          </w:p>
        </w:tc>
      </w:tr>
      <w:tr>
        <w:tc>
          <w:tcPr>
            <w:tcW w:type="dxa" w:w="3024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Arial" w:hAnsi="Arial" w:cs="Arial"/>
                <w:b/>
                <w:i w:val="0"/>
                <w:color w:val="1B3A5C"/>
                <w:sz w:val="18"/>
              </w:rPr>
              <w:t>Date issued</w:t>
            </w:r>
          </w:p>
        </w:tc>
        <w:tc>
          <w:tcPr>
            <w:tcW w:type="dxa" w:w="4464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01 May 2026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Arial" w:hAnsi="Arial" w:cs="Arial"/>
                <w:b/>
                <w:i w:val="0"/>
                <w:color w:val="1B3A5C"/>
                <w:sz w:val="18"/>
              </w:rPr>
              <w:t>Prepared by</w:t>
            </w:r>
          </w:p>
        </w:tc>
        <w:tc>
          <w:tcPr>
            <w:tcW w:type="dxa" w:w="446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Ashish Kumar Satyam  ·  TechDigital WishTree</w:t>
            </w:r>
          </w:p>
        </w:tc>
      </w:tr>
      <w:tr>
        <w:tc>
          <w:tcPr>
            <w:tcW w:type="dxa" w:w="3024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Arial" w:hAnsi="Arial" w:cs="Arial"/>
                <w:b/>
                <w:i w:val="0"/>
                <w:color w:val="1B3A5C"/>
                <w:sz w:val="18"/>
              </w:rPr>
              <w:t>Prepared for</w:t>
            </w:r>
          </w:p>
        </w:tc>
        <w:tc>
          <w:tcPr>
            <w:tcW w:type="dxa" w:w="4464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The Policy Exchange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Arial" w:hAnsi="Arial" w:cs="Arial"/>
                <w:b/>
                <w:i w:val="0"/>
                <w:color w:val="1B3A5C"/>
                <w:sz w:val="18"/>
              </w:rPr>
              <w:t>Audience</w:t>
            </w:r>
          </w:p>
        </w:tc>
        <w:tc>
          <w:tcPr>
            <w:tcW w:type="dxa" w:w="446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TPE Operations Team</w:t>
            </w:r>
          </w:p>
        </w:tc>
      </w:tr>
      <w:tr>
        <w:tc>
          <w:tcPr>
            <w:tcW w:type="dxa" w:w="3024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Arial" w:hAnsi="Arial" w:cs="Arial"/>
                <w:b/>
                <w:i w:val="0"/>
                <w:color w:val="1B3A5C"/>
                <w:sz w:val="18"/>
              </w:rPr>
              <w:t>Classification</w:t>
            </w:r>
          </w:p>
        </w:tc>
        <w:tc>
          <w:tcPr>
            <w:tcW w:type="dxa" w:w="4464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Internal / Confidential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Arial" w:hAnsi="Arial" w:cs="Arial"/>
                <w:b/>
                <w:i w:val="0"/>
                <w:color w:val="1B3A5C"/>
                <w:sz w:val="18"/>
              </w:rPr>
              <w:t>Document family</w:t>
            </w:r>
          </w:p>
        </w:tc>
        <w:tc>
          <w:tcPr>
            <w:tcW w:type="dxa" w:w="446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Companion to Charter v1.0 + End User Guide v1.0</w:t>
            </w:r>
          </w:p>
        </w:tc>
      </w:tr>
    </w:tbl>
    <w:p>
      <w:pPr>
        <w:spacing w:after="240" w:line="300" w:lineRule="auto"/>
        <w:jc w:val="left"/>
      </w:pPr>
    </w:p>
    <w:p>
      <w:pPr>
        <w:spacing w:after="80" w:line="300" w:lineRule="auto"/>
        <w:jc w:val="center"/>
      </w:pPr>
      <w:r>
        <w:rPr>
          <w:rFonts w:ascii="Arial" w:hAnsi="Arial" w:cs="Arial"/>
          <w:b/>
          <w:i w:val="0"/>
          <w:color w:val="E74C3C"/>
          <w:sz w:val="18"/>
        </w:rPr>
        <w:t>INTERNAL / CONFIDENTIAL — DO NOT REDISTRIBUTE</w:t>
      </w:r>
    </w:p>
    <w:p>
      <w:r>
        <w:br w:type="page"/>
      </w:r>
    </w:p>
    <w:p>
      <w:pPr>
        <w:spacing w:after="0"/>
      </w:pPr>
    </w:p>
    <w:p>
      <w:pPr>
        <w:spacing w:before="160" w:after="40"/>
      </w:pPr>
      <w:r>
        <w:rPr>
          <w:rFonts w:ascii="Arial" w:hAnsi="Arial" w:cs="Arial"/>
          <w:b/>
          <w:i w:val="0"/>
          <w:color w:val="2C3E50"/>
          <w:sz w:val="28"/>
        </w:rPr>
        <w:t>1.  Document Information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rHeight w:val="20" w:hRule="exact"/>
        </w:trPr>
        <w:tc>
          <w:tcPr>
            <w:tcW w:type="dxa" w:w="9360"/>
            <w:shd w:val="clear" w:color="auto" w:fill="2C3E50"/>
          </w:tcPr>
          <w:p>
            <w:pPr>
              <w:spacing w:before="0" w:after="0"/>
            </w:pPr>
            <w:r/>
          </w:p>
        </w:tc>
      </w:tr>
    </w:tbl>
    <w:p>
      <w:pPr>
        <w:spacing w:after="80"/>
      </w:pPr>
    </w:p>
    <w:p>
      <w:pPr>
        <w:spacing w:after="80" w:line="300" w:lineRule="auto"/>
        <w:jc w:val="left"/>
      </w:pPr>
      <w:r>
        <w:rPr>
          <w:rFonts w:ascii="Arial" w:hAnsi="Arial" w:cs="Arial"/>
          <w:b/>
          <w:i w:val="0"/>
          <w:color w:val="1B3A5C"/>
          <w:sz w:val="22"/>
        </w:rPr>
        <w:t>Purpose</w:t>
      </w:r>
    </w:p>
    <w:p>
      <w:pPr>
        <w:spacing w:after="160" w:line="300" w:lineRule="auto"/>
        <w:jc w:val="left"/>
      </w:pPr>
      <w:r>
        <w:rPr>
          <w:rFonts w:ascii="Arial" w:hAnsi="Arial" w:cs="Arial"/>
          <w:b w:val="0"/>
          <w:i w:val="0"/>
          <w:color w:val="2C3E50"/>
          <w:sz w:val="20"/>
        </w:rPr>
        <w:t>This manual is the day-to-day operating reference for the TPE Operations team using the Novu Community Edition 3.15.0 Dashboard at http://103.138.96.180:8080. It covers every operator-facing function — managing subscribers, triggering workflows, monitoring activity, and troubleshooting failed dispatches.</w:t>
      </w:r>
    </w:p>
    <w:p>
      <w:pPr>
        <w:spacing w:after="80" w:line="300" w:lineRule="auto"/>
        <w:jc w:val="left"/>
      </w:pPr>
      <w:r>
        <w:rPr>
          <w:rFonts w:ascii="Arial" w:hAnsi="Arial" w:cs="Arial"/>
          <w:b/>
          <w:i w:val="0"/>
          <w:color w:val="1B3A5C"/>
          <w:sz w:val="22"/>
        </w:rPr>
        <w:t>Scope</w:t>
      </w:r>
    </w:p>
    <w:p>
      <w:pPr>
        <w:spacing w:after="160" w:line="300" w:lineRule="auto"/>
        <w:jc w:val="left"/>
      </w:pPr>
      <w:r>
        <w:rPr>
          <w:rFonts w:ascii="Arial" w:hAnsi="Arial" w:cs="Arial"/>
          <w:b w:val="0"/>
          <w:i w:val="0"/>
          <w:color w:val="2C3E50"/>
          <w:sz w:val="20"/>
        </w:rPr>
        <w:t>Operator workflows only. Engineering operations (workflow authoring, provider configuration, infrastructure) are out of scope and live in the engineering runbooks (deployment/Novu-Combined-Deployment-Guide.docx) and the Operational Skills catalogue at .claude/skills/INDEX.md.</w:t>
      </w:r>
    </w:p>
    <w:p>
      <w:pPr>
        <w:spacing w:after="80" w:line="300" w:lineRule="auto"/>
        <w:jc w:val="left"/>
      </w:pPr>
      <w:r>
        <w:rPr>
          <w:rFonts w:ascii="Arial" w:hAnsi="Arial" w:cs="Arial"/>
          <w:b/>
          <w:i w:val="0"/>
          <w:color w:val="1B3A5C"/>
          <w:sz w:val="22"/>
        </w:rPr>
        <w:t>Companion documents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4608"/>
        <w:gridCol w:w="4752"/>
      </w:tblGrid>
      <w:tr>
        <w:tc>
          <w:tcPr>
            <w:tcW w:type="dxa" w:w="4608"/>
            <w:shd w:val="clear" w:color="auto" w:fill="FFFFFF"/>
            <w:tcBorders>
              <w:top w:val="single" w:sz="8" w:color="2C3E50"/>
              <w:left w:val="single" w:sz="8" w:color="2C3E50"/>
              <w:bottom w:val="single" w:sz="8" w:color="2C3E50"/>
              <w:right w:val="single" w:sz="8" w:color="2C3E5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/>
                <w:i w:val="0"/>
                <w:color w:val="2C3E50"/>
                <w:sz w:val="18"/>
              </w:rPr>
              <w:t>Document</w:t>
            </w:r>
          </w:p>
        </w:tc>
        <w:tc>
          <w:tcPr>
            <w:tcW w:type="dxa" w:w="4752"/>
            <w:shd w:val="clear" w:color="auto" w:fill="FFFFFF"/>
            <w:tcBorders>
              <w:top w:val="single" w:sz="8" w:color="2C3E50"/>
              <w:left w:val="single" w:sz="8" w:color="2C3E50"/>
              <w:bottom w:val="single" w:sz="8" w:color="2C3E50"/>
              <w:right w:val="single" w:sz="8" w:color="2C3E5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/>
                <w:i w:val="0"/>
                <w:color w:val="2C3E50"/>
                <w:sz w:val="18"/>
              </w:rPr>
              <w:t>Purpose</w:t>
            </w:r>
          </w:p>
        </w:tc>
      </w:tr>
      <w:tr>
        <w:tc>
          <w:tcPr>
            <w:tcW w:type="dxa" w:w="4608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TPE_Communication_System_Charter_v1.0.docx</w:t>
            </w:r>
          </w:p>
        </w:tc>
        <w:tc>
          <w:tcPr>
            <w:tcW w:type="dxa" w:w="4752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Project charter — strategic scope, budget, governance</w:t>
            </w:r>
          </w:p>
        </w:tc>
      </w:tr>
      <w:tr>
        <w:tc>
          <w:tcPr>
            <w:tcW w:type="dxa" w:w="460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TPE_Communication_System_Charter_Addendum_v1.1.docx</w:t>
            </w:r>
          </w:p>
        </w:tc>
        <w:tc>
          <w:tcPr>
            <w:tcW w:type="dxa" w:w="475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Tier 1+2 gap-fill: SLAs, security framework, glossary</w:t>
            </w:r>
          </w:p>
        </w:tc>
      </w:tr>
      <w:tr>
        <w:tc>
          <w:tcPr>
            <w:tcW w:type="dxa" w:w="4608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TPE_Communication_System_Trigger_Conditions_v2.0.docx</w:t>
            </w:r>
          </w:p>
        </w:tc>
        <w:tc>
          <w:tcPr>
            <w:tcW w:type="dxa" w:w="4752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Per-trigger conditions table (49 lifecycle triggers)</w:t>
            </w:r>
          </w:p>
        </w:tc>
      </w:tr>
      <w:tr>
        <w:tc>
          <w:tcPr>
            <w:tcW w:type="dxa" w:w="460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TPE_Communication_System_End_User_Guide_v1.0.docx</w:t>
            </w:r>
          </w:p>
        </w:tc>
        <w:tc>
          <w:tcPr>
            <w:tcW w:type="dxa" w:w="475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End-user-facing guide (recipients of notifications)</w:t>
            </w:r>
          </w:p>
        </w:tc>
      </w:tr>
      <w:tr>
        <w:tc>
          <w:tcPr>
            <w:tcW w:type="dxa" w:w="4608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TPE_Communication_System_Operator_Manual_v1.0.docx</w:t>
            </w:r>
          </w:p>
        </w:tc>
        <w:tc>
          <w:tcPr>
            <w:tcW w:type="dxa" w:w="4752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THIS DOCUMENT — operations team daily reference</w:t>
            </w:r>
          </w:p>
        </w:tc>
      </w:tr>
      <w:tr>
        <w:tc>
          <w:tcPr>
            <w:tcW w:type="dxa" w:w="460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deployment/Novu-Combined-Deployment-Guide.docx</w:t>
            </w:r>
          </w:p>
        </w:tc>
        <w:tc>
          <w:tcPr>
            <w:tcW w:type="dxa" w:w="475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Engineering deployment + ops runbook</w:t>
            </w:r>
          </w:p>
        </w:tc>
      </w:tr>
    </w:tbl>
    <w:p>
      <w:pPr>
        <w:spacing w:after="160" w:line="300" w:lineRule="auto"/>
        <w:jc w:val="left"/>
      </w:pPr>
    </w:p>
    <w:p>
      <w:pPr>
        <w:spacing w:after="80" w:line="300" w:lineRule="auto"/>
        <w:jc w:val="left"/>
      </w:pPr>
      <w:r>
        <w:rPr>
          <w:rFonts w:ascii="Arial" w:hAnsi="Arial" w:cs="Arial"/>
          <w:b/>
          <w:i w:val="0"/>
          <w:color w:val="1B3A5C"/>
          <w:sz w:val="22"/>
        </w:rPr>
        <w:t>Conventions used in this manual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● Green badge = component active and healthy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● Orange badge = degraded, manual intervention possible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● Red badge = down or blocked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Code in Consolas font is meant to be copy-pasted verbatim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Section §X.Y references mean Section X.Y of THIS document unless prefixed otherwise</w:t>
      </w:r>
    </w:p>
    <w:p>
      <w:pPr>
        <w:spacing w:after="0"/>
      </w:pPr>
    </w:p>
    <w:p>
      <w:pPr>
        <w:spacing w:before="160" w:after="40"/>
      </w:pPr>
      <w:r>
        <w:rPr>
          <w:rFonts w:ascii="Arial" w:hAnsi="Arial" w:cs="Arial"/>
          <w:b/>
          <w:i w:val="0"/>
          <w:color w:val="2C3E50"/>
          <w:sz w:val="28"/>
        </w:rPr>
        <w:t>2.  Audience Profile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rHeight w:val="20" w:hRule="exact"/>
        </w:trPr>
        <w:tc>
          <w:tcPr>
            <w:tcW w:type="dxa" w:w="9360"/>
            <w:shd w:val="clear" w:color="auto" w:fill="2C3E50"/>
          </w:tcPr>
          <w:p>
            <w:pPr>
              <w:spacing w:before="0" w:after="0"/>
            </w:pPr>
            <w:r/>
          </w:p>
        </w:tc>
      </w:tr>
    </w:tbl>
    <w:p>
      <w:pPr>
        <w:spacing w:after="80"/>
      </w:pPr>
    </w:p>
    <w:p>
      <w:pPr>
        <w:spacing w:after="120" w:line="300" w:lineRule="auto"/>
        <w:jc w:val="left"/>
      </w:pPr>
      <w:r>
        <w:rPr>
          <w:rFonts w:ascii="Arial" w:hAnsi="Arial" w:cs="Arial"/>
          <w:b w:val="0"/>
          <w:i w:val="0"/>
          <w:color w:val="2C3E50"/>
          <w:sz w:val="20"/>
        </w:rPr>
        <w:t>This manual assumes the reader is a member of the Operations team with the following profile: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5040"/>
      </w:tblGrid>
      <w:tr>
        <w:tc>
          <w:tcPr>
            <w:tcW w:type="dxa" w:w="2160"/>
            <w:shd w:val="clear" w:color="auto" w:fill="FFFFFF"/>
            <w:tcBorders>
              <w:top w:val="single" w:sz="8" w:color="2C3E50"/>
              <w:left w:val="single" w:sz="8" w:color="2C3E50"/>
              <w:bottom w:val="single" w:sz="8" w:color="2C3E50"/>
              <w:right w:val="single" w:sz="8" w:color="2C3E5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/>
                <w:i w:val="0"/>
                <w:color w:val="2C3E50"/>
                <w:sz w:val="18"/>
              </w:rPr>
              <w:t>Skill area</w:t>
            </w:r>
          </w:p>
        </w:tc>
        <w:tc>
          <w:tcPr>
            <w:tcW w:type="dxa" w:w="2160"/>
            <w:shd w:val="clear" w:color="auto" w:fill="FFFFFF"/>
            <w:tcBorders>
              <w:top w:val="single" w:sz="8" w:color="2C3E50"/>
              <w:left w:val="single" w:sz="8" w:color="2C3E50"/>
              <w:bottom w:val="single" w:sz="8" w:color="2C3E50"/>
              <w:right w:val="single" w:sz="8" w:color="2C3E5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/>
                <w:i w:val="0"/>
                <w:color w:val="2C3E50"/>
                <w:sz w:val="18"/>
              </w:rPr>
              <w:t>Expected level</w:t>
            </w:r>
          </w:p>
        </w:tc>
        <w:tc>
          <w:tcPr>
            <w:tcW w:type="dxa" w:w="5040"/>
            <w:shd w:val="clear" w:color="auto" w:fill="FFFFFF"/>
            <w:tcBorders>
              <w:top w:val="single" w:sz="8" w:color="2C3E50"/>
              <w:left w:val="single" w:sz="8" w:color="2C3E50"/>
              <w:bottom w:val="single" w:sz="8" w:color="2C3E50"/>
              <w:right w:val="single" w:sz="8" w:color="2C3E5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/>
                <w:i w:val="0"/>
                <w:color w:val="2C3E50"/>
                <w:sz w:val="18"/>
              </w:rPr>
              <w:t>Why it matters</w:t>
            </w:r>
          </w:p>
        </w:tc>
      </w:tr>
      <w:tr>
        <w:tc>
          <w:tcPr>
            <w:tcW w:type="dxa" w:w="2160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Web browser usage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Intermediate</w:t>
            </w:r>
          </w:p>
        </w:tc>
        <w:tc>
          <w:tcPr>
            <w:tcW w:type="dxa" w:w="5040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Dashboard is browser-based; you'll click through forms and tables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JSON syntax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Basic — read + edit</w:t>
            </w:r>
          </w:p>
        </w:tc>
        <w:tc>
          <w:tcPr>
            <w:tcW w:type="dxa" w:w="504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Workflow payloads are JSON; you'll edit them in the trigger modal</w:t>
            </w:r>
          </w:p>
        </w:tc>
      </w:tr>
      <w:tr>
        <w:tc>
          <w:tcPr>
            <w:tcW w:type="dxa" w:w="2160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TPE business domain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Intermediate to advanced</w:t>
            </w:r>
          </w:p>
        </w:tc>
        <w:tc>
          <w:tcPr>
            <w:tcW w:type="dxa" w:w="5040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You'll know what 'PH-02 OTP', 'INV-08 Premium Due', 'EMI cadence' mean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Command line / SSH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Not required for daily ops</w:t>
            </w:r>
          </w:p>
        </w:tc>
        <w:tc>
          <w:tcPr>
            <w:tcW w:type="dxa" w:w="504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Bridge audit log access is helpful but Engineering can pull it for you</w:t>
            </w:r>
          </w:p>
        </w:tc>
      </w:tr>
      <w:tr>
        <w:tc>
          <w:tcPr>
            <w:tcW w:type="dxa" w:w="2160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Coding (TypeScript/Python)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Not required</w:t>
            </w:r>
          </w:p>
        </w:tc>
        <w:tc>
          <w:tcPr>
            <w:tcW w:type="dxa" w:w="5040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Workflow authoring is engineering's job, not operations'</w:t>
            </w:r>
          </w:p>
        </w:tc>
      </w:tr>
    </w:tbl>
    <w:p>
      <w:pPr>
        <w:spacing w:after="160" w:line="300" w:lineRule="auto"/>
        <w:jc w:val="left"/>
      </w:pP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8E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Arial" w:hAnsi="Arial" w:cs="Arial"/>
                <w:b/>
                <w:i w:val="0"/>
                <w:color w:val="E67E22"/>
                <w:sz w:val="20"/>
              </w:rPr>
              <w:t>If you came from the legacy TPE Admin custom UI</w:t>
            </w:r>
          </w:p>
          <w:p>
            <w:r>
              <w:rPr>
                <w:rFonts w:ascii="Arial" w:hAnsi="Arial" w:cs="Arial"/>
                <w:b w:val="0"/>
                <w:i w:val="0"/>
                <w:color w:val="2C3E50"/>
                <w:sz w:val="19"/>
              </w:rPr>
              <w:t>Some features that lived at /admin (channel allowlist, campaign builder, scheduled triggers) are sunsetted as of 2026-05-01. Their workflows are documented in §11 Common Operator Scenarios with the equivalent action in the Novu Dashboard. The legacy UI containers are stopped but preserved — Engineering can revive them via the novu-ce-pivot-rollback skill if needed.</w:t>
            </w:r>
          </w:p>
        </w:tc>
      </w:tr>
    </w:tbl>
    <w:p>
      <w:pPr>
        <w:spacing w:after="40" w:line="300" w:lineRule="auto"/>
        <w:jc w:val="left"/>
      </w:pPr>
    </w:p>
    <w:p>
      <w:pPr>
        <w:spacing w:after="0"/>
      </w:pPr>
    </w:p>
    <w:p>
      <w:pPr>
        <w:spacing w:before="160" w:after="40"/>
      </w:pPr>
      <w:r>
        <w:rPr>
          <w:rFonts w:ascii="Arial" w:hAnsi="Arial" w:cs="Arial"/>
          <w:b/>
          <w:i w:val="0"/>
          <w:color w:val="2C3E50"/>
          <w:sz w:val="28"/>
        </w:rPr>
        <w:t>3.  Architecture in One Page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rHeight w:val="20" w:hRule="exact"/>
        </w:trPr>
        <w:tc>
          <w:tcPr>
            <w:tcW w:type="dxa" w:w="9360"/>
            <w:shd w:val="clear" w:color="auto" w:fill="2C3E50"/>
          </w:tcPr>
          <w:p>
            <w:pPr>
              <w:spacing w:before="0" w:after="0"/>
            </w:pPr>
            <w:r/>
          </w:p>
        </w:tc>
      </w:tr>
    </w:tbl>
    <w:p>
      <w:pPr>
        <w:spacing w:after="80"/>
      </w:pPr>
    </w:p>
    <w:p>
      <w:pPr>
        <w:spacing w:after="120" w:line="300" w:lineRule="auto"/>
        <w:jc w:val="left"/>
      </w:pPr>
      <w:r>
        <w:rPr>
          <w:rFonts w:ascii="Arial" w:hAnsi="Arial" w:cs="Arial"/>
          <w:b w:val="0"/>
          <w:i w:val="0"/>
          <w:color w:val="2C3E50"/>
          <w:sz w:val="20"/>
        </w:rPr>
        <w:t>Understanding where you fit in the data flow makes everything else easier. Here's the path of a single notification from your trigger click to the customer's phone: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5F7FA"/>
            <w:tcBorders>
              <w:top w:val="single" w:sz="4" w:color="DDE2E8"/>
              <w:left w:val="single" w:sz="4" w:color="DDE2E8"/>
              <w:bottom w:val="single" w:sz="4" w:color="DDE2E8"/>
              <w:right w:val="single" w:sz="4" w:color="DDE2E8"/>
            </w:tcBorders>
          </w:tcPr>
          <w:p>
            <w:pPr>
              <w:spacing w:after="0"/>
            </w:pPr>
            <w:r/>
            <w:r>
              <w:rPr>
                <w:rFonts w:ascii="Consolas" w:hAnsi="Consolas" w:cs="Consolas"/>
                <w:b w:val="0"/>
                <w:i w:val="0"/>
                <w:color w:val="2C3E50"/>
                <w:sz w:val="17"/>
              </w:rPr>
              <w:t xml:space="preserve">   YOU (operations team)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2C3E50"/>
                <w:sz w:val="17"/>
              </w:rPr>
              <w:t xml:space="preserve">    │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2C3E50"/>
                <w:sz w:val="17"/>
              </w:rPr>
              <w:t xml:space="preserve">    ▼  click "Trigger Workflow" or send curl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2C3E50"/>
                <w:sz w:val="17"/>
              </w:rPr>
              <w:t>┌──────────────────────────────────────────┐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2C3E50"/>
                <w:sz w:val="17"/>
              </w:rPr>
              <w:t>│  Novu Dashboard 3.15 — port 8080         │  ← lists workflows from Mongo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2C3E50"/>
                <w:sz w:val="17"/>
              </w:rPr>
              <w:t>│  http://103.138.96.180:8080              │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2C3E50"/>
                <w:sz w:val="17"/>
              </w:rPr>
              <w:t>└────────────┬─────────────────────────────┘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2C3E50"/>
                <w:sz w:val="17"/>
              </w:rPr>
              <w:t xml:space="preserve">             │ POST /v1/events/trigger { name, to, payload }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2C3E50"/>
                <w:sz w:val="17"/>
              </w:rPr>
              <w:t xml:space="preserve">             ▼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2C3E50"/>
                <w:sz w:val="17"/>
              </w:rPr>
              <w:t>┌──────────────────────────────────────────┐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2C3E50"/>
                <w:sz w:val="17"/>
              </w:rPr>
              <w:t>│  Novu API + Worker (next-api / next-worker)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2C3E50"/>
                <w:sz w:val="17"/>
              </w:rPr>
              <w:t>│  • Validates the workflow exists         │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2C3E50"/>
                <w:sz w:val="17"/>
              </w:rPr>
              <w:t>│  • Queues a Notification job             │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2C3E50"/>
                <w:sz w:val="17"/>
              </w:rPr>
              <w:t>│  • Worker pulls + calls Bridge           │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2C3E50"/>
                <w:sz w:val="17"/>
              </w:rPr>
              <w:t>└────────────┬─────────────────────────────┘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2C3E50"/>
                <w:sz w:val="17"/>
              </w:rPr>
              <w:t xml:space="preserve">             │ HTTP /api/novu (Bridge protocol)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2C3E50"/>
                <w:sz w:val="17"/>
              </w:rPr>
              <w:t xml:space="preserve">             ▼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2C3E50"/>
                <w:sz w:val="17"/>
              </w:rPr>
              <w:t>┌──────────────────────────────────────────┐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2C3E50"/>
                <w:sz w:val="17"/>
              </w:rPr>
              <w:t>│  Bridge (next-bridge) — OUR CODE         │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2C3E50"/>
                <w:sz w:val="17"/>
              </w:rPr>
              <w:t>│  bridge/workflows/&lt;trigger&gt;.ts            │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2C3E50"/>
                <w:sz w:val="17"/>
              </w:rPr>
              <w:t>│   ├─ payloadSchema check (zod)           │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2C3E50"/>
                <w:sz w:val="17"/>
              </w:rPr>
              <w:t>│   ├─ step.inApp(...)         → Inbox     │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2C3E50"/>
                <w:sz w:val="17"/>
              </w:rPr>
              <w:t>│   ├─ step.custom('sms-otp', dispatch)    │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2C3E50"/>
                <w:sz w:val="17"/>
              </w:rPr>
              <w:t>│   │     → MSG91 v5/Flow API              │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2C3E50"/>
                <w:sz w:val="17"/>
              </w:rPr>
              <w:t>│   └─ step.custom('wa-otp', dispatch)     │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2C3E50"/>
                <w:sz w:val="17"/>
              </w:rPr>
              <w:t>│         → ICPaaS WhatsApp Cloud API      │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2C3E50"/>
                <w:sz w:val="17"/>
              </w:rPr>
              <w:t>└────────────┬─────────────────────────────┘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2C3E50"/>
                <w:sz w:val="17"/>
              </w:rPr>
              <w:t xml:space="preserve">             │ HTTPS to providers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2C3E50"/>
                <w:sz w:val="17"/>
              </w:rPr>
              <w:t xml:space="preserve">             ▼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2C3E50"/>
                <w:sz w:val="17"/>
              </w:rPr>
              <w:t xml:space="preserve">   📨 MSG91     →  SMS to phone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2C3E50"/>
                <w:sz w:val="17"/>
              </w:rPr>
              <w:t xml:space="preserve">   💬 ICPaaS    →  WhatsApp to phone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2C3E50"/>
                <w:sz w:val="17"/>
              </w:rPr>
              <w:t xml:space="preserve">   ✉ AWS SES   →  Email (deferred)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2C3E50"/>
                <w:sz w:val="17"/>
              </w:rPr>
              <w:t xml:space="preserve">   🔔 Novu     →  In-app entry on dashboard</w:t>
            </w:r>
          </w:p>
        </w:tc>
      </w:tr>
    </w:tbl>
    <w:p>
      <w:pPr>
        <w:spacing w:after="40" w:line="300" w:lineRule="auto"/>
        <w:jc w:val="left"/>
      </w:pPr>
    </w:p>
    <w:p>
      <w:pPr>
        <w:spacing w:after="80" w:line="300" w:lineRule="auto"/>
        <w:jc w:val="left"/>
      </w:pPr>
    </w:p>
    <w:p>
      <w:pPr>
        <w:spacing w:before="80" w:after="40"/>
      </w:pPr>
      <w:r>
        <w:rPr>
          <w:rFonts w:ascii="Arial" w:hAnsi="Arial" w:cs="Arial"/>
          <w:b/>
          <w:i w:val="0"/>
          <w:color w:val="1B3A5C"/>
          <w:sz w:val="24"/>
        </w:rPr>
        <w:t>3.1  What runs where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728"/>
        <w:gridCol w:w="1872"/>
        <w:gridCol w:w="2592"/>
        <w:gridCol w:w="3168"/>
      </w:tblGrid>
      <w:tr>
        <w:tc>
          <w:tcPr>
            <w:tcW w:type="dxa" w:w="1728"/>
            <w:shd w:val="clear" w:color="auto" w:fill="FFFFFF"/>
            <w:tcBorders>
              <w:top w:val="single" w:sz="8" w:color="2C3E50"/>
              <w:left w:val="single" w:sz="8" w:color="2C3E50"/>
              <w:bottom w:val="single" w:sz="8" w:color="2C3E50"/>
              <w:right w:val="single" w:sz="8" w:color="2C3E5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/>
                <w:i w:val="0"/>
                <w:color w:val="2C3E50"/>
                <w:sz w:val="17"/>
              </w:rPr>
              <w:t>Component</w:t>
            </w:r>
          </w:p>
        </w:tc>
        <w:tc>
          <w:tcPr>
            <w:tcW w:type="dxa" w:w="1872"/>
            <w:shd w:val="clear" w:color="auto" w:fill="FFFFFF"/>
            <w:tcBorders>
              <w:top w:val="single" w:sz="8" w:color="2C3E50"/>
              <w:left w:val="single" w:sz="8" w:color="2C3E50"/>
              <w:bottom w:val="single" w:sz="8" w:color="2C3E50"/>
              <w:right w:val="single" w:sz="8" w:color="2C3E5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/>
                <w:i w:val="0"/>
                <w:color w:val="2C3E50"/>
                <w:sz w:val="17"/>
              </w:rPr>
              <w:t>Container</w:t>
            </w:r>
          </w:p>
        </w:tc>
        <w:tc>
          <w:tcPr>
            <w:tcW w:type="dxa" w:w="2592"/>
            <w:shd w:val="clear" w:color="auto" w:fill="FFFFFF"/>
            <w:tcBorders>
              <w:top w:val="single" w:sz="8" w:color="2C3E50"/>
              <w:left w:val="single" w:sz="8" w:color="2C3E50"/>
              <w:bottom w:val="single" w:sz="8" w:color="2C3E50"/>
              <w:right w:val="single" w:sz="8" w:color="2C3E5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/>
                <w:i w:val="0"/>
                <w:color w:val="2C3E50"/>
                <w:sz w:val="17"/>
              </w:rPr>
              <w:t>URL</w:t>
            </w:r>
          </w:p>
        </w:tc>
        <w:tc>
          <w:tcPr>
            <w:tcW w:type="dxa" w:w="3168"/>
            <w:shd w:val="clear" w:color="auto" w:fill="FFFFFF"/>
            <w:tcBorders>
              <w:top w:val="single" w:sz="8" w:color="2C3E50"/>
              <w:left w:val="single" w:sz="8" w:color="2C3E50"/>
              <w:bottom w:val="single" w:sz="8" w:color="2C3E50"/>
              <w:right w:val="single" w:sz="8" w:color="2C3E5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/>
                <w:i w:val="0"/>
                <w:color w:val="2C3E50"/>
                <w:sz w:val="17"/>
              </w:rPr>
              <w:t>What it does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Dashboard UI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next-dashboard</w:t>
            </w:r>
          </w:p>
        </w:tc>
        <w:tc>
          <w:tcPr>
            <w:tcW w:type="dxa" w:w="2592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http://103.138.96.180:8080</w:t>
            </w:r>
          </w:p>
        </w:tc>
        <w:tc>
          <w:tcPr>
            <w:tcW w:type="dxa" w:w="3168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What you click in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API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next-api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:8081 (loopback :3000)</w:t>
            </w:r>
          </w:p>
        </w:tc>
        <w:tc>
          <w:tcPr>
            <w:tcW w:type="dxa" w:w="31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Receives /v1/events/trigger calls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Worker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next-worker</w:t>
            </w:r>
          </w:p>
        </w:tc>
        <w:tc>
          <w:tcPr>
            <w:tcW w:type="dxa" w:w="2592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internal</w:t>
            </w:r>
          </w:p>
        </w:tc>
        <w:tc>
          <w:tcPr>
            <w:tcW w:type="dxa" w:w="3168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Picks up jobs from queue, calls Bridge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Bridge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next-bridge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:4001 (loopback)</w:t>
            </w:r>
          </w:p>
        </w:tc>
        <w:tc>
          <w:tcPr>
            <w:tcW w:type="dxa" w:w="31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Runs OUR code-first workflows + dispatches to providers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Mongo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next-mongodb</w:t>
            </w:r>
          </w:p>
        </w:tc>
        <w:tc>
          <w:tcPr>
            <w:tcW w:type="dxa" w:w="2592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internal</w:t>
            </w:r>
          </w:p>
        </w:tc>
        <w:tc>
          <w:tcPr>
            <w:tcW w:type="dxa" w:w="3168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Stores workflows, subscribers, jobs, activity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Redis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next-redis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internal</w:t>
            </w:r>
          </w:p>
        </w:tc>
        <w:tc>
          <w:tcPr>
            <w:tcW w:type="dxa" w:w="31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Job queue</w:t>
            </w:r>
          </w:p>
        </w:tc>
      </w:tr>
    </w:tbl>
    <w:p>
      <w:pPr>
        <w:spacing w:after="80" w:line="300" w:lineRule="auto"/>
        <w:jc w:val="left"/>
      </w:pP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4F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Arial" w:hAnsi="Arial" w:cs="Arial"/>
                <w:b/>
                <w:i w:val="0"/>
                <w:color w:val="2E75B6"/>
                <w:sz w:val="20"/>
              </w:rPr>
              <w:t>Why our SMS doesn't go through Novu's catalog</w:t>
            </w:r>
          </w:p>
          <w:p>
            <w:r>
              <w:rPr>
                <w:rFonts w:ascii="Arial" w:hAnsi="Arial" w:cs="Arial"/>
                <w:b w:val="0"/>
                <w:i w:val="0"/>
                <w:color w:val="2C3E50"/>
                <w:sz w:val="19"/>
              </w:rPr>
              <w:t>MSG91 isn't in Novu CE 3.15's built-in SMS catalog (38 providers, none MSG91). Our 17 Charter workflows use a custom Bridge dispatch layer that calls MSG91's v5 Flow API directly with our DLT-registered template IDs. This is required for Indian SMS compliance — TRAI/DLT regulations need template_id + variable substitution, which generic SMS providers can't supply. WhatsApp goes the same way (ICPaaS, not Novu's native WhatsApp Business).</w:t>
            </w:r>
          </w:p>
        </w:tc>
      </w:tr>
    </w:tbl>
    <w:p>
      <w:pPr>
        <w:spacing w:after="40" w:line="300" w:lineRule="auto"/>
        <w:jc w:val="left"/>
      </w:pPr>
    </w:p>
    <w:p>
      <w:pPr>
        <w:spacing w:after="0"/>
      </w:pPr>
    </w:p>
    <w:p>
      <w:pPr>
        <w:spacing w:before="160" w:after="40"/>
      </w:pPr>
      <w:r>
        <w:rPr>
          <w:rFonts w:ascii="Arial" w:hAnsi="Arial" w:cs="Arial"/>
          <w:b/>
          <w:i w:val="0"/>
          <w:color w:val="2C3E50"/>
          <w:sz w:val="28"/>
        </w:rPr>
        <w:t>4.  Quick Start — Your First 5 Minutes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rHeight w:val="20" w:hRule="exact"/>
        </w:trPr>
        <w:tc>
          <w:tcPr>
            <w:tcW w:type="dxa" w:w="9360"/>
            <w:shd w:val="clear" w:color="auto" w:fill="2C3E50"/>
          </w:tcPr>
          <w:p>
            <w:pPr>
              <w:spacing w:before="0" w:after="0"/>
            </w:pPr>
            <w:r/>
          </w:p>
        </w:tc>
      </w:tr>
    </w:tbl>
    <w:p>
      <w:pPr>
        <w:spacing w:after="80"/>
      </w:pPr>
    </w:p>
    <w:p>
      <w:pPr>
        <w:spacing w:after="120" w:line="300" w:lineRule="auto"/>
        <w:jc w:val="left"/>
      </w:pPr>
      <w:r>
        <w:rPr>
          <w:rFonts w:ascii="Arial" w:hAnsi="Arial" w:cs="Arial"/>
          <w:b w:val="0"/>
          <w:i w:val="0"/>
          <w:color w:val="2C3E50"/>
          <w:sz w:val="20"/>
        </w:rPr>
        <w:t>If this is your first time, do these five things in order:</w:t>
      </w:r>
    </w:p>
    <w:p>
      <w:pPr>
        <w:spacing w:before="80" w:after="40"/>
      </w:pPr>
      <w:r>
        <w:rPr>
          <w:rFonts w:ascii="Arial" w:hAnsi="Arial" w:cs="Arial"/>
          <w:b/>
          <w:i w:val="0"/>
          <w:color w:val="1B3A5C"/>
          <w:sz w:val="24"/>
        </w:rPr>
        <w:t>4.1  Open the dashboard + sign in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Open http://103.138.96.180:8080 in your browser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Email: sandbox@tpe-test.local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Password: SandboxStage2026!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On first login, accept any prompts to enter the Development environment</w:t>
      </w:r>
    </w:p>
    <w:p>
      <w:pPr>
        <w:spacing w:after="120" w:line="300" w:lineRule="auto"/>
        <w:jc w:val="left"/>
      </w:pPr>
    </w:p>
    <w:p>
      <w:pPr>
        <w:spacing w:before="80" w:after="40"/>
      </w:pPr>
      <w:r>
        <w:rPr>
          <w:rFonts w:ascii="Arial" w:hAnsi="Arial" w:cs="Arial"/>
          <w:b/>
          <w:i w:val="0"/>
          <w:color w:val="1B3A5C"/>
          <w:sz w:val="24"/>
        </w:rPr>
        <w:t>4.2  Verify the 17 workflows are visible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Click 'Workflows' in the left sidebar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You should see at least 19 entries: 17 Charter §4.3 workflows + welcome-onboarding + tpe-multichannel-test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Each shows a 'code-first' badge (read-only — they're managed in source)</w:t>
      </w:r>
    </w:p>
    <w:p>
      <w:pPr>
        <w:spacing w:after="80" w:line="300" w:lineRule="auto"/>
        <w:jc w:val="left"/>
      </w:pP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8E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Arial" w:hAnsi="Arial" w:cs="Arial"/>
                <w:b/>
                <w:i w:val="0"/>
                <w:color w:val="E67E22"/>
                <w:sz w:val="20"/>
              </w:rPr>
              <w:t>If you see fewer than 17 workflows</w:t>
            </w:r>
          </w:p>
          <w:p>
            <w:r>
              <w:rPr>
                <w:rFonts w:ascii="Arial" w:hAnsi="Arial" w:cs="Arial"/>
                <w:b w:val="0"/>
                <w:i w:val="0"/>
                <w:color w:val="2C3E50"/>
                <w:sz w:val="19"/>
              </w:rPr>
              <w:t>The Bridge sync may not have run. Contact Engineering — they'll run the novu-ce-bridge-sync skill against the sandbox API.</w:t>
            </w:r>
          </w:p>
        </w:tc>
      </w:tr>
    </w:tbl>
    <w:p>
      <w:pPr>
        <w:spacing w:after="40" w:line="300" w:lineRule="auto"/>
        <w:jc w:val="left"/>
      </w:pPr>
    </w:p>
    <w:p>
      <w:pPr>
        <w:spacing w:before="80" w:after="40"/>
      </w:pPr>
      <w:r>
        <w:rPr>
          <w:rFonts w:ascii="Arial" w:hAnsi="Arial" w:cs="Arial"/>
          <w:b/>
          <w:i w:val="0"/>
          <w:color w:val="1B3A5C"/>
          <w:sz w:val="24"/>
        </w:rPr>
        <w:t>4.3  Verify your test subscriber exists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Click 'Subscribers' in the left sidebar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Look for a subscriber with ID 'test-icpaas-sandbox-1'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If missing, see §5.1 below to create one</w:t>
      </w:r>
    </w:p>
    <w:p>
      <w:pPr>
        <w:spacing w:before="80" w:after="40"/>
      </w:pPr>
      <w:r>
        <w:rPr>
          <w:rFonts w:ascii="Arial" w:hAnsi="Arial" w:cs="Arial"/>
          <w:b/>
          <w:i w:val="0"/>
          <w:color w:val="1B3A5C"/>
          <w:sz w:val="24"/>
        </w:rPr>
        <w:t>4.4  Fire your first test trigger (PH-02 OTP)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Workflows tab → click 'ph-02-registration'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Top-right: click 'Trigger Workflow'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Subscriber ID: test-icpaas-sandbox-1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Payload (paste this JSON):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5F7FA"/>
            <w:tcBorders>
              <w:top w:val="single" w:sz="4" w:color="DDE2E8"/>
              <w:left w:val="single" w:sz="4" w:color="DDE2E8"/>
              <w:bottom w:val="single" w:sz="4" w:color="DDE2E8"/>
              <w:right w:val="single" w:sz="4" w:color="DDE2E8"/>
            </w:tcBorders>
          </w:tcPr>
          <w:p>
            <w:pPr>
              <w:spacing w:after="0"/>
            </w:pPr>
            <w:r/>
            <w:r>
              <w:rPr>
                <w:rFonts w:ascii="Consolas" w:hAnsi="Consolas" w:cs="Consolas"/>
                <w:b w:val="0"/>
                <w:i w:val="0"/>
                <w:color w:val="2C3E50"/>
                <w:sz w:val="17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2C3E50"/>
                <w:sz w:val="17"/>
              </w:rPr>
              <w:t xml:space="preserve">  "otp": "482910",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2C3E50"/>
                <w:sz w:val="17"/>
              </w:rPr>
              <w:t xml:space="preserve">  "ph_id": "PH-TEST-001",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2C3E50"/>
                <w:sz w:val="17"/>
              </w:rPr>
              <w:t xml:space="preserve">  "testMode": true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2C3E50"/>
                <w:sz w:val="17"/>
              </w:rPr>
              <w:t>}</w:t>
            </w:r>
          </w:p>
        </w:tc>
      </w:tr>
    </w:tbl>
    <w:p>
      <w:pPr>
        <w:spacing w:after="40" w:line="300" w:lineRule="auto"/>
        <w:jc w:val="left"/>
      </w:pP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Click 'Run Workflow'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You'll get a transactionId like 'txn_69f...'</w:t>
      </w:r>
    </w:p>
    <w:p>
      <w:pPr>
        <w:spacing w:before="80" w:after="40"/>
      </w:pPr>
      <w:r>
        <w:rPr>
          <w:rFonts w:ascii="Arial" w:hAnsi="Arial" w:cs="Arial"/>
          <w:b/>
          <w:i w:val="0"/>
          <w:color w:val="1B3A5C"/>
          <w:sz w:val="24"/>
        </w:rPr>
        <w:t>4.5  Verify dispatch happened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Click 'Activity Feed' in the left sidebar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Find your transactionId — click it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Each step (in_app / sms / whatsapp / email) should show a status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SMS + WhatsApp should land on the phone number associated with the subscriber</w:t>
      </w:r>
    </w:p>
    <w:p>
      <w:pPr>
        <w:spacing w:after="0"/>
      </w:pPr>
    </w:p>
    <w:p>
      <w:pPr>
        <w:spacing w:before="160" w:after="40"/>
      </w:pPr>
      <w:r>
        <w:rPr>
          <w:rFonts w:ascii="Arial" w:hAnsi="Arial" w:cs="Arial"/>
          <w:b/>
          <w:i w:val="0"/>
          <w:color w:val="2C3E50"/>
          <w:sz w:val="28"/>
        </w:rPr>
        <w:t>5.  Subscribers Tab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rHeight w:val="20" w:hRule="exact"/>
        </w:trPr>
        <w:tc>
          <w:tcPr>
            <w:tcW w:type="dxa" w:w="9360"/>
            <w:shd w:val="clear" w:color="auto" w:fill="2C3E50"/>
          </w:tcPr>
          <w:p>
            <w:pPr>
              <w:spacing w:before="0" w:after="0"/>
            </w:pPr>
            <w:r/>
          </w:p>
        </w:tc>
      </w:tr>
    </w:tbl>
    <w:p>
      <w:pPr>
        <w:spacing w:after="80"/>
      </w:pPr>
    </w:p>
    <w:p>
      <w:pPr>
        <w:spacing w:after="160" w:line="300" w:lineRule="auto"/>
        <w:jc w:val="left"/>
      </w:pPr>
      <w:r>
        <w:rPr>
          <w:rFonts w:ascii="Arial" w:hAnsi="Arial" w:cs="Arial"/>
          <w:b w:val="0"/>
          <w:i w:val="0"/>
          <w:color w:val="2C3E50"/>
          <w:sz w:val="20"/>
        </w:rPr>
        <w:t>Subscribers are the 'who' of every notification. A subscriber represents one customer (or test account) and holds their contact info — phone, email, locale, custom data. Every trigger references a subscriberId to know who to notify.</w:t>
      </w:r>
    </w:p>
    <w:p>
      <w:pPr>
        <w:spacing w:before="80" w:after="40"/>
      </w:pPr>
      <w:r>
        <w:rPr>
          <w:rFonts w:ascii="Arial" w:hAnsi="Arial" w:cs="Arial"/>
          <w:b/>
          <w:i w:val="0"/>
          <w:color w:val="1B3A5C"/>
          <w:sz w:val="24"/>
        </w:rPr>
        <w:t>5.1  Add a new subscriber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Subscribers tab → click 'Add Subscriber' (top-right)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Fill the form: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72"/>
        <w:gridCol w:w="1728"/>
        <w:gridCol w:w="2592"/>
        <w:gridCol w:w="3168"/>
      </w:tblGrid>
      <w:tr>
        <w:tc>
          <w:tcPr>
            <w:tcW w:type="dxa" w:w="1872"/>
            <w:shd w:val="clear" w:color="auto" w:fill="FFFFFF"/>
            <w:tcBorders>
              <w:top w:val="single" w:sz="8" w:color="2C3E50"/>
              <w:left w:val="single" w:sz="8" w:color="2C3E50"/>
              <w:bottom w:val="single" w:sz="8" w:color="2C3E50"/>
              <w:right w:val="single" w:sz="8" w:color="2C3E5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/>
                <w:i w:val="0"/>
                <w:color w:val="2C3E50"/>
                <w:sz w:val="17"/>
              </w:rPr>
              <w:t>Field</w:t>
            </w:r>
          </w:p>
        </w:tc>
        <w:tc>
          <w:tcPr>
            <w:tcW w:type="dxa" w:w="1728"/>
            <w:shd w:val="clear" w:color="auto" w:fill="FFFFFF"/>
            <w:tcBorders>
              <w:top w:val="single" w:sz="8" w:color="2C3E50"/>
              <w:left w:val="single" w:sz="8" w:color="2C3E50"/>
              <w:bottom w:val="single" w:sz="8" w:color="2C3E50"/>
              <w:right w:val="single" w:sz="8" w:color="2C3E5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/>
                <w:i w:val="0"/>
                <w:color w:val="2C3E50"/>
                <w:sz w:val="17"/>
              </w:rPr>
              <w:t>Required?</w:t>
            </w:r>
          </w:p>
        </w:tc>
        <w:tc>
          <w:tcPr>
            <w:tcW w:type="dxa" w:w="2592"/>
            <w:shd w:val="clear" w:color="auto" w:fill="FFFFFF"/>
            <w:tcBorders>
              <w:top w:val="single" w:sz="8" w:color="2C3E50"/>
              <w:left w:val="single" w:sz="8" w:color="2C3E50"/>
              <w:bottom w:val="single" w:sz="8" w:color="2C3E50"/>
              <w:right w:val="single" w:sz="8" w:color="2C3E5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/>
                <w:i w:val="0"/>
                <w:color w:val="2C3E50"/>
                <w:sz w:val="17"/>
              </w:rPr>
              <w:t>Example</w:t>
            </w:r>
          </w:p>
        </w:tc>
        <w:tc>
          <w:tcPr>
            <w:tcW w:type="dxa" w:w="3168"/>
            <w:shd w:val="clear" w:color="auto" w:fill="FFFFFF"/>
            <w:tcBorders>
              <w:top w:val="single" w:sz="8" w:color="2C3E50"/>
              <w:left w:val="single" w:sz="8" w:color="2C3E50"/>
              <w:bottom w:val="single" w:sz="8" w:color="2C3E50"/>
              <w:right w:val="single" w:sz="8" w:color="2C3E5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/>
                <w:i w:val="0"/>
                <w:color w:val="2C3E50"/>
                <w:sz w:val="17"/>
              </w:rPr>
              <w:t>Notes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Subscriber ID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Yes (unique)</w:t>
            </w:r>
          </w:p>
        </w:tc>
        <w:tc>
          <w:tcPr>
            <w:tcW w:type="dxa" w:w="2592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test-icpaas-sandbox-1</w:t>
            </w:r>
          </w:p>
        </w:tc>
        <w:tc>
          <w:tcPr>
            <w:tcW w:type="dxa" w:w="3168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Your app's user ID. Cannot be changed later.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First Name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Recommended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Sandbox</w:t>
            </w:r>
          </w:p>
        </w:tc>
        <w:tc>
          <w:tcPr>
            <w:tcW w:type="dxa" w:w="31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Used in template substitution: {{firstName}}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Last Name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Optional</w:t>
            </w:r>
          </w:p>
        </w:tc>
        <w:tc>
          <w:tcPr>
            <w:tcW w:type="dxa" w:w="2592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Tester</w:t>
            </w:r>
          </w:p>
        </w:tc>
        <w:tc>
          <w:tcPr>
            <w:tcW w:type="dxa" w:w="3168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Email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Yes if email channel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no-reply@thepolicyexchange.com</w:t>
            </w:r>
          </w:p>
        </w:tc>
        <w:tc>
          <w:tcPr>
            <w:tcW w:type="dxa" w:w="31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Where email goes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Phone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Yes if SMS or WhatsApp</w:t>
            </w:r>
          </w:p>
        </w:tc>
        <w:tc>
          <w:tcPr>
            <w:tcW w:type="dxa" w:w="2592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+919465185365</w:t>
            </w:r>
          </w:p>
        </w:tc>
        <w:tc>
          <w:tcPr>
            <w:tcW w:type="dxa" w:w="3168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E.164 format with country code; same field for SMS AND WA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Avatar URL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Optional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https://...</w:t>
            </w:r>
          </w:p>
        </w:tc>
        <w:tc>
          <w:tcPr>
            <w:tcW w:type="dxa" w:w="31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Shown in In-app messages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Locale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Recommended</w:t>
            </w:r>
          </w:p>
        </w:tc>
        <w:tc>
          <w:tcPr>
            <w:tcW w:type="dxa" w:w="2592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en  or  hi</w:t>
            </w:r>
          </w:p>
        </w:tc>
        <w:tc>
          <w:tcPr>
            <w:tcW w:type="dxa" w:w="3168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Picks the template language at dispatch time</w:t>
            </w:r>
          </w:p>
        </w:tc>
      </w:tr>
    </w:tbl>
    <w:p>
      <w:pPr>
        <w:spacing w:after="80" w:line="300" w:lineRule="auto"/>
        <w:jc w:val="left"/>
      </w:pP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Click 'Save'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Subscriber appears in the list immediately; can now be referenced in triggers</w:t>
      </w:r>
    </w:p>
    <w:p>
      <w:pPr>
        <w:spacing w:after="80" w:line="300" w:lineRule="auto"/>
        <w:jc w:val="left"/>
      </w:pPr>
    </w:p>
    <w:p>
      <w:pPr>
        <w:spacing w:before="80" w:after="40"/>
      </w:pPr>
      <w:r>
        <w:rPr>
          <w:rFonts w:ascii="Arial" w:hAnsi="Arial" w:cs="Arial"/>
          <w:b/>
          <w:i w:val="0"/>
          <w:color w:val="1B3A5C"/>
          <w:sz w:val="24"/>
        </w:rPr>
        <w:t>5.2  Edit a subscriber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Click any subscriber in the list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Profile drawer opens — click the pencil icon next to any field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Change phone / email / locale / custom data (data field is free-form JSON)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Save</w:t>
      </w:r>
    </w:p>
    <w:p>
      <w:pPr>
        <w:spacing w:before="80" w:after="40"/>
      </w:pPr>
      <w:r>
        <w:rPr>
          <w:rFonts w:ascii="Arial" w:hAnsi="Arial" w:cs="Arial"/>
          <w:b/>
          <w:i w:val="0"/>
          <w:color w:val="1B3A5C"/>
          <w:sz w:val="24"/>
        </w:rPr>
        <w:t>5.3  Common subscriber data shape for TPE</w:t>
      </w:r>
    </w:p>
    <w:p>
      <w:pPr>
        <w:spacing w:after="80" w:line="300" w:lineRule="auto"/>
        <w:jc w:val="left"/>
      </w:pPr>
      <w:r>
        <w:rPr>
          <w:rFonts w:ascii="Arial" w:hAnsi="Arial" w:cs="Arial"/>
          <w:b w:val="0"/>
          <w:i w:val="0"/>
          <w:color w:val="2C3E50"/>
          <w:sz w:val="20"/>
        </w:rPr>
        <w:t>Custom 'data' JSON field — recommended schema for TPE subscribers: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5F7FA"/>
            <w:tcBorders>
              <w:top w:val="single" w:sz="4" w:color="DDE2E8"/>
              <w:left w:val="single" w:sz="4" w:color="DDE2E8"/>
              <w:bottom w:val="single" w:sz="4" w:color="DDE2E8"/>
              <w:right w:val="single" w:sz="4" w:color="DDE2E8"/>
            </w:tcBorders>
          </w:tcPr>
          <w:p>
            <w:pPr>
              <w:spacing w:after="0"/>
            </w:pPr>
            <w:r/>
            <w:r>
              <w:rPr>
                <w:rFonts w:ascii="Consolas" w:hAnsi="Consolas" w:cs="Consolas"/>
                <w:b w:val="0"/>
                <w:i w:val="0"/>
                <w:color w:val="2C3E50"/>
                <w:sz w:val="17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2C3E50"/>
                <w:sz w:val="17"/>
              </w:rPr>
              <w:t xml:space="preserve">  "ph_id": "PH-12345",                    // policyholder ID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2C3E50"/>
                <w:sz w:val="17"/>
              </w:rPr>
              <w:t xml:space="preserve">  "ph_state": "active",                   // or: lead | contacted | qualified | etc.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2C3E50"/>
                <w:sz w:val="17"/>
              </w:rPr>
              <w:t xml:space="preserve">  "policy_number": "20356001",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2C3E50"/>
                <w:sz w:val="17"/>
              </w:rPr>
              <w:t xml:space="preserve">  "investor_id": "INV-9876",              // if subscriber is an investor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2C3E50"/>
                <w:sz w:val="17"/>
              </w:rPr>
              <w:t xml:space="preserve">  "investor_state": "soft_committed",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2C3E50"/>
                <w:sz w:val="17"/>
              </w:rPr>
              <w:t xml:space="preserve">  "preferred_channels": ["sms", "whatsapp"],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2C3E50"/>
                <w:sz w:val="17"/>
              </w:rPr>
              <w:t xml:space="preserve">  "dlt_consent": true,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2C3E50"/>
                <w:sz w:val="17"/>
              </w:rPr>
              <w:t xml:space="preserve">  "language": "en"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2C3E50"/>
                <w:sz w:val="17"/>
              </w:rPr>
              <w:t>}</w:t>
            </w:r>
          </w:p>
        </w:tc>
      </w:tr>
    </w:tbl>
    <w:p>
      <w:pPr>
        <w:spacing w:after="40" w:line="300" w:lineRule="auto"/>
        <w:jc w:val="left"/>
      </w:pP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EBEE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Arial" w:hAnsi="Arial" w:cs="Arial"/>
                <w:b/>
                <w:i w:val="0"/>
                <w:color w:val="E74C3C"/>
                <w:sz w:val="20"/>
              </w:rPr>
              <w:t>Compliance reminder</w:t>
            </w:r>
          </w:p>
          <w:p>
            <w:r>
              <w:rPr>
                <w:rFonts w:ascii="Arial" w:hAnsi="Arial" w:cs="Arial"/>
                <w:b w:val="0"/>
                <w:i w:val="0"/>
                <w:color w:val="2C3E50"/>
                <w:sz w:val="19"/>
              </w:rPr>
              <w:t>Subscriber phone numbers are PII subject to DPDPA. Never enter test data with real customer phone numbers from production systems. Use synthetic test numbers or your own.</w:t>
            </w:r>
          </w:p>
        </w:tc>
      </w:tr>
    </w:tbl>
    <w:p>
      <w:pPr>
        <w:spacing w:after="40" w:line="300" w:lineRule="auto"/>
        <w:jc w:val="left"/>
      </w:pPr>
    </w:p>
    <w:p>
      <w:pPr>
        <w:spacing w:before="80" w:after="40"/>
      </w:pPr>
      <w:r>
        <w:rPr>
          <w:rFonts w:ascii="Arial" w:hAnsi="Arial" w:cs="Arial"/>
          <w:b/>
          <w:i w:val="0"/>
          <w:color w:val="1B3A5C"/>
          <w:sz w:val="24"/>
        </w:rPr>
        <w:t>5.4  Delete a subscriber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Subscriber profile → 'Delete subscriber' button (bottom)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Confirm twice (this is irreversible)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Activity history is preserved per Charter §4.8 audit retention</w:t>
      </w:r>
    </w:p>
    <w:p>
      <w:pPr>
        <w:spacing w:after="0"/>
      </w:pPr>
    </w:p>
    <w:p>
      <w:pPr>
        <w:spacing w:before="160" w:after="40"/>
      </w:pPr>
      <w:r>
        <w:rPr>
          <w:rFonts w:ascii="Arial" w:hAnsi="Arial" w:cs="Arial"/>
          <w:b/>
          <w:i w:val="0"/>
          <w:color w:val="2C3E50"/>
          <w:sz w:val="28"/>
        </w:rPr>
        <w:t>6.  Workflows Tab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rHeight w:val="20" w:hRule="exact"/>
        </w:trPr>
        <w:tc>
          <w:tcPr>
            <w:tcW w:type="dxa" w:w="9360"/>
            <w:shd w:val="clear" w:color="auto" w:fill="2C3E50"/>
          </w:tcPr>
          <w:p>
            <w:pPr>
              <w:spacing w:before="0" w:after="0"/>
            </w:pPr>
            <w:r/>
          </w:p>
        </w:tc>
      </w:tr>
    </w:tbl>
    <w:p>
      <w:pPr>
        <w:spacing w:after="80"/>
      </w:pPr>
    </w:p>
    <w:p>
      <w:pPr>
        <w:spacing w:after="160" w:line="300" w:lineRule="auto"/>
        <w:jc w:val="left"/>
      </w:pPr>
      <w:r>
        <w:rPr>
          <w:rFonts w:ascii="Arial" w:hAnsi="Arial" w:cs="Arial"/>
          <w:b w:val="0"/>
          <w:i w:val="0"/>
          <w:color w:val="2C3E50"/>
          <w:sz w:val="20"/>
        </w:rPr>
        <w:t>Workflows are the notification programs themselves — they define what channels fire, in what order, with what content. Under our code-first architecture, you cannot edit workflow steps from the dashboard. You CAN view them, trigger them, and inspect their schemas.</w:t>
      </w:r>
    </w:p>
    <w:p>
      <w:pPr>
        <w:spacing w:before="80" w:after="40"/>
      </w:pPr>
      <w:r>
        <w:rPr>
          <w:rFonts w:ascii="Arial" w:hAnsi="Arial" w:cs="Arial"/>
          <w:b/>
          <w:i w:val="0"/>
          <w:color w:val="1B3A5C"/>
          <w:sz w:val="24"/>
        </w:rPr>
        <w:t>6.1  List view — what you see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2592"/>
            <w:shd w:val="clear" w:color="auto" w:fill="FFFFFF"/>
            <w:tcBorders>
              <w:top w:val="single" w:sz="8" w:color="2C3E50"/>
              <w:left w:val="single" w:sz="8" w:color="2C3E50"/>
              <w:bottom w:val="single" w:sz="8" w:color="2C3E50"/>
              <w:right w:val="single" w:sz="8" w:color="2C3E5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/>
                <w:i w:val="0"/>
                <w:color w:val="2C3E50"/>
                <w:sz w:val="18"/>
              </w:rPr>
              <w:t>Column</w:t>
            </w:r>
          </w:p>
        </w:tc>
        <w:tc>
          <w:tcPr>
            <w:tcW w:type="dxa" w:w="6768"/>
            <w:shd w:val="clear" w:color="auto" w:fill="FFFFFF"/>
            <w:tcBorders>
              <w:top w:val="single" w:sz="8" w:color="2C3E50"/>
              <w:left w:val="single" w:sz="8" w:color="2C3E50"/>
              <w:bottom w:val="single" w:sz="8" w:color="2C3E50"/>
              <w:right w:val="single" w:sz="8" w:color="2C3E5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/>
                <w:i w:val="0"/>
                <w:color w:val="2C3E50"/>
                <w:sz w:val="18"/>
              </w:rPr>
              <w:t>What it shows</w:t>
            </w:r>
          </w:p>
        </w:tc>
      </w:tr>
      <w:tr>
        <w:tc>
          <w:tcPr>
            <w:tcW w:type="dxa" w:w="2592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Name / Trigger ID</w:t>
            </w:r>
          </w:p>
        </w:tc>
        <w:tc>
          <w:tcPr>
            <w:tcW w:type="dxa" w:w="6768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The workflow identifier (e.g. ph-02-registration)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Channels</w:t>
            </w:r>
          </w:p>
        </w:tc>
        <w:tc>
          <w:tcPr>
            <w:tcW w:type="dxa" w:w="67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Which channels this workflow uses (SMS / WhatsApp / Email / In-app)</w:t>
            </w:r>
          </w:p>
        </w:tc>
      </w:tr>
      <w:tr>
        <w:tc>
          <w:tcPr>
            <w:tcW w:type="dxa" w:w="2592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Updated</w:t>
            </w:r>
          </w:p>
        </w:tc>
        <w:tc>
          <w:tcPr>
            <w:tcW w:type="dxa" w:w="6768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When the workflow was last synced from source code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Status</w:t>
            </w:r>
          </w:p>
        </w:tc>
        <w:tc>
          <w:tcPr>
            <w:tcW w:type="dxa" w:w="67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Active / Inactive — whether triggers fire it</w:t>
            </w:r>
          </w:p>
        </w:tc>
      </w:tr>
      <w:tr>
        <w:tc>
          <w:tcPr>
            <w:tcW w:type="dxa" w:w="2592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Read-only badge</w:t>
            </w:r>
          </w:p>
        </w:tc>
        <w:tc>
          <w:tcPr>
            <w:tcW w:type="dxa" w:w="6768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Confirms it's code-first (cannot be edited in UI)</w:t>
            </w:r>
          </w:p>
        </w:tc>
      </w:tr>
    </w:tbl>
    <w:p>
      <w:pPr>
        <w:spacing w:after="80" w:line="300" w:lineRule="auto"/>
        <w:jc w:val="left"/>
      </w:pPr>
    </w:p>
    <w:p>
      <w:pPr>
        <w:spacing w:before="80" w:after="40"/>
      </w:pPr>
      <w:r>
        <w:rPr>
          <w:rFonts w:ascii="Arial" w:hAnsi="Arial" w:cs="Arial"/>
          <w:b/>
          <w:i w:val="0"/>
          <w:color w:val="1B3A5C"/>
          <w:sz w:val="24"/>
        </w:rPr>
        <w:t>6.2  View workflow details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Click any workflow row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Detail page shows the step graph (visual flowchart)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Each step shows its type (inApp / SMS / WhatsApp / Email / Delay)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Click a step to see its content templates and conditions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Payload schema panel shows required + optional fields</w:t>
      </w:r>
    </w:p>
    <w:p>
      <w:pPr>
        <w:spacing w:before="80" w:after="40"/>
      </w:pPr>
      <w:r>
        <w:rPr>
          <w:rFonts w:ascii="Arial" w:hAnsi="Arial" w:cs="Arial"/>
          <w:b/>
          <w:i w:val="0"/>
          <w:color w:val="1B3A5C"/>
          <w:sz w:val="24"/>
        </w:rPr>
        <w:t>6.3  Trigger a workflow</w:t>
      </w:r>
    </w:p>
    <w:p>
      <w:pPr>
        <w:spacing w:after="80" w:line="300" w:lineRule="auto"/>
        <w:jc w:val="left"/>
      </w:pPr>
      <w:r>
        <w:rPr>
          <w:rFonts w:ascii="Arial" w:hAnsi="Arial" w:cs="Arial"/>
          <w:b w:val="0"/>
          <w:i w:val="0"/>
          <w:color w:val="2C3E50"/>
          <w:sz w:val="20"/>
        </w:rPr>
        <w:t>Two-step process: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1. Click 'Trigger Workflow' button (top-right of detail page)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2. Fill the trigger form</w:t>
      </w:r>
    </w:p>
    <w:p>
      <w:pPr>
        <w:spacing w:after="80" w:line="300" w:lineRule="auto"/>
        <w:jc w:val="left"/>
      </w:pPr>
      <w:r>
        <w:rPr>
          <w:rFonts w:ascii="Arial" w:hAnsi="Arial" w:cs="Arial"/>
          <w:b w:val="0"/>
          <w:i w:val="0"/>
          <w:color w:val="2C3E50"/>
          <w:sz w:val="20"/>
        </w:rPr>
        <w:t>Trigger form fields: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5616"/>
      </w:tblGrid>
      <w:tr>
        <w:tc>
          <w:tcPr>
            <w:tcW w:type="dxa" w:w="1872"/>
            <w:shd w:val="clear" w:color="auto" w:fill="FFFFFF"/>
            <w:tcBorders>
              <w:top w:val="single" w:sz="8" w:color="2C3E50"/>
              <w:left w:val="single" w:sz="8" w:color="2C3E50"/>
              <w:bottom w:val="single" w:sz="8" w:color="2C3E50"/>
              <w:right w:val="single" w:sz="8" w:color="2C3E5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/>
                <w:i w:val="0"/>
                <w:color w:val="2C3E50"/>
                <w:sz w:val="18"/>
              </w:rPr>
              <w:t>Field</w:t>
            </w:r>
          </w:p>
        </w:tc>
        <w:tc>
          <w:tcPr>
            <w:tcW w:type="dxa" w:w="1872"/>
            <w:shd w:val="clear" w:color="auto" w:fill="FFFFFF"/>
            <w:tcBorders>
              <w:top w:val="single" w:sz="8" w:color="2C3E50"/>
              <w:left w:val="single" w:sz="8" w:color="2C3E50"/>
              <w:bottom w:val="single" w:sz="8" w:color="2C3E50"/>
              <w:right w:val="single" w:sz="8" w:color="2C3E5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/>
                <w:i w:val="0"/>
                <w:color w:val="2C3E50"/>
                <w:sz w:val="18"/>
              </w:rPr>
              <w:t>Type</w:t>
            </w:r>
          </w:p>
        </w:tc>
        <w:tc>
          <w:tcPr>
            <w:tcW w:type="dxa" w:w="5616"/>
            <w:shd w:val="clear" w:color="auto" w:fill="FFFFFF"/>
            <w:tcBorders>
              <w:top w:val="single" w:sz="8" w:color="2C3E50"/>
              <w:left w:val="single" w:sz="8" w:color="2C3E50"/>
              <w:bottom w:val="single" w:sz="8" w:color="2C3E50"/>
              <w:right w:val="single" w:sz="8" w:color="2C3E5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/>
                <w:i w:val="0"/>
                <w:color w:val="2C3E50"/>
                <w:sz w:val="18"/>
              </w:rPr>
              <w:t>Notes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Subscriber ID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Required string</w:t>
            </w:r>
          </w:p>
        </w:tc>
        <w:tc>
          <w:tcPr>
            <w:tcW w:type="dxa" w:w="5616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Must match an existing subscriber's ID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Payload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Required JSON object</w:t>
            </w:r>
          </w:p>
        </w:tc>
        <w:tc>
          <w:tcPr>
            <w:tcW w:type="dxa" w:w="561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Workflow-specific; see §10 for per-workflow schema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Override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Optional JSON object</w:t>
            </w:r>
          </w:p>
        </w:tc>
        <w:tc>
          <w:tcPr>
            <w:tcW w:type="dxa" w:w="5616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Per-channel content override; rarely needed</w:t>
            </w:r>
          </w:p>
        </w:tc>
      </w:tr>
    </w:tbl>
    <w:p>
      <w:pPr>
        <w:spacing w:after="80" w:line="300" w:lineRule="auto"/>
        <w:jc w:val="left"/>
      </w:pP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Click 'Run Workflow' — you get a transactionId immediately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Workflow execution happens asynchronously (typically completes in 5-15 seconds)</w:t>
      </w:r>
    </w:p>
    <w:p>
      <w:pPr>
        <w:spacing w:before="80" w:after="40"/>
      </w:pPr>
      <w:r>
        <w:rPr>
          <w:rFonts w:ascii="Arial" w:hAnsi="Arial" w:cs="Arial"/>
          <w:b/>
          <w:i w:val="0"/>
          <w:color w:val="1B3A5C"/>
          <w:sz w:val="24"/>
        </w:rPr>
        <w:t>6.4  Why some workflows show 'invalid payload' on trigger</w:t>
      </w:r>
    </w:p>
    <w:p>
      <w:pPr>
        <w:spacing w:after="80" w:line="300" w:lineRule="auto"/>
        <w:jc w:val="left"/>
      </w:pPr>
      <w:r>
        <w:rPr>
          <w:rFonts w:ascii="Arial" w:hAnsi="Arial" w:cs="Arial"/>
          <w:b w:val="0"/>
          <w:i w:val="0"/>
          <w:color w:val="2C3E50"/>
          <w:sz w:val="20"/>
        </w:rPr>
        <w:t>If your trigger fails with an 'invalid payload' error, it's because Bridge's strict zod schema validation rejected what you sent. In Novu 3.15 (vs older 2.3.0), validation is strict — wrong field names, missing required fields, or malformed UUIDs all 400.</w:t>
      </w:r>
    </w:p>
    <w:p>
      <w:pPr>
        <w:spacing w:after="80" w:line="300" w:lineRule="auto"/>
        <w:jc w:val="left"/>
      </w:pPr>
      <w:r>
        <w:rPr>
          <w:rFonts w:ascii="Arial" w:hAnsi="Arial" w:cs="Arial"/>
          <w:b w:val="0"/>
          <w:i w:val="0"/>
          <w:color w:val="2C3E50"/>
          <w:sz w:val="20"/>
        </w:rPr>
        <w:t>Common gotchas (from observed sandbox failures):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592"/>
        <w:gridCol w:w="3888"/>
      </w:tblGrid>
      <w:tr>
        <w:tc>
          <w:tcPr>
            <w:tcW w:type="dxa" w:w="2880"/>
            <w:shd w:val="clear" w:color="auto" w:fill="FFFFFF"/>
            <w:tcBorders>
              <w:top w:val="single" w:sz="8" w:color="2C3E50"/>
              <w:left w:val="single" w:sz="8" w:color="2C3E50"/>
              <w:bottom w:val="single" w:sz="8" w:color="2C3E50"/>
              <w:right w:val="single" w:sz="8" w:color="2C3E5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/>
                <w:i w:val="0"/>
                <w:color w:val="2C3E50"/>
                <w:sz w:val="17"/>
              </w:rPr>
              <w:t>Mistake</w:t>
            </w:r>
          </w:p>
        </w:tc>
        <w:tc>
          <w:tcPr>
            <w:tcW w:type="dxa" w:w="2592"/>
            <w:shd w:val="clear" w:color="auto" w:fill="FFFFFF"/>
            <w:tcBorders>
              <w:top w:val="single" w:sz="8" w:color="2C3E50"/>
              <w:left w:val="single" w:sz="8" w:color="2C3E50"/>
              <w:bottom w:val="single" w:sz="8" w:color="2C3E50"/>
              <w:right w:val="single" w:sz="8" w:color="2C3E5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/>
                <w:i w:val="0"/>
                <w:color w:val="2C3E50"/>
                <w:sz w:val="17"/>
              </w:rPr>
              <w:t>Error you see</w:t>
            </w:r>
          </w:p>
        </w:tc>
        <w:tc>
          <w:tcPr>
            <w:tcW w:type="dxa" w:w="3888"/>
            <w:shd w:val="clear" w:color="auto" w:fill="FFFFFF"/>
            <w:tcBorders>
              <w:top w:val="single" w:sz="8" w:color="2C3E50"/>
              <w:left w:val="single" w:sz="8" w:color="2C3E50"/>
              <w:bottom w:val="single" w:sz="8" w:color="2C3E50"/>
              <w:right w:val="single" w:sz="8" w:color="2C3E5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/>
                <w:i w:val="0"/>
                <w:color w:val="2C3E50"/>
                <w:sz w:val="17"/>
              </w:rPr>
              <w:t>Fix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Sent 'otpCode' instead of 'otp'</w:t>
            </w:r>
          </w:p>
        </w:tc>
        <w:tc>
          <w:tcPr>
            <w:tcW w:type="dxa" w:w="2592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/otp Required</w:t>
            </w:r>
          </w:p>
        </w:tc>
        <w:tc>
          <w:tcPr>
            <w:tcW w:type="dxa" w:w="3888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Match exact field name from §10 reference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Padded fake UUID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Invalid uuid</w:t>
            </w:r>
          </w:p>
        </w:tc>
        <w:tc>
          <w:tcPr>
            <w:tcW w:type="dxa" w:w="388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Use a real RFC-4122 UUID (engineering can generate)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Missing required field</w:t>
            </w:r>
          </w:p>
        </w:tc>
        <w:tc>
          <w:tcPr>
            <w:tcW w:type="dxa" w:w="2592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/&lt;field&gt; Required</w:t>
            </w:r>
          </w:p>
        </w:tc>
        <w:tc>
          <w:tcPr>
            <w:tcW w:type="dxa" w:w="3888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Check §10 for what's required vs optional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Sent string for number field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Expected number, received string</w:t>
            </w:r>
          </w:p>
        </w:tc>
        <w:tc>
          <w:tcPr>
            <w:tcW w:type="dxa" w:w="388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Cast to number before sending</w:t>
            </w:r>
          </w:p>
        </w:tc>
      </w:tr>
    </w:tbl>
    <w:p>
      <w:pPr>
        <w:spacing w:after="0"/>
      </w:pPr>
    </w:p>
    <w:p>
      <w:pPr>
        <w:spacing w:before="160" w:after="40"/>
      </w:pPr>
      <w:r>
        <w:rPr>
          <w:rFonts w:ascii="Arial" w:hAnsi="Arial" w:cs="Arial"/>
          <w:b/>
          <w:i w:val="0"/>
          <w:color w:val="2C3E50"/>
          <w:sz w:val="28"/>
        </w:rPr>
        <w:t>7.  Topics Tab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rHeight w:val="20" w:hRule="exact"/>
        </w:trPr>
        <w:tc>
          <w:tcPr>
            <w:tcW w:type="dxa" w:w="9360"/>
            <w:shd w:val="clear" w:color="auto" w:fill="2C3E50"/>
          </w:tcPr>
          <w:p>
            <w:pPr>
              <w:spacing w:before="0" w:after="0"/>
            </w:pPr>
            <w:r/>
          </w:p>
        </w:tc>
      </w:tr>
    </w:tbl>
    <w:p>
      <w:pPr>
        <w:spacing w:after="80"/>
      </w:pPr>
    </w:p>
    <w:p>
      <w:pPr>
        <w:spacing w:after="160" w:line="300" w:lineRule="auto"/>
        <w:jc w:val="left"/>
      </w:pPr>
      <w:r>
        <w:rPr>
          <w:rFonts w:ascii="Arial" w:hAnsi="Arial" w:cs="Arial"/>
          <w:b w:val="0"/>
          <w:i w:val="0"/>
          <w:color w:val="2C3E50"/>
          <w:sz w:val="20"/>
        </w:rPr>
        <w:t>Topics let you trigger one workflow to many subscribers at once. Useful for broadcast scenarios — service announcements, regulatory notices, mass campaigns. Without topics, you'd loop through subscribers and call /v1/events/trigger N times; with topics, one call fans out automatically.</w:t>
      </w:r>
    </w:p>
    <w:p>
      <w:pPr>
        <w:spacing w:before="80" w:after="40"/>
      </w:pPr>
      <w:r>
        <w:rPr>
          <w:rFonts w:ascii="Arial" w:hAnsi="Arial" w:cs="Arial"/>
          <w:b/>
          <w:i w:val="0"/>
          <w:color w:val="1B3A5C"/>
          <w:sz w:val="24"/>
        </w:rPr>
        <w:t>7.1  Create a topic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Topics tab → 'Create Topic' button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Topic Key: lowercase-with-hyphens (this is the routing identifier)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Topic Name: human-readable description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Save → topic created with zero subscribers</w:t>
      </w:r>
    </w:p>
    <w:p>
      <w:pPr>
        <w:spacing w:before="80" w:after="40"/>
      </w:pPr>
      <w:r>
        <w:rPr>
          <w:rFonts w:ascii="Arial" w:hAnsi="Arial" w:cs="Arial"/>
          <w:b/>
          <w:i w:val="0"/>
          <w:color w:val="1B3A5C"/>
          <w:sz w:val="24"/>
        </w:rPr>
        <w:t>7.2  Add subscribers to a topic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Click into the topic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'Add Subscribers' → select from list (multi-select)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Save → membership updated</w:t>
      </w:r>
    </w:p>
    <w:p>
      <w:pPr>
        <w:spacing w:before="80" w:after="40"/>
      </w:pPr>
      <w:r>
        <w:rPr>
          <w:rFonts w:ascii="Arial" w:hAnsi="Arial" w:cs="Arial"/>
          <w:b/>
          <w:i w:val="0"/>
          <w:color w:val="1B3A5C"/>
          <w:sz w:val="24"/>
        </w:rPr>
        <w:t>7.3  Trigger to a topic</w:t>
      </w:r>
    </w:p>
    <w:p>
      <w:pPr>
        <w:spacing w:after="80" w:line="300" w:lineRule="auto"/>
        <w:jc w:val="left"/>
      </w:pPr>
      <w:r>
        <w:rPr>
          <w:rFonts w:ascii="Arial" w:hAnsi="Arial" w:cs="Arial"/>
          <w:b w:val="0"/>
          <w:i w:val="0"/>
          <w:color w:val="2C3E50"/>
          <w:sz w:val="20"/>
        </w:rPr>
        <w:t>From the dashboard: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Workflows → pick workflow → Trigger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In the 'To' field, switch from 'Subscriber' to 'Topic'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Select the topic key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Payload: same as for a single subscriber — same payload goes to ALL members</w:t>
      </w:r>
    </w:p>
    <w:p>
      <w:pPr>
        <w:spacing w:before="80" w:after="40"/>
      </w:pPr>
      <w:r>
        <w:rPr>
          <w:rFonts w:ascii="Arial" w:hAnsi="Arial" w:cs="Arial"/>
          <w:b/>
          <w:i w:val="0"/>
          <w:color w:val="1B3A5C"/>
          <w:sz w:val="24"/>
        </w:rPr>
        <w:t>7.4  Suggested topics for TPE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311"/>
        <w:gridCol w:w="6048"/>
      </w:tblGrid>
      <w:tr>
        <w:tc>
          <w:tcPr>
            <w:tcW w:type="dxa" w:w="3311"/>
            <w:shd w:val="clear" w:color="auto" w:fill="FFFFFF"/>
            <w:tcBorders>
              <w:top w:val="single" w:sz="8" w:color="2C3E50"/>
              <w:left w:val="single" w:sz="8" w:color="2C3E50"/>
              <w:bottom w:val="single" w:sz="8" w:color="2C3E50"/>
              <w:right w:val="single" w:sz="8" w:color="2C3E5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/>
                <w:i w:val="0"/>
                <w:color w:val="2C3E50"/>
                <w:sz w:val="18"/>
              </w:rPr>
              <w:t>Topic Key</w:t>
            </w:r>
          </w:p>
        </w:tc>
        <w:tc>
          <w:tcPr>
            <w:tcW w:type="dxa" w:w="6048"/>
            <w:shd w:val="clear" w:color="auto" w:fill="FFFFFF"/>
            <w:tcBorders>
              <w:top w:val="single" w:sz="8" w:color="2C3E50"/>
              <w:left w:val="single" w:sz="8" w:color="2C3E50"/>
              <w:bottom w:val="single" w:sz="8" w:color="2C3E50"/>
              <w:right w:val="single" w:sz="8" w:color="2C3E5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/>
                <w:i w:val="0"/>
                <w:color w:val="2C3E50"/>
                <w:sz w:val="18"/>
              </w:rPr>
              <w:t>Use case</w:t>
            </w:r>
          </w:p>
        </w:tc>
      </w:tr>
      <w:tr>
        <w:tc>
          <w:tcPr>
            <w:tcW w:type="dxa" w:w="3311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all-policyholders-en</w:t>
            </w:r>
          </w:p>
        </w:tc>
        <w:tc>
          <w:tcPr>
            <w:tcW w:type="dxa" w:w="6048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All English-speaking policyholders</w:t>
            </w:r>
          </w:p>
        </w:tc>
      </w:tr>
      <w:tr>
        <w:tc>
          <w:tcPr>
            <w:tcW w:type="dxa" w:w="331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all-policyholders-hi</w:t>
            </w:r>
          </w:p>
        </w:tc>
        <w:tc>
          <w:tcPr>
            <w:tcW w:type="dxa" w:w="604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All Hindi-speaking policyholders</w:t>
            </w:r>
          </w:p>
        </w:tc>
      </w:tr>
      <w:tr>
        <w:tc>
          <w:tcPr>
            <w:tcW w:type="dxa" w:w="3311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all-investors</w:t>
            </w:r>
          </w:p>
        </w:tc>
        <w:tc>
          <w:tcPr>
            <w:tcW w:type="dxa" w:w="6048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All investor accounts</w:t>
            </w:r>
          </w:p>
        </w:tc>
      </w:tr>
      <w:tr>
        <w:tc>
          <w:tcPr>
            <w:tcW w:type="dxa" w:w="331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maturing-this-month</w:t>
            </w:r>
          </w:p>
        </w:tc>
        <w:tc>
          <w:tcPr>
            <w:tcW w:type="dxa" w:w="604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Policies maturing in current month (rebuild monthly)</w:t>
            </w:r>
          </w:p>
        </w:tc>
      </w:tr>
      <w:tr>
        <w:tc>
          <w:tcPr>
            <w:tcW w:type="dxa" w:w="3311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lapsed-policies</w:t>
            </w:r>
          </w:p>
        </w:tc>
        <w:tc>
          <w:tcPr>
            <w:tcW w:type="dxa" w:w="6048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Lapsed accounts targeted for re-engagement (PH-17)</w:t>
            </w:r>
          </w:p>
        </w:tc>
      </w:tr>
      <w:tr>
        <w:tc>
          <w:tcPr>
            <w:tcW w:type="dxa" w:w="331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test-subscribers</w:t>
            </w:r>
          </w:p>
        </w:tc>
        <w:tc>
          <w:tcPr>
            <w:tcW w:type="dxa" w:w="604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Internal QA accounts — fire here before any real broadcast</w:t>
            </w:r>
          </w:p>
        </w:tc>
      </w:tr>
    </w:tbl>
    <w:p>
      <w:pPr>
        <w:spacing w:after="80" w:line="300" w:lineRule="auto"/>
        <w:jc w:val="left"/>
      </w:pP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4F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Arial" w:hAnsi="Arial" w:cs="Arial"/>
                <w:b/>
                <w:i w:val="0"/>
                <w:color w:val="1B3A5C"/>
                <w:sz w:val="20"/>
              </w:rPr>
              <w:t>Topic vs Subscriber list — when to use which</w:t>
            </w:r>
          </w:p>
          <w:p>
            <w:r>
              <w:rPr>
                <w:rFonts w:ascii="Arial" w:hAnsi="Arial" w:cs="Arial"/>
                <w:b w:val="0"/>
                <w:i w:val="0"/>
                <w:color w:val="2C3E50"/>
                <w:sz w:val="19"/>
              </w:rPr>
              <w:t>Use a Topic when the recipient list is stable (e.g. 'all investors'). Build a subscriber-list trigger loop instead when the list is dynamic (e.g. 'investors with policy maturing in the next 30 days' — recompute the list each run from your business DB).</w:t>
            </w:r>
          </w:p>
        </w:tc>
      </w:tr>
    </w:tbl>
    <w:p>
      <w:pPr>
        <w:spacing w:after="40" w:line="300" w:lineRule="auto"/>
        <w:jc w:val="left"/>
      </w:pPr>
    </w:p>
    <w:p>
      <w:pPr>
        <w:spacing w:after="0"/>
      </w:pPr>
    </w:p>
    <w:p>
      <w:pPr>
        <w:spacing w:before="160" w:after="40"/>
      </w:pPr>
      <w:r>
        <w:rPr>
          <w:rFonts w:ascii="Arial" w:hAnsi="Arial" w:cs="Arial"/>
          <w:b/>
          <w:i w:val="0"/>
          <w:color w:val="2C3E50"/>
          <w:sz w:val="28"/>
        </w:rPr>
        <w:t>8.  Integrations Store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rHeight w:val="20" w:hRule="exact"/>
        </w:trPr>
        <w:tc>
          <w:tcPr>
            <w:tcW w:type="dxa" w:w="9360"/>
            <w:shd w:val="clear" w:color="auto" w:fill="2C3E50"/>
          </w:tcPr>
          <w:p>
            <w:pPr>
              <w:spacing w:before="0" w:after="0"/>
            </w:pPr>
            <w:r/>
          </w:p>
        </w:tc>
      </w:tr>
    </w:tbl>
    <w:p>
      <w:pPr>
        <w:spacing w:after="80"/>
      </w:pPr>
    </w:p>
    <w:p>
      <w:pPr>
        <w:spacing w:after="160" w:line="300" w:lineRule="auto"/>
        <w:jc w:val="left"/>
      </w:pPr>
      <w:r>
        <w:rPr>
          <w:rFonts w:ascii="Arial" w:hAnsi="Arial" w:cs="Arial"/>
          <w:b w:val="0"/>
          <w:i w:val="0"/>
          <w:color w:val="2C3E50"/>
          <w:sz w:val="20"/>
        </w:rPr>
        <w:t>Integrations are the providers that actually send notifications — SMS gateways, email services, WhatsApp APIs, push services. The dashboard's Integrations Store lists what's configured and lets you add more.</w:t>
      </w:r>
    </w:p>
    <w:p>
      <w:pPr>
        <w:spacing w:before="80" w:after="40"/>
      </w:pPr>
      <w:r>
        <w:rPr>
          <w:rFonts w:ascii="Arial" w:hAnsi="Arial" w:cs="Arial"/>
          <w:b/>
          <w:i w:val="0"/>
          <w:color w:val="1B3A5C"/>
          <w:sz w:val="24"/>
        </w:rPr>
        <w:t>8.1  Currently configured integrations (sandbox 3.15)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015"/>
        <w:gridCol w:w="1584"/>
        <w:gridCol w:w="1872"/>
        <w:gridCol w:w="3888"/>
      </w:tblGrid>
      <w:tr>
        <w:tc>
          <w:tcPr>
            <w:tcW w:type="dxa" w:w="2015"/>
            <w:shd w:val="clear" w:color="auto" w:fill="FFFFFF"/>
            <w:tcBorders>
              <w:top w:val="single" w:sz="8" w:color="2C3E50"/>
              <w:left w:val="single" w:sz="8" w:color="2C3E50"/>
              <w:bottom w:val="single" w:sz="8" w:color="2C3E50"/>
              <w:right w:val="single" w:sz="8" w:color="2C3E5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/>
                <w:i w:val="0"/>
                <w:color w:val="2C3E50"/>
                <w:sz w:val="17"/>
              </w:rPr>
              <w:t>Provider</w:t>
            </w:r>
          </w:p>
        </w:tc>
        <w:tc>
          <w:tcPr>
            <w:tcW w:type="dxa" w:w="1584"/>
            <w:shd w:val="clear" w:color="auto" w:fill="FFFFFF"/>
            <w:tcBorders>
              <w:top w:val="single" w:sz="8" w:color="2C3E50"/>
              <w:left w:val="single" w:sz="8" w:color="2C3E50"/>
              <w:bottom w:val="single" w:sz="8" w:color="2C3E50"/>
              <w:right w:val="single" w:sz="8" w:color="2C3E5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/>
                <w:i w:val="0"/>
                <w:color w:val="2C3E50"/>
                <w:sz w:val="17"/>
              </w:rPr>
              <w:t>Channel</w:t>
            </w:r>
          </w:p>
        </w:tc>
        <w:tc>
          <w:tcPr>
            <w:tcW w:type="dxa" w:w="1872"/>
            <w:shd w:val="clear" w:color="auto" w:fill="FFFFFF"/>
            <w:tcBorders>
              <w:top w:val="single" w:sz="8" w:color="2C3E50"/>
              <w:left w:val="single" w:sz="8" w:color="2C3E50"/>
              <w:bottom w:val="single" w:sz="8" w:color="2C3E50"/>
              <w:right w:val="single" w:sz="8" w:color="2C3E5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/>
                <w:i w:val="0"/>
                <w:color w:val="2C3E50"/>
                <w:sz w:val="17"/>
              </w:rPr>
              <w:t>Status</w:t>
            </w:r>
          </w:p>
        </w:tc>
        <w:tc>
          <w:tcPr>
            <w:tcW w:type="dxa" w:w="3888"/>
            <w:shd w:val="clear" w:color="auto" w:fill="FFFFFF"/>
            <w:tcBorders>
              <w:top w:val="single" w:sz="8" w:color="2C3E50"/>
              <w:left w:val="single" w:sz="8" w:color="2C3E50"/>
              <w:bottom w:val="single" w:sz="8" w:color="2C3E50"/>
              <w:right w:val="single" w:sz="8" w:color="2C3E5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/>
                <w:i w:val="0"/>
                <w:color w:val="2C3E50"/>
                <w:sz w:val="17"/>
              </w:rPr>
              <w:t>Notes</w:t>
            </w:r>
          </w:p>
        </w:tc>
      </w:tr>
      <w:tr>
        <w:tc>
          <w:tcPr>
            <w:tcW w:type="dxa" w:w="2015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Novu Inbox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in_app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● Active</w:t>
            </w:r>
          </w:p>
        </w:tc>
        <w:tc>
          <w:tcPr>
            <w:tcW w:type="dxa" w:w="3888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Default — auto-configured on every Novu install</w:t>
            </w:r>
          </w:p>
        </w:tc>
      </w:tr>
      <w:tr>
        <w:tc>
          <w:tcPr>
            <w:tcW w:type="dxa" w:w="201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WhatsApp Business</w:t>
            </w:r>
          </w:p>
        </w:tc>
        <w:tc>
          <w:tcPr>
            <w:tcW w:type="dxa" w:w="158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chat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● Active</w:t>
            </w:r>
          </w:p>
        </w:tc>
        <w:tc>
          <w:tcPr>
            <w:tcW w:type="dxa" w:w="388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Meta Cloud API direct (parallel to ICPaaS Bridge path)</w:t>
            </w:r>
          </w:p>
        </w:tc>
      </w:tr>
      <w:tr>
        <w:tc>
          <w:tcPr>
            <w:tcW w:type="dxa" w:w="2015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MSG91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sms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(not in catalog)</w:t>
            </w:r>
          </w:p>
        </w:tc>
        <w:tc>
          <w:tcPr>
            <w:tcW w:type="dxa" w:w="3888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Goes through Bridge dispatch — see §3 architecture</w:t>
            </w:r>
          </w:p>
        </w:tc>
      </w:tr>
      <w:tr>
        <w:tc>
          <w:tcPr>
            <w:tcW w:type="dxa" w:w="201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ICPaaS</w:t>
            </w:r>
          </w:p>
        </w:tc>
        <w:tc>
          <w:tcPr>
            <w:tcW w:type="dxa" w:w="158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whatsapp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(not in catalog)</w:t>
            </w:r>
          </w:p>
        </w:tc>
        <w:tc>
          <w:tcPr>
            <w:tcW w:type="dxa" w:w="388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Goes through Bridge dispatch — see §3 architecture</w:t>
            </w:r>
          </w:p>
        </w:tc>
      </w:tr>
      <w:tr>
        <w:tc>
          <w:tcPr>
            <w:tcW w:type="dxa" w:w="2015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AWS SES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email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(deferred)</w:t>
            </w:r>
          </w:p>
        </w:tc>
        <w:tc>
          <w:tcPr>
            <w:tcW w:type="dxa" w:w="3888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Not yet configured — emails currently skip</w:t>
            </w:r>
          </w:p>
        </w:tc>
      </w:tr>
      <w:tr>
        <w:tc>
          <w:tcPr>
            <w:tcW w:type="dxa" w:w="2015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FCM / APNs</w:t>
            </w:r>
          </w:p>
        </w:tc>
        <w:tc>
          <w:tcPr>
            <w:tcW w:type="dxa" w:w="158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push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(not yet)</w:t>
            </w:r>
          </w:p>
        </w:tc>
        <w:tc>
          <w:tcPr>
            <w:tcW w:type="dxa" w:w="388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Push channel not in scope for current phase</w:t>
            </w:r>
          </w:p>
        </w:tc>
      </w:tr>
    </w:tbl>
    <w:p>
      <w:pPr>
        <w:spacing w:after="80" w:line="300" w:lineRule="auto"/>
        <w:jc w:val="left"/>
      </w:pP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8E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Arial" w:hAnsi="Arial" w:cs="Arial"/>
                <w:b/>
                <w:i w:val="0"/>
                <w:color w:val="E67E22"/>
                <w:sz w:val="20"/>
              </w:rPr>
              <w:t>Don't try to add MSG91 from the dashboard</w:t>
            </w:r>
          </w:p>
          <w:p>
            <w:r>
              <w:rPr>
                <w:rFonts w:ascii="Arial" w:hAnsi="Arial" w:cs="Arial"/>
                <w:b w:val="0"/>
                <w:i w:val="0"/>
                <w:color w:val="2C3E50"/>
                <w:sz w:val="19"/>
              </w:rPr>
              <w:t>MSG91 is not in Novu's catalog (any version). Attempting to add it via 'Add a Provider' won't show MSG91 as an option. Our SMS dispatch path is engineered through Bridge specifically because of this. If MSG91 needs reconfiguration, that's an engineering task — see novu-ce-providers-config skill.</w:t>
            </w:r>
          </w:p>
        </w:tc>
      </w:tr>
    </w:tbl>
    <w:p>
      <w:pPr>
        <w:spacing w:after="40" w:line="300" w:lineRule="auto"/>
        <w:jc w:val="left"/>
      </w:pPr>
    </w:p>
    <w:p>
      <w:pPr>
        <w:spacing w:before="80" w:after="40"/>
      </w:pPr>
      <w:r>
        <w:rPr>
          <w:rFonts w:ascii="Arial" w:hAnsi="Arial" w:cs="Arial"/>
          <w:b/>
          <w:i w:val="0"/>
          <w:color w:val="1B3A5C"/>
          <w:sz w:val="24"/>
        </w:rPr>
        <w:t>8.2  Add a new catalog integration (e.g. SES email later)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Integrations Store → 'Add a Provider'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Filter by channel (SMS / Email / Push / etc.)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Pick from list — Novu CE 3.15 ships 38 SMS, 10+ email, 5 push providers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Fill credential fields per the provider's documentation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Save → toggle 'Active' to enable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Test from the integration's 'Test' button before relying on it for production</w:t>
      </w:r>
    </w:p>
    <w:p>
      <w:pPr>
        <w:spacing w:after="0"/>
      </w:pPr>
    </w:p>
    <w:p>
      <w:pPr>
        <w:spacing w:before="160" w:after="40"/>
      </w:pPr>
      <w:r>
        <w:rPr>
          <w:rFonts w:ascii="Arial" w:hAnsi="Arial" w:cs="Arial"/>
          <w:b/>
          <w:i w:val="0"/>
          <w:color w:val="2C3E50"/>
          <w:sz w:val="28"/>
        </w:rPr>
        <w:t>9.  Activity Feed — Post-Trigger Inspection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rHeight w:val="20" w:hRule="exact"/>
        </w:trPr>
        <w:tc>
          <w:tcPr>
            <w:tcW w:type="dxa" w:w="9360"/>
            <w:shd w:val="clear" w:color="auto" w:fill="2C3E50"/>
          </w:tcPr>
          <w:p>
            <w:pPr>
              <w:spacing w:before="0" w:after="0"/>
            </w:pPr>
            <w:r/>
          </w:p>
        </w:tc>
      </w:tr>
    </w:tbl>
    <w:p>
      <w:pPr>
        <w:spacing w:after="80"/>
      </w:pPr>
    </w:p>
    <w:p>
      <w:pPr>
        <w:spacing w:after="160" w:line="300" w:lineRule="auto"/>
        <w:jc w:val="left"/>
      </w:pPr>
      <w:r>
        <w:rPr>
          <w:rFonts w:ascii="Arial" w:hAnsi="Arial" w:cs="Arial"/>
          <w:b w:val="0"/>
          <w:i w:val="0"/>
          <w:color w:val="2C3E50"/>
          <w:sz w:val="20"/>
        </w:rPr>
        <w:t>Activity Feed is your audit + debug surface. Every trigger ever fired produces an entry with full execution trace — which steps ran, what each one returned, what was sent.</w:t>
      </w:r>
    </w:p>
    <w:p>
      <w:pPr>
        <w:spacing w:before="80" w:after="40"/>
      </w:pPr>
      <w:r>
        <w:rPr>
          <w:rFonts w:ascii="Arial" w:hAnsi="Arial" w:cs="Arial"/>
          <w:b/>
          <w:i w:val="0"/>
          <w:color w:val="1B3A5C"/>
          <w:sz w:val="24"/>
        </w:rPr>
        <w:t>9.1  Find a specific trigger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Activity Feed tab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Search bar: paste a transactionId (e.g. 'txn_69f458d8shgs5i2ntcjh')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Or filter: by workflow name, subscriber, status, date range</w:t>
      </w:r>
    </w:p>
    <w:p>
      <w:pPr>
        <w:spacing w:before="80" w:after="40"/>
      </w:pPr>
      <w:r>
        <w:rPr>
          <w:rFonts w:ascii="Arial" w:hAnsi="Arial" w:cs="Arial"/>
          <w:b/>
          <w:i w:val="0"/>
          <w:color w:val="1B3A5C"/>
          <w:sz w:val="24"/>
        </w:rPr>
        <w:t>9.2  Read an activity entry</w:t>
      </w:r>
    </w:p>
    <w:p>
      <w:pPr>
        <w:spacing w:after="80" w:line="300" w:lineRule="auto"/>
        <w:jc w:val="left"/>
      </w:pPr>
      <w:r>
        <w:rPr>
          <w:rFonts w:ascii="Arial" w:hAnsi="Arial" w:cs="Arial"/>
          <w:b w:val="0"/>
          <w:i w:val="0"/>
          <w:color w:val="2C3E50"/>
          <w:sz w:val="20"/>
        </w:rPr>
        <w:t>Each entry shows: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FFFFF"/>
            <w:tcBorders>
              <w:top w:val="single" w:sz="8" w:color="2C3E50"/>
              <w:left w:val="single" w:sz="8" w:color="2C3E50"/>
              <w:bottom w:val="single" w:sz="8" w:color="2C3E50"/>
              <w:right w:val="single" w:sz="8" w:color="2C3E5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/>
                <w:i w:val="0"/>
                <w:color w:val="2C3E50"/>
                <w:sz w:val="18"/>
              </w:rPr>
              <w:t>Field</w:t>
            </w:r>
          </w:p>
        </w:tc>
        <w:tc>
          <w:tcPr>
            <w:tcW w:type="dxa" w:w="7200"/>
            <w:shd w:val="clear" w:color="auto" w:fill="FFFFFF"/>
            <w:tcBorders>
              <w:top w:val="single" w:sz="8" w:color="2C3E50"/>
              <w:left w:val="single" w:sz="8" w:color="2C3E50"/>
              <w:bottom w:val="single" w:sz="8" w:color="2C3E50"/>
              <w:right w:val="single" w:sz="8" w:color="2C3E5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/>
                <w:i w:val="0"/>
                <w:color w:val="2C3E50"/>
                <w:sz w:val="18"/>
              </w:rPr>
              <w:t>Meaning</w:t>
            </w:r>
          </w:p>
        </w:tc>
      </w:tr>
      <w:tr>
        <w:tc>
          <w:tcPr>
            <w:tcW w:type="dxa" w:w="2160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transactionId</w:t>
            </w:r>
          </w:p>
        </w:tc>
        <w:tc>
          <w:tcPr>
            <w:tcW w:type="dxa" w:w="7200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Unique trigger ID (txn_&lt;base32&gt;)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Workflow</w:t>
            </w:r>
          </w:p>
        </w:tc>
        <w:tc>
          <w:tcPr>
            <w:tcW w:type="dxa" w:w="720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Which workflow was fired</w:t>
            </w:r>
          </w:p>
        </w:tc>
      </w:tr>
      <w:tr>
        <w:tc>
          <w:tcPr>
            <w:tcW w:type="dxa" w:w="2160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Subscriber</w:t>
            </w:r>
          </w:p>
        </w:tc>
        <w:tc>
          <w:tcPr>
            <w:tcW w:type="dxa" w:w="7200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Recipient subscriberId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Triggered at</w:t>
            </w:r>
          </w:p>
        </w:tc>
        <w:tc>
          <w:tcPr>
            <w:tcW w:type="dxa" w:w="720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Timestamp of /v1/events/trigger call</w:t>
            </w:r>
          </w:p>
        </w:tc>
      </w:tr>
      <w:tr>
        <w:tc>
          <w:tcPr>
            <w:tcW w:type="dxa" w:w="2160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Status</w:t>
            </w:r>
          </w:p>
        </w:tc>
        <w:tc>
          <w:tcPr>
            <w:tcW w:type="dxa" w:w="7200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queued / running / completed / errored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Steps</w:t>
            </w:r>
          </w:p>
        </w:tc>
        <w:tc>
          <w:tcPr>
            <w:tcW w:type="dxa" w:w="720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Per-step status (in_app: sent, sms: sent, etc.)</w:t>
            </w:r>
          </w:p>
        </w:tc>
      </w:tr>
      <w:tr>
        <w:tc>
          <w:tcPr>
            <w:tcW w:type="dxa" w:w="2160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Payload</w:t>
            </w:r>
          </w:p>
        </w:tc>
        <w:tc>
          <w:tcPr>
            <w:tcW w:type="dxa" w:w="7200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What was sent in the trigger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Error</w:t>
            </w:r>
          </w:p>
        </w:tc>
        <w:tc>
          <w:tcPr>
            <w:tcW w:type="dxa" w:w="720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If errored, the failure detail</w:t>
            </w:r>
          </w:p>
        </w:tc>
      </w:tr>
    </w:tbl>
    <w:p>
      <w:pPr>
        <w:spacing w:after="80" w:line="300" w:lineRule="auto"/>
        <w:jc w:val="left"/>
      </w:pPr>
    </w:p>
    <w:p>
      <w:pPr>
        <w:spacing w:before="80" w:after="40"/>
      </w:pPr>
      <w:r>
        <w:rPr>
          <w:rFonts w:ascii="Arial" w:hAnsi="Arial" w:cs="Arial"/>
          <w:b/>
          <w:i w:val="0"/>
          <w:color w:val="1B3A5C"/>
          <w:sz w:val="24"/>
        </w:rPr>
        <w:t>9.3  Channel-step status meanings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4320"/>
        <w:gridCol w:w="5040"/>
      </w:tblGrid>
      <w:tr>
        <w:tc>
          <w:tcPr>
            <w:tcW w:type="dxa" w:w="4320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Arial" w:hAnsi="Arial" w:cs="Arial"/>
                <w:b/>
                <w:i w:val="0"/>
                <w:color w:val="2C3E50"/>
                <w:sz w:val="18"/>
              </w:rPr>
            </w:r>
            <w:r>
              <w:t>Pending</w:t>
            </w:r>
          </w:p>
        </w:tc>
        <w:tc>
          <w:tcPr>
            <w:tcW w:type="dxa" w:w="5040"/>
            <w:shd w:val="clear" w:color="auto" w:fill="F0F4F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Arial" w:hAnsi="Arial" w:cs="Arial"/>
                <w:b/>
                <w:i w:val="0"/>
                <w:color w:val="1B3A5C"/>
                <w:sz w:val="18"/>
              </w:rPr>
              <w:t>●  Step queued, not yet picked up by worker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Arial" w:hAnsi="Arial" w:cs="Arial"/>
                <w:b/>
                <w:i w:val="0"/>
                <w:color w:val="2C3E50"/>
                <w:sz w:val="18"/>
              </w:rPr>
            </w:r>
            <w:r>
              <w:t>Running</w:t>
            </w:r>
          </w:p>
        </w:tc>
        <w:tc>
          <w:tcPr>
            <w:tcW w:type="dxa" w:w="5040"/>
            <w:shd w:val="clear" w:color="auto" w:fill="F0F4F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Arial" w:hAnsi="Arial" w:cs="Arial"/>
                <w:b/>
                <w:i w:val="0"/>
                <w:color w:val="2E75B6"/>
                <w:sz w:val="18"/>
              </w:rPr>
              <w:t>●  Step is executing (rare to see; usually transient)</w:t>
            </w:r>
          </w:p>
        </w:tc>
      </w:tr>
      <w:tr>
        <w:tc>
          <w:tcPr>
            <w:tcW w:type="dxa" w:w="4320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Arial" w:hAnsi="Arial" w:cs="Arial"/>
                <w:b/>
                <w:i w:val="0"/>
                <w:color w:val="2C3E50"/>
                <w:sz w:val="18"/>
              </w:rPr>
            </w:r>
            <w:r>
              <w:t>Completed</w:t>
            </w:r>
          </w:p>
        </w:tc>
        <w:tc>
          <w:tcPr>
            <w:tcW w:type="dxa" w:w="5040"/>
            <w:shd w:val="clear" w:color="auto" w:fill="E8F5E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Arial" w:hAnsi="Arial" w:cs="Arial"/>
                <w:b/>
                <w:i w:val="0"/>
                <w:color w:val="27AE60"/>
                <w:sz w:val="18"/>
              </w:rPr>
              <w:t>●  Step finished without error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Arial" w:hAnsi="Arial" w:cs="Arial"/>
                <w:b/>
                <w:i w:val="0"/>
                <w:color w:val="2C3E50"/>
                <w:sz w:val="18"/>
              </w:rPr>
            </w:r>
            <w:r>
              <w:t>Skipped</w:t>
            </w:r>
          </w:p>
        </w:tc>
        <w:tc>
          <w:tcPr>
            <w:tcW w:type="dxa" w:w="5040"/>
            <w:shd w:val="clear" w:color="auto" w:fill="FFF8E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Arial" w:hAnsi="Arial" w:cs="Arial"/>
                <w:b/>
                <w:i w:val="0"/>
                <w:color w:val="E67E22"/>
                <w:sz w:val="18"/>
              </w:rPr>
              <w:t>●  Step intentionally bypassed (channel allowlist, missing data)</w:t>
            </w:r>
          </w:p>
        </w:tc>
      </w:tr>
      <w:tr>
        <w:tc>
          <w:tcPr>
            <w:tcW w:type="dxa" w:w="4320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Arial" w:hAnsi="Arial" w:cs="Arial"/>
                <w:b/>
                <w:i w:val="0"/>
                <w:color w:val="2C3E50"/>
                <w:sz w:val="18"/>
              </w:rPr>
            </w:r>
            <w:r>
              <w:t>Failed</w:t>
            </w:r>
          </w:p>
        </w:tc>
        <w:tc>
          <w:tcPr>
            <w:tcW w:type="dxa" w:w="5040"/>
            <w:shd w:val="clear" w:color="auto" w:fill="FFEBEE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Arial" w:hAnsi="Arial" w:cs="Arial"/>
                <w:b/>
                <w:i w:val="0"/>
                <w:color w:val="E74C3C"/>
                <w:sz w:val="18"/>
              </w:rPr>
              <w:t>●  Step errored — Bridge returned 4xx/5xx, provider rejected, etc.</w:t>
            </w:r>
          </w:p>
        </w:tc>
      </w:tr>
    </w:tbl>
    <w:p>
      <w:pPr>
        <w:spacing w:after="80" w:line="300" w:lineRule="auto"/>
        <w:jc w:val="left"/>
      </w:pPr>
    </w:p>
    <w:p>
      <w:pPr>
        <w:spacing w:before="80" w:after="40"/>
      </w:pPr>
      <w:r>
        <w:rPr>
          <w:rFonts w:ascii="Arial" w:hAnsi="Arial" w:cs="Arial"/>
          <w:b/>
          <w:i w:val="0"/>
          <w:color w:val="1B3A5C"/>
          <w:sz w:val="24"/>
        </w:rPr>
        <w:t>9.4  Trigger says 'Completed' but customer didn't receive — what now?</w:t>
      </w:r>
    </w:p>
    <w:p>
      <w:pPr>
        <w:spacing w:after="80" w:line="300" w:lineRule="auto"/>
        <w:jc w:val="left"/>
      </w:pPr>
      <w:r>
        <w:rPr>
          <w:rFonts w:ascii="Arial" w:hAnsi="Arial" w:cs="Arial"/>
          <w:b w:val="0"/>
          <w:i w:val="0"/>
          <w:color w:val="2C3E50"/>
          <w:sz w:val="20"/>
        </w:rPr>
        <w:t>The activity feed only shows what NOVU saw. If a step says 'Completed' but the customer didn't receive the message, the failure happened downstream of Novu (at the provider). You need the Bridge audit log: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5F7FA"/>
            <w:tcBorders>
              <w:top w:val="single" w:sz="4" w:color="DDE2E8"/>
              <w:left w:val="single" w:sz="4" w:color="DDE2E8"/>
              <w:bottom w:val="single" w:sz="4" w:color="DDE2E8"/>
              <w:right w:val="single" w:sz="4" w:color="DDE2E8"/>
            </w:tcBorders>
          </w:tcPr>
          <w:p>
            <w:pPr>
              <w:spacing w:after="0"/>
            </w:pPr>
            <w:r/>
            <w:r>
              <w:rPr>
                <w:rFonts w:ascii="Consolas" w:hAnsi="Consolas" w:cs="Consolas"/>
                <w:b w:val="0"/>
                <w:i w:val="0"/>
                <w:color w:val="2C3E50"/>
                <w:sz w:val="17"/>
              </w:rPr>
              <w:t>ssh -i ~/.ssh/id_novu_vps -p 7576 root@103.138.96.180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2C3E50"/>
                <w:sz w:val="17"/>
              </w:rPr>
              <w:t>docker logs next-bridge --since 10m | grep &lt;transactionId&gt;</w:t>
            </w:r>
          </w:p>
        </w:tc>
      </w:tr>
    </w:tbl>
    <w:p>
      <w:pPr>
        <w:spacing w:after="40" w:line="300" w:lineRule="auto"/>
        <w:jc w:val="left"/>
      </w:pPr>
    </w:p>
    <w:p>
      <w:pPr>
        <w:spacing w:after="80" w:line="300" w:lineRule="auto"/>
        <w:jc w:val="left"/>
      </w:pPr>
      <w:r>
        <w:rPr>
          <w:rFonts w:ascii="Arial" w:hAnsi="Arial" w:cs="Arial"/>
          <w:b w:val="0"/>
          <w:i w:val="0"/>
          <w:color w:val="2C3E50"/>
          <w:sz w:val="20"/>
        </w:rPr>
        <w:t>If you don't have SSH access, escalate to Engineering with the transactionId. They'll pull the audit log and tell you whether MSG91 / ICPaaS / SES rejected the send.</w:t>
      </w:r>
    </w:p>
    <w:p>
      <w:pPr>
        <w:spacing w:after="0"/>
      </w:pPr>
    </w:p>
    <w:p>
      <w:pPr>
        <w:spacing w:before="160" w:after="40"/>
      </w:pPr>
      <w:r>
        <w:rPr>
          <w:rFonts w:ascii="Arial" w:hAnsi="Arial" w:cs="Arial"/>
          <w:b/>
          <w:i w:val="0"/>
          <w:color w:val="2C3E50"/>
          <w:sz w:val="28"/>
        </w:rPr>
        <w:t>10.  17 Charter Workflows — Payload Reference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rHeight w:val="20" w:hRule="exact"/>
        </w:trPr>
        <w:tc>
          <w:tcPr>
            <w:tcW w:type="dxa" w:w="9360"/>
            <w:shd w:val="clear" w:color="auto" w:fill="2C3E50"/>
          </w:tcPr>
          <w:p>
            <w:pPr>
              <w:spacing w:before="0" w:after="0"/>
            </w:pPr>
            <w:r/>
          </w:p>
        </w:tc>
      </w:tr>
    </w:tbl>
    <w:p>
      <w:pPr>
        <w:spacing w:after="80"/>
      </w:pPr>
    </w:p>
    <w:p>
      <w:pPr>
        <w:spacing w:after="160" w:line="300" w:lineRule="auto"/>
        <w:jc w:val="left"/>
      </w:pPr>
      <w:r>
        <w:rPr>
          <w:rFonts w:ascii="Arial" w:hAnsi="Arial" w:cs="Arial"/>
          <w:b w:val="0"/>
          <w:i w:val="0"/>
          <w:color w:val="2C3E50"/>
          <w:sz w:val="20"/>
        </w:rPr>
        <w:t>Each workflow has a payload schema enforced at Bridge. Below is the per-workflow reference of required and optional fields, plus a sample payload you can paste into the trigger form.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4F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Arial" w:hAnsi="Arial" w:cs="Arial"/>
                <w:b/>
                <w:i w:val="0"/>
                <w:color w:val="1B3A5C"/>
                <w:sz w:val="20"/>
              </w:rPr>
              <w:t>All workflows share the tpeBasePayload optional fields</w:t>
            </w:r>
          </w:p>
          <w:p>
            <w:r>
              <w:rPr>
                <w:rFonts w:ascii="Arial" w:hAnsi="Arial" w:cs="Arial"/>
                <w:b w:val="0"/>
                <w:i w:val="0"/>
                <w:color w:val="2C3E50"/>
                <w:sz w:val="19"/>
              </w:rPr>
              <w:t>Every workflow accepts (optional): insurerId, triggerInstanceId (UUID), forceLocale ('en'|'hi'). These don't need to be in the per-workflow tables below — they always work.</w:t>
            </w:r>
          </w:p>
        </w:tc>
      </w:tr>
    </w:tbl>
    <w:p>
      <w:pPr>
        <w:spacing w:after="40" w:line="300" w:lineRule="auto"/>
        <w:jc w:val="left"/>
      </w:pPr>
    </w:p>
    <w:p>
      <w:pPr>
        <w:spacing w:after="80" w:line="300" w:lineRule="auto"/>
        <w:jc w:val="left"/>
      </w:pPr>
    </w:p>
    <w:p>
      <w:pPr>
        <w:spacing w:after="40" w:line="300" w:lineRule="auto"/>
        <w:jc w:val="left"/>
      </w:pPr>
      <w:r>
        <w:rPr>
          <w:rFonts w:ascii="Arial" w:hAnsi="Arial" w:cs="Arial"/>
          <w:b/>
          <w:i/>
          <w:color w:val="2E75B6"/>
          <w:sz w:val="22"/>
        </w:rPr>
        <w:t xml:space="preserve">  ph-02-registration</w:t>
      </w:r>
    </w:p>
    <w:p>
      <w:pPr>
        <w:spacing w:after="80" w:line="300" w:lineRule="auto"/>
        <w:jc w:val="left"/>
      </w:pPr>
      <w:r>
        <w:rPr>
          <w:rFonts w:ascii="Arial" w:hAnsi="Arial" w:cs="Arial"/>
          <w:b w:val="0"/>
          <w:i/>
          <w:color w:val="7F8C8D"/>
          <w:sz w:val="19"/>
        </w:rPr>
        <w:t>Policyholder OTP (registration)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592"/>
        <w:gridCol w:w="3600"/>
        <w:gridCol w:w="3168"/>
      </w:tblGrid>
      <w:tr>
        <w:tc>
          <w:tcPr>
            <w:tcW w:type="dxa" w:w="2592"/>
            <w:shd w:val="clear" w:color="auto" w:fill="FFFFFF"/>
            <w:tcBorders>
              <w:top w:val="single" w:sz="8" w:color="2C3E50"/>
              <w:left w:val="single" w:sz="8" w:color="2C3E50"/>
              <w:bottom w:val="single" w:sz="8" w:color="2C3E50"/>
              <w:right w:val="single" w:sz="8" w:color="2C3E5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/>
                <w:i w:val="0"/>
                <w:color w:val="2C3E50"/>
                <w:sz w:val="17"/>
              </w:rPr>
              <w:t>Field</w:t>
            </w:r>
          </w:p>
        </w:tc>
        <w:tc>
          <w:tcPr>
            <w:tcW w:type="dxa" w:w="3600"/>
            <w:shd w:val="clear" w:color="auto" w:fill="FFFFFF"/>
            <w:tcBorders>
              <w:top w:val="single" w:sz="8" w:color="2C3E50"/>
              <w:left w:val="single" w:sz="8" w:color="2C3E50"/>
              <w:bottom w:val="single" w:sz="8" w:color="2C3E50"/>
              <w:right w:val="single" w:sz="8" w:color="2C3E5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/>
                <w:i w:val="0"/>
                <w:color w:val="2C3E50"/>
                <w:sz w:val="17"/>
              </w:rPr>
              <w:t>Type</w:t>
            </w:r>
          </w:p>
        </w:tc>
        <w:tc>
          <w:tcPr>
            <w:tcW w:type="dxa" w:w="3168"/>
            <w:shd w:val="clear" w:color="auto" w:fill="FFFFFF"/>
            <w:tcBorders>
              <w:top w:val="single" w:sz="8" w:color="2C3E50"/>
              <w:left w:val="single" w:sz="8" w:color="2C3E50"/>
              <w:bottom w:val="single" w:sz="8" w:color="2C3E50"/>
              <w:right w:val="single" w:sz="8" w:color="2C3E5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/>
                <w:i w:val="0"/>
                <w:color w:val="2C3E50"/>
                <w:sz w:val="17"/>
              </w:rPr>
              <w:t>Required?</w:t>
            </w:r>
          </w:p>
        </w:tc>
      </w:tr>
      <w:tr>
        <w:tc>
          <w:tcPr>
            <w:tcW w:type="dxa" w:w="2592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otp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string, length 6</w:t>
            </w:r>
          </w:p>
        </w:tc>
        <w:tc>
          <w:tcPr>
            <w:tcW w:type="dxa" w:w="3168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Required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ph_id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string</w:t>
            </w:r>
          </w:p>
        </w:tc>
        <w:tc>
          <w:tcPr>
            <w:tcW w:type="dxa" w:w="31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Optional</w:t>
            </w:r>
          </w:p>
        </w:tc>
      </w:tr>
      <w:tr>
        <w:tc>
          <w:tcPr>
            <w:tcW w:type="dxa" w:w="2592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testMode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boolean</w:t>
            </w:r>
          </w:p>
        </w:tc>
        <w:tc>
          <w:tcPr>
            <w:tcW w:type="dxa" w:w="3168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Optional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abandonedAfterMinutes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number</w:t>
            </w:r>
          </w:p>
        </w:tc>
        <w:tc>
          <w:tcPr>
            <w:tcW w:type="dxa" w:w="31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Optional</w:t>
            </w:r>
          </w:p>
        </w:tc>
      </w:tr>
    </w:tbl>
    <w:p>
      <w:pPr>
        <w:spacing w:after="40" w:line="300" w:lineRule="auto"/>
        <w:jc w:val="left"/>
      </w:pPr>
      <w:r>
        <w:rPr>
          <w:rFonts w:ascii="Arial" w:hAnsi="Arial" w:cs="Arial"/>
          <w:b/>
          <w:i w:val="0"/>
          <w:color w:val="1B3A5C"/>
          <w:sz w:val="18"/>
        </w:rPr>
        <w:t>Sample payload: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5F7FA"/>
            <w:tcBorders>
              <w:top w:val="single" w:sz="4" w:color="DDE2E8"/>
              <w:left w:val="single" w:sz="4" w:color="DDE2E8"/>
              <w:bottom w:val="single" w:sz="4" w:color="DDE2E8"/>
              <w:right w:val="single" w:sz="4" w:color="DDE2E8"/>
            </w:tcBorders>
          </w:tcPr>
          <w:p>
            <w:pPr>
              <w:spacing w:after="0"/>
            </w:pPr>
            <w:r/>
            <w:r>
              <w:rPr>
                <w:rFonts w:ascii="Consolas" w:hAnsi="Consolas" w:cs="Consolas"/>
                <w:b w:val="0"/>
                <w:i w:val="0"/>
                <w:color w:val="2C3E50"/>
                <w:sz w:val="17"/>
              </w:rPr>
              <w:t>{"otp":"482910","ph_id":"PH-001","testMode":true}</w:t>
            </w:r>
          </w:p>
        </w:tc>
      </w:tr>
    </w:tbl>
    <w:p>
      <w:pPr>
        <w:spacing w:after="40" w:line="300" w:lineRule="auto"/>
        <w:jc w:val="left"/>
      </w:pPr>
    </w:p>
    <w:p>
      <w:pPr>
        <w:spacing w:after="40" w:line="300" w:lineRule="auto"/>
        <w:jc w:val="left"/>
      </w:pPr>
    </w:p>
    <w:p>
      <w:pPr>
        <w:spacing w:after="40" w:line="300" w:lineRule="auto"/>
        <w:jc w:val="left"/>
      </w:pPr>
      <w:r>
        <w:rPr>
          <w:rFonts w:ascii="Arial" w:hAnsi="Arial" w:cs="Arial"/>
          <w:b/>
          <w:i/>
          <w:color w:val="2E75B6"/>
          <w:sz w:val="22"/>
        </w:rPr>
        <w:t xml:space="preserve">  ph-08-assignment-paperwork</w:t>
      </w:r>
    </w:p>
    <w:p>
      <w:pPr>
        <w:spacing w:after="80" w:line="300" w:lineRule="auto"/>
        <w:jc w:val="left"/>
      </w:pPr>
      <w:r>
        <w:rPr>
          <w:rFonts w:ascii="Arial" w:hAnsi="Arial" w:cs="Arial"/>
          <w:b w:val="0"/>
          <w:i/>
          <w:color w:val="7F8C8D"/>
          <w:sz w:val="19"/>
        </w:rPr>
        <w:t>E-Sign nudge for policy assignment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592"/>
        <w:gridCol w:w="3600"/>
        <w:gridCol w:w="3168"/>
      </w:tblGrid>
      <w:tr>
        <w:tc>
          <w:tcPr>
            <w:tcW w:type="dxa" w:w="2592"/>
            <w:shd w:val="clear" w:color="auto" w:fill="FFFFFF"/>
            <w:tcBorders>
              <w:top w:val="single" w:sz="8" w:color="2C3E50"/>
              <w:left w:val="single" w:sz="8" w:color="2C3E50"/>
              <w:bottom w:val="single" w:sz="8" w:color="2C3E50"/>
              <w:right w:val="single" w:sz="8" w:color="2C3E5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/>
                <w:i w:val="0"/>
                <w:color w:val="2C3E50"/>
                <w:sz w:val="17"/>
              </w:rPr>
              <w:t>Field</w:t>
            </w:r>
          </w:p>
        </w:tc>
        <w:tc>
          <w:tcPr>
            <w:tcW w:type="dxa" w:w="3600"/>
            <w:shd w:val="clear" w:color="auto" w:fill="FFFFFF"/>
            <w:tcBorders>
              <w:top w:val="single" w:sz="8" w:color="2C3E50"/>
              <w:left w:val="single" w:sz="8" w:color="2C3E50"/>
              <w:bottom w:val="single" w:sz="8" w:color="2C3E50"/>
              <w:right w:val="single" w:sz="8" w:color="2C3E5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/>
                <w:i w:val="0"/>
                <w:color w:val="2C3E50"/>
                <w:sz w:val="17"/>
              </w:rPr>
              <w:t>Type</w:t>
            </w:r>
          </w:p>
        </w:tc>
        <w:tc>
          <w:tcPr>
            <w:tcW w:type="dxa" w:w="3168"/>
            <w:shd w:val="clear" w:color="auto" w:fill="FFFFFF"/>
            <w:tcBorders>
              <w:top w:val="single" w:sz="8" w:color="2C3E50"/>
              <w:left w:val="single" w:sz="8" w:color="2C3E50"/>
              <w:bottom w:val="single" w:sz="8" w:color="2C3E50"/>
              <w:right w:val="single" w:sz="8" w:color="2C3E5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/>
                <w:i w:val="0"/>
                <w:color w:val="2C3E50"/>
                <w:sz w:val="17"/>
              </w:rPr>
              <w:t>Required?</w:t>
            </w:r>
          </w:p>
        </w:tc>
      </w:tr>
      <w:tr>
        <w:tc>
          <w:tcPr>
            <w:tcW w:type="dxa" w:w="2592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ph_id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string</w:t>
            </w:r>
          </w:p>
        </w:tc>
        <w:tc>
          <w:tcPr>
            <w:tcW w:type="dxa" w:w="3168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Required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documentUrl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string (URL)</w:t>
            </w:r>
          </w:p>
        </w:tc>
        <w:tc>
          <w:tcPr>
            <w:tcW w:type="dxa" w:w="31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Required</w:t>
            </w:r>
          </w:p>
        </w:tc>
      </w:tr>
      <w:tr>
        <w:tc>
          <w:tcPr>
            <w:tcW w:type="dxa" w:w="2592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expiresAt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ISO date string</w:t>
            </w:r>
          </w:p>
        </w:tc>
        <w:tc>
          <w:tcPr>
            <w:tcW w:type="dxa" w:w="3168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Optional</w:t>
            </w:r>
          </w:p>
        </w:tc>
      </w:tr>
    </w:tbl>
    <w:p>
      <w:pPr>
        <w:spacing w:after="40" w:line="300" w:lineRule="auto"/>
        <w:jc w:val="left"/>
      </w:pPr>
      <w:r>
        <w:rPr>
          <w:rFonts w:ascii="Arial" w:hAnsi="Arial" w:cs="Arial"/>
          <w:b/>
          <w:i w:val="0"/>
          <w:color w:val="1B3A5C"/>
          <w:sz w:val="18"/>
        </w:rPr>
        <w:t>Sample payload: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5F7FA"/>
            <w:tcBorders>
              <w:top w:val="single" w:sz="4" w:color="DDE2E8"/>
              <w:left w:val="single" w:sz="4" w:color="DDE2E8"/>
              <w:bottom w:val="single" w:sz="4" w:color="DDE2E8"/>
              <w:right w:val="single" w:sz="4" w:color="DDE2E8"/>
            </w:tcBorders>
          </w:tcPr>
          <w:p>
            <w:pPr>
              <w:spacing w:after="0"/>
            </w:pPr>
            <w:r/>
            <w:r>
              <w:rPr>
                <w:rFonts w:ascii="Consolas" w:hAnsi="Consolas" w:cs="Consolas"/>
                <w:b w:val="0"/>
                <w:i w:val="0"/>
                <w:color w:val="2C3E50"/>
                <w:sz w:val="17"/>
              </w:rPr>
              <w:t>{"ph_id":"PH-001","documentUrl":"https://docs.tpe/x.pdf"}</w:t>
            </w:r>
          </w:p>
        </w:tc>
      </w:tr>
    </w:tbl>
    <w:p>
      <w:pPr>
        <w:spacing w:after="40" w:line="300" w:lineRule="auto"/>
        <w:jc w:val="left"/>
      </w:pPr>
    </w:p>
    <w:p>
      <w:pPr>
        <w:spacing w:after="40" w:line="300" w:lineRule="auto"/>
        <w:jc w:val="left"/>
      </w:pPr>
    </w:p>
    <w:p>
      <w:pPr>
        <w:spacing w:after="40" w:line="300" w:lineRule="auto"/>
        <w:jc w:val="left"/>
      </w:pPr>
      <w:r>
        <w:rPr>
          <w:rFonts w:ascii="Arial" w:hAnsi="Arial" w:cs="Arial"/>
          <w:b/>
          <w:i/>
          <w:color w:val="2E75B6"/>
          <w:sz w:val="22"/>
        </w:rPr>
        <w:t xml:space="preserve">  ph-09-investor-matched</w:t>
      </w:r>
    </w:p>
    <w:p>
      <w:pPr>
        <w:spacing w:after="80" w:line="300" w:lineRule="auto"/>
        <w:jc w:val="left"/>
      </w:pPr>
      <w:r>
        <w:rPr>
          <w:rFonts w:ascii="Arial" w:hAnsi="Arial" w:cs="Arial"/>
          <w:b w:val="0"/>
          <w:i/>
          <w:color w:val="7F8C8D"/>
          <w:sz w:val="19"/>
        </w:rPr>
        <w:t>PH notified that an investor matched their policy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592"/>
        <w:gridCol w:w="3600"/>
        <w:gridCol w:w="3168"/>
      </w:tblGrid>
      <w:tr>
        <w:tc>
          <w:tcPr>
            <w:tcW w:type="dxa" w:w="2592"/>
            <w:shd w:val="clear" w:color="auto" w:fill="FFFFFF"/>
            <w:tcBorders>
              <w:top w:val="single" w:sz="8" w:color="2C3E50"/>
              <w:left w:val="single" w:sz="8" w:color="2C3E50"/>
              <w:bottom w:val="single" w:sz="8" w:color="2C3E50"/>
              <w:right w:val="single" w:sz="8" w:color="2C3E5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/>
                <w:i w:val="0"/>
                <w:color w:val="2C3E50"/>
                <w:sz w:val="17"/>
              </w:rPr>
              <w:t>Field</w:t>
            </w:r>
          </w:p>
        </w:tc>
        <w:tc>
          <w:tcPr>
            <w:tcW w:type="dxa" w:w="3600"/>
            <w:shd w:val="clear" w:color="auto" w:fill="FFFFFF"/>
            <w:tcBorders>
              <w:top w:val="single" w:sz="8" w:color="2C3E50"/>
              <w:left w:val="single" w:sz="8" w:color="2C3E50"/>
              <w:bottom w:val="single" w:sz="8" w:color="2C3E50"/>
              <w:right w:val="single" w:sz="8" w:color="2C3E5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/>
                <w:i w:val="0"/>
                <w:color w:val="2C3E50"/>
                <w:sz w:val="17"/>
              </w:rPr>
              <w:t>Type</w:t>
            </w:r>
          </w:p>
        </w:tc>
        <w:tc>
          <w:tcPr>
            <w:tcW w:type="dxa" w:w="3168"/>
            <w:shd w:val="clear" w:color="auto" w:fill="FFFFFF"/>
            <w:tcBorders>
              <w:top w:val="single" w:sz="8" w:color="2C3E50"/>
              <w:left w:val="single" w:sz="8" w:color="2C3E50"/>
              <w:bottom w:val="single" w:sz="8" w:color="2C3E50"/>
              <w:right w:val="single" w:sz="8" w:color="2C3E5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/>
                <w:i w:val="0"/>
                <w:color w:val="2C3E50"/>
                <w:sz w:val="17"/>
              </w:rPr>
              <w:t>Required?</w:t>
            </w:r>
          </w:p>
        </w:tc>
      </w:tr>
      <w:tr>
        <w:tc>
          <w:tcPr>
            <w:tcW w:type="dxa" w:w="2592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ph_id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string</w:t>
            </w:r>
          </w:p>
        </w:tc>
        <w:tc>
          <w:tcPr>
            <w:tcW w:type="dxa" w:w="3168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Required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investor_id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string</w:t>
            </w:r>
          </w:p>
        </w:tc>
        <w:tc>
          <w:tcPr>
            <w:tcW w:type="dxa" w:w="31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Required</w:t>
            </w:r>
          </w:p>
        </w:tc>
      </w:tr>
      <w:tr>
        <w:tc>
          <w:tcPr>
            <w:tcW w:type="dxa" w:w="2592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matchedAt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ISO date</w:t>
            </w:r>
          </w:p>
        </w:tc>
        <w:tc>
          <w:tcPr>
            <w:tcW w:type="dxa" w:w="3168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Optional</w:t>
            </w:r>
          </w:p>
        </w:tc>
      </w:tr>
    </w:tbl>
    <w:p>
      <w:pPr>
        <w:spacing w:after="40" w:line="300" w:lineRule="auto"/>
        <w:jc w:val="left"/>
      </w:pPr>
      <w:r>
        <w:rPr>
          <w:rFonts w:ascii="Arial" w:hAnsi="Arial" w:cs="Arial"/>
          <w:b/>
          <w:i w:val="0"/>
          <w:color w:val="1B3A5C"/>
          <w:sz w:val="18"/>
        </w:rPr>
        <w:t>Sample payload: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5F7FA"/>
            <w:tcBorders>
              <w:top w:val="single" w:sz="4" w:color="DDE2E8"/>
              <w:left w:val="single" w:sz="4" w:color="DDE2E8"/>
              <w:bottom w:val="single" w:sz="4" w:color="DDE2E8"/>
              <w:right w:val="single" w:sz="4" w:color="DDE2E8"/>
            </w:tcBorders>
          </w:tcPr>
          <w:p>
            <w:pPr>
              <w:spacing w:after="0"/>
            </w:pPr>
            <w:r/>
            <w:r>
              <w:rPr>
                <w:rFonts w:ascii="Consolas" w:hAnsi="Consolas" w:cs="Consolas"/>
                <w:b w:val="0"/>
                <w:i w:val="0"/>
                <w:color w:val="2C3E50"/>
                <w:sz w:val="17"/>
              </w:rPr>
              <w:t>{"ph_id":"PH-001","investor_id":"INV-9876"}</w:t>
            </w:r>
          </w:p>
        </w:tc>
      </w:tr>
    </w:tbl>
    <w:p>
      <w:pPr>
        <w:spacing w:after="40" w:line="300" w:lineRule="auto"/>
        <w:jc w:val="left"/>
      </w:pPr>
    </w:p>
    <w:p>
      <w:pPr>
        <w:spacing w:after="40" w:line="300" w:lineRule="auto"/>
        <w:jc w:val="left"/>
      </w:pPr>
    </w:p>
    <w:p>
      <w:pPr>
        <w:spacing w:after="40" w:line="300" w:lineRule="auto"/>
        <w:jc w:val="left"/>
      </w:pPr>
      <w:r>
        <w:rPr>
          <w:rFonts w:ascii="Arial" w:hAnsi="Arial" w:cs="Arial"/>
          <w:b/>
          <w:i/>
          <w:color w:val="2E75B6"/>
          <w:sz w:val="22"/>
        </w:rPr>
        <w:t xml:space="preserve">  ph-11-post-assignment-welcome</w:t>
      </w:r>
    </w:p>
    <w:p>
      <w:pPr>
        <w:spacing w:after="80" w:line="300" w:lineRule="auto"/>
        <w:jc w:val="left"/>
      </w:pPr>
      <w:r>
        <w:rPr>
          <w:rFonts w:ascii="Arial" w:hAnsi="Arial" w:cs="Arial"/>
          <w:b w:val="0"/>
          <w:i/>
          <w:color w:val="7F8C8D"/>
          <w:sz w:val="19"/>
        </w:rPr>
        <w:t>Onboarding after investor accepts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592"/>
        <w:gridCol w:w="3600"/>
        <w:gridCol w:w="3168"/>
      </w:tblGrid>
      <w:tr>
        <w:tc>
          <w:tcPr>
            <w:tcW w:type="dxa" w:w="2592"/>
            <w:shd w:val="clear" w:color="auto" w:fill="FFFFFF"/>
            <w:tcBorders>
              <w:top w:val="single" w:sz="8" w:color="2C3E50"/>
              <w:left w:val="single" w:sz="8" w:color="2C3E50"/>
              <w:bottom w:val="single" w:sz="8" w:color="2C3E50"/>
              <w:right w:val="single" w:sz="8" w:color="2C3E5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/>
                <w:i w:val="0"/>
                <w:color w:val="2C3E50"/>
                <w:sz w:val="17"/>
              </w:rPr>
              <w:t>Field</w:t>
            </w:r>
          </w:p>
        </w:tc>
        <w:tc>
          <w:tcPr>
            <w:tcW w:type="dxa" w:w="3600"/>
            <w:shd w:val="clear" w:color="auto" w:fill="FFFFFF"/>
            <w:tcBorders>
              <w:top w:val="single" w:sz="8" w:color="2C3E50"/>
              <w:left w:val="single" w:sz="8" w:color="2C3E50"/>
              <w:bottom w:val="single" w:sz="8" w:color="2C3E50"/>
              <w:right w:val="single" w:sz="8" w:color="2C3E5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/>
                <w:i w:val="0"/>
                <w:color w:val="2C3E50"/>
                <w:sz w:val="17"/>
              </w:rPr>
              <w:t>Type</w:t>
            </w:r>
          </w:p>
        </w:tc>
        <w:tc>
          <w:tcPr>
            <w:tcW w:type="dxa" w:w="3168"/>
            <w:shd w:val="clear" w:color="auto" w:fill="FFFFFF"/>
            <w:tcBorders>
              <w:top w:val="single" w:sz="8" w:color="2C3E50"/>
              <w:left w:val="single" w:sz="8" w:color="2C3E50"/>
              <w:bottom w:val="single" w:sz="8" w:color="2C3E50"/>
              <w:right w:val="single" w:sz="8" w:color="2C3E5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/>
                <w:i w:val="0"/>
                <w:color w:val="2C3E50"/>
                <w:sz w:val="17"/>
              </w:rPr>
              <w:t>Required?</w:t>
            </w:r>
          </w:p>
        </w:tc>
      </w:tr>
      <w:tr>
        <w:tc>
          <w:tcPr>
            <w:tcW w:type="dxa" w:w="2592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ph_id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string</w:t>
            </w:r>
          </w:p>
        </w:tc>
        <w:tc>
          <w:tcPr>
            <w:tcW w:type="dxa" w:w="3168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Required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investor_id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string</w:t>
            </w:r>
          </w:p>
        </w:tc>
        <w:tc>
          <w:tcPr>
            <w:tcW w:type="dxa" w:w="31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Required</w:t>
            </w:r>
          </w:p>
        </w:tc>
      </w:tr>
    </w:tbl>
    <w:p>
      <w:pPr>
        <w:spacing w:after="40" w:line="300" w:lineRule="auto"/>
        <w:jc w:val="left"/>
      </w:pPr>
      <w:r>
        <w:rPr>
          <w:rFonts w:ascii="Arial" w:hAnsi="Arial" w:cs="Arial"/>
          <w:b/>
          <w:i w:val="0"/>
          <w:color w:val="1B3A5C"/>
          <w:sz w:val="18"/>
        </w:rPr>
        <w:t>Sample payload: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5F7FA"/>
            <w:tcBorders>
              <w:top w:val="single" w:sz="4" w:color="DDE2E8"/>
              <w:left w:val="single" w:sz="4" w:color="DDE2E8"/>
              <w:bottom w:val="single" w:sz="4" w:color="DDE2E8"/>
              <w:right w:val="single" w:sz="4" w:color="DDE2E8"/>
            </w:tcBorders>
          </w:tcPr>
          <w:p>
            <w:pPr>
              <w:spacing w:after="0"/>
            </w:pPr>
            <w:r/>
            <w:r>
              <w:rPr>
                <w:rFonts w:ascii="Consolas" w:hAnsi="Consolas" w:cs="Consolas"/>
                <w:b w:val="0"/>
                <w:i w:val="0"/>
                <w:color w:val="2C3E50"/>
                <w:sz w:val="17"/>
              </w:rPr>
              <w:t>{"ph_id":"PH-001","investor_id":"INV-9876"}</w:t>
            </w:r>
          </w:p>
        </w:tc>
      </w:tr>
    </w:tbl>
    <w:p>
      <w:pPr>
        <w:spacing w:after="40" w:line="300" w:lineRule="auto"/>
        <w:jc w:val="left"/>
      </w:pPr>
    </w:p>
    <w:p>
      <w:pPr>
        <w:spacing w:after="40" w:line="300" w:lineRule="auto"/>
        <w:jc w:val="left"/>
      </w:pPr>
    </w:p>
    <w:p>
      <w:pPr>
        <w:spacing w:after="40" w:line="300" w:lineRule="auto"/>
        <w:jc w:val="left"/>
      </w:pPr>
      <w:r>
        <w:rPr>
          <w:rFonts w:ascii="Arial" w:hAnsi="Arial" w:cs="Arial"/>
          <w:b/>
          <w:i/>
          <w:color w:val="2E75B6"/>
          <w:sz w:val="22"/>
        </w:rPr>
        <w:t xml:space="preserve">  ph-12-loan-application</w:t>
      </w:r>
    </w:p>
    <w:p>
      <w:pPr>
        <w:spacing w:after="80" w:line="300" w:lineRule="auto"/>
        <w:jc w:val="left"/>
      </w:pPr>
      <w:r>
        <w:rPr>
          <w:rFonts w:ascii="Arial" w:hAnsi="Arial" w:cs="Arial"/>
          <w:b w:val="0"/>
          <w:i/>
          <w:color w:val="7F8C8D"/>
          <w:sz w:val="19"/>
        </w:rPr>
        <w:t>Loan application acknowledgement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592"/>
        <w:gridCol w:w="3600"/>
        <w:gridCol w:w="3168"/>
      </w:tblGrid>
      <w:tr>
        <w:tc>
          <w:tcPr>
            <w:tcW w:type="dxa" w:w="2592"/>
            <w:shd w:val="clear" w:color="auto" w:fill="FFFFFF"/>
            <w:tcBorders>
              <w:top w:val="single" w:sz="8" w:color="2C3E50"/>
              <w:left w:val="single" w:sz="8" w:color="2C3E50"/>
              <w:bottom w:val="single" w:sz="8" w:color="2C3E50"/>
              <w:right w:val="single" w:sz="8" w:color="2C3E5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/>
                <w:i w:val="0"/>
                <w:color w:val="2C3E50"/>
                <w:sz w:val="17"/>
              </w:rPr>
              <w:t>Field</w:t>
            </w:r>
          </w:p>
        </w:tc>
        <w:tc>
          <w:tcPr>
            <w:tcW w:type="dxa" w:w="3600"/>
            <w:shd w:val="clear" w:color="auto" w:fill="FFFFFF"/>
            <w:tcBorders>
              <w:top w:val="single" w:sz="8" w:color="2C3E50"/>
              <w:left w:val="single" w:sz="8" w:color="2C3E50"/>
              <w:bottom w:val="single" w:sz="8" w:color="2C3E50"/>
              <w:right w:val="single" w:sz="8" w:color="2C3E5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/>
                <w:i w:val="0"/>
                <w:color w:val="2C3E50"/>
                <w:sz w:val="17"/>
              </w:rPr>
              <w:t>Type</w:t>
            </w:r>
          </w:p>
        </w:tc>
        <w:tc>
          <w:tcPr>
            <w:tcW w:type="dxa" w:w="3168"/>
            <w:shd w:val="clear" w:color="auto" w:fill="FFFFFF"/>
            <w:tcBorders>
              <w:top w:val="single" w:sz="8" w:color="2C3E50"/>
              <w:left w:val="single" w:sz="8" w:color="2C3E50"/>
              <w:bottom w:val="single" w:sz="8" w:color="2C3E50"/>
              <w:right w:val="single" w:sz="8" w:color="2C3E5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/>
                <w:i w:val="0"/>
                <w:color w:val="2C3E50"/>
                <w:sz w:val="17"/>
              </w:rPr>
              <w:t>Required?</w:t>
            </w:r>
          </w:p>
        </w:tc>
      </w:tr>
      <w:tr>
        <w:tc>
          <w:tcPr>
            <w:tcW w:type="dxa" w:w="2592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loan_application_id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string</w:t>
            </w:r>
          </w:p>
        </w:tc>
        <w:tc>
          <w:tcPr>
            <w:tcW w:type="dxa" w:w="3168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Required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ph_id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string</w:t>
            </w:r>
          </w:p>
        </w:tc>
        <w:tc>
          <w:tcPr>
            <w:tcW w:type="dxa" w:w="31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Required</w:t>
            </w:r>
          </w:p>
        </w:tc>
      </w:tr>
    </w:tbl>
    <w:p>
      <w:pPr>
        <w:spacing w:after="40" w:line="300" w:lineRule="auto"/>
        <w:jc w:val="left"/>
      </w:pPr>
      <w:r>
        <w:rPr>
          <w:rFonts w:ascii="Arial" w:hAnsi="Arial" w:cs="Arial"/>
          <w:b/>
          <w:i w:val="0"/>
          <w:color w:val="1B3A5C"/>
          <w:sz w:val="18"/>
        </w:rPr>
        <w:t>Sample payload: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5F7FA"/>
            <w:tcBorders>
              <w:top w:val="single" w:sz="4" w:color="DDE2E8"/>
              <w:left w:val="single" w:sz="4" w:color="DDE2E8"/>
              <w:bottom w:val="single" w:sz="4" w:color="DDE2E8"/>
              <w:right w:val="single" w:sz="4" w:color="DDE2E8"/>
            </w:tcBorders>
          </w:tcPr>
          <w:p>
            <w:pPr>
              <w:spacing w:after="0"/>
            </w:pPr>
            <w:r/>
            <w:r>
              <w:rPr>
                <w:rFonts w:ascii="Consolas" w:hAnsi="Consolas" w:cs="Consolas"/>
                <w:b w:val="0"/>
                <w:i w:val="0"/>
                <w:color w:val="2C3E50"/>
                <w:sz w:val="17"/>
              </w:rPr>
              <w:t>{"loan_application_id":"LAP-001","ph_id":"PH-001"}</w:t>
            </w:r>
          </w:p>
        </w:tc>
      </w:tr>
    </w:tbl>
    <w:p>
      <w:pPr>
        <w:spacing w:after="40" w:line="300" w:lineRule="auto"/>
        <w:jc w:val="left"/>
      </w:pPr>
    </w:p>
    <w:p>
      <w:pPr>
        <w:spacing w:after="40" w:line="300" w:lineRule="auto"/>
        <w:jc w:val="left"/>
      </w:pPr>
    </w:p>
    <w:p>
      <w:pPr>
        <w:spacing w:after="40" w:line="300" w:lineRule="auto"/>
        <w:jc w:val="left"/>
      </w:pPr>
      <w:r>
        <w:rPr>
          <w:rFonts w:ascii="Arial" w:hAnsi="Arial" w:cs="Arial"/>
          <w:b/>
          <w:i/>
          <w:color w:val="2E75B6"/>
          <w:sz w:val="22"/>
        </w:rPr>
        <w:t xml:space="preserve">  ph-13-loan-approval</w:t>
      </w:r>
    </w:p>
    <w:p>
      <w:pPr>
        <w:spacing w:after="80" w:line="300" w:lineRule="auto"/>
        <w:jc w:val="left"/>
      </w:pPr>
      <w:r>
        <w:rPr>
          <w:rFonts w:ascii="Arial" w:hAnsi="Arial" w:cs="Arial"/>
          <w:b w:val="0"/>
          <w:i/>
          <w:color w:val="7F8C8D"/>
          <w:sz w:val="19"/>
        </w:rPr>
        <w:t>Loan approval decision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592"/>
        <w:gridCol w:w="3600"/>
        <w:gridCol w:w="3168"/>
      </w:tblGrid>
      <w:tr>
        <w:tc>
          <w:tcPr>
            <w:tcW w:type="dxa" w:w="2592"/>
            <w:shd w:val="clear" w:color="auto" w:fill="FFFFFF"/>
            <w:tcBorders>
              <w:top w:val="single" w:sz="8" w:color="2C3E50"/>
              <w:left w:val="single" w:sz="8" w:color="2C3E50"/>
              <w:bottom w:val="single" w:sz="8" w:color="2C3E50"/>
              <w:right w:val="single" w:sz="8" w:color="2C3E5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/>
                <w:i w:val="0"/>
                <w:color w:val="2C3E50"/>
                <w:sz w:val="17"/>
              </w:rPr>
              <w:t>Field</w:t>
            </w:r>
          </w:p>
        </w:tc>
        <w:tc>
          <w:tcPr>
            <w:tcW w:type="dxa" w:w="3600"/>
            <w:shd w:val="clear" w:color="auto" w:fill="FFFFFF"/>
            <w:tcBorders>
              <w:top w:val="single" w:sz="8" w:color="2C3E50"/>
              <w:left w:val="single" w:sz="8" w:color="2C3E50"/>
              <w:bottom w:val="single" w:sz="8" w:color="2C3E50"/>
              <w:right w:val="single" w:sz="8" w:color="2C3E5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/>
                <w:i w:val="0"/>
                <w:color w:val="2C3E50"/>
                <w:sz w:val="17"/>
              </w:rPr>
              <w:t>Type</w:t>
            </w:r>
          </w:p>
        </w:tc>
        <w:tc>
          <w:tcPr>
            <w:tcW w:type="dxa" w:w="3168"/>
            <w:shd w:val="clear" w:color="auto" w:fill="FFFFFF"/>
            <w:tcBorders>
              <w:top w:val="single" w:sz="8" w:color="2C3E50"/>
              <w:left w:val="single" w:sz="8" w:color="2C3E50"/>
              <w:bottom w:val="single" w:sz="8" w:color="2C3E50"/>
              <w:right w:val="single" w:sz="8" w:color="2C3E5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/>
                <w:i w:val="0"/>
                <w:color w:val="2C3E50"/>
                <w:sz w:val="17"/>
              </w:rPr>
              <w:t>Required?</w:t>
            </w:r>
          </w:p>
        </w:tc>
      </w:tr>
      <w:tr>
        <w:tc>
          <w:tcPr>
            <w:tcW w:type="dxa" w:w="2592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loan_application_id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string</w:t>
            </w:r>
          </w:p>
        </w:tc>
        <w:tc>
          <w:tcPr>
            <w:tcW w:type="dxa" w:w="3168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Required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approvedAmount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number</w:t>
            </w:r>
          </w:p>
        </w:tc>
        <w:tc>
          <w:tcPr>
            <w:tcW w:type="dxa" w:w="31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Required</w:t>
            </w:r>
          </w:p>
        </w:tc>
      </w:tr>
      <w:tr>
        <w:tc>
          <w:tcPr>
            <w:tcW w:type="dxa" w:w="2592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ph_id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string</w:t>
            </w:r>
          </w:p>
        </w:tc>
        <w:tc>
          <w:tcPr>
            <w:tcW w:type="dxa" w:w="3168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Required</w:t>
            </w:r>
          </w:p>
        </w:tc>
      </w:tr>
    </w:tbl>
    <w:p>
      <w:pPr>
        <w:spacing w:after="40" w:line="300" w:lineRule="auto"/>
        <w:jc w:val="left"/>
      </w:pPr>
      <w:r>
        <w:rPr>
          <w:rFonts w:ascii="Arial" w:hAnsi="Arial" w:cs="Arial"/>
          <w:b/>
          <w:i w:val="0"/>
          <w:color w:val="1B3A5C"/>
          <w:sz w:val="18"/>
        </w:rPr>
        <w:t>Sample payload: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5F7FA"/>
            <w:tcBorders>
              <w:top w:val="single" w:sz="4" w:color="DDE2E8"/>
              <w:left w:val="single" w:sz="4" w:color="DDE2E8"/>
              <w:bottom w:val="single" w:sz="4" w:color="DDE2E8"/>
              <w:right w:val="single" w:sz="4" w:color="DDE2E8"/>
            </w:tcBorders>
          </w:tcPr>
          <w:p>
            <w:pPr>
              <w:spacing w:after="0"/>
            </w:pPr>
            <w:r/>
            <w:r>
              <w:rPr>
                <w:rFonts w:ascii="Consolas" w:hAnsi="Consolas" w:cs="Consolas"/>
                <w:b w:val="0"/>
                <w:i w:val="0"/>
                <w:color w:val="2C3E50"/>
                <w:sz w:val="17"/>
              </w:rPr>
              <w:t>{"loan_application_id":"LAP-001","approvedAmount":50000,"ph_id":"PH-001"}</w:t>
            </w:r>
          </w:p>
        </w:tc>
      </w:tr>
    </w:tbl>
    <w:p>
      <w:pPr>
        <w:spacing w:after="40" w:line="300" w:lineRule="auto"/>
        <w:jc w:val="left"/>
      </w:pPr>
    </w:p>
    <w:p>
      <w:pPr>
        <w:spacing w:after="40" w:line="300" w:lineRule="auto"/>
        <w:jc w:val="left"/>
      </w:pPr>
    </w:p>
    <w:p>
      <w:pPr>
        <w:spacing w:after="40" w:line="300" w:lineRule="auto"/>
        <w:jc w:val="left"/>
      </w:pPr>
      <w:r>
        <w:rPr>
          <w:rFonts w:ascii="Arial" w:hAnsi="Arial" w:cs="Arial"/>
          <w:b/>
          <w:i/>
          <w:color w:val="2E75B6"/>
          <w:sz w:val="22"/>
        </w:rPr>
        <w:t xml:space="preserve">  ph-14-loan-disbursement</w:t>
      </w:r>
    </w:p>
    <w:p>
      <w:pPr>
        <w:spacing w:after="80" w:line="300" w:lineRule="auto"/>
        <w:jc w:val="left"/>
      </w:pPr>
      <w:r>
        <w:rPr>
          <w:rFonts w:ascii="Arial" w:hAnsi="Arial" w:cs="Arial"/>
          <w:b w:val="0"/>
          <w:i/>
          <w:color w:val="7F8C8D"/>
          <w:sz w:val="19"/>
        </w:rPr>
        <w:t>Loan funds disbursed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592"/>
        <w:gridCol w:w="3600"/>
        <w:gridCol w:w="3168"/>
      </w:tblGrid>
      <w:tr>
        <w:tc>
          <w:tcPr>
            <w:tcW w:type="dxa" w:w="2592"/>
            <w:shd w:val="clear" w:color="auto" w:fill="FFFFFF"/>
            <w:tcBorders>
              <w:top w:val="single" w:sz="8" w:color="2C3E50"/>
              <w:left w:val="single" w:sz="8" w:color="2C3E50"/>
              <w:bottom w:val="single" w:sz="8" w:color="2C3E50"/>
              <w:right w:val="single" w:sz="8" w:color="2C3E5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/>
                <w:i w:val="0"/>
                <w:color w:val="2C3E50"/>
                <w:sz w:val="17"/>
              </w:rPr>
              <w:t>Field</w:t>
            </w:r>
          </w:p>
        </w:tc>
        <w:tc>
          <w:tcPr>
            <w:tcW w:type="dxa" w:w="3600"/>
            <w:shd w:val="clear" w:color="auto" w:fill="FFFFFF"/>
            <w:tcBorders>
              <w:top w:val="single" w:sz="8" w:color="2C3E50"/>
              <w:left w:val="single" w:sz="8" w:color="2C3E50"/>
              <w:bottom w:val="single" w:sz="8" w:color="2C3E50"/>
              <w:right w:val="single" w:sz="8" w:color="2C3E5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/>
                <w:i w:val="0"/>
                <w:color w:val="2C3E50"/>
                <w:sz w:val="17"/>
              </w:rPr>
              <w:t>Type</w:t>
            </w:r>
          </w:p>
        </w:tc>
        <w:tc>
          <w:tcPr>
            <w:tcW w:type="dxa" w:w="3168"/>
            <w:shd w:val="clear" w:color="auto" w:fill="FFFFFF"/>
            <w:tcBorders>
              <w:top w:val="single" w:sz="8" w:color="2C3E50"/>
              <w:left w:val="single" w:sz="8" w:color="2C3E50"/>
              <w:bottom w:val="single" w:sz="8" w:color="2C3E50"/>
              <w:right w:val="single" w:sz="8" w:color="2C3E5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/>
                <w:i w:val="0"/>
                <w:color w:val="2C3E50"/>
                <w:sz w:val="17"/>
              </w:rPr>
              <w:t>Required?</w:t>
            </w:r>
          </w:p>
        </w:tc>
      </w:tr>
      <w:tr>
        <w:tc>
          <w:tcPr>
            <w:tcW w:type="dxa" w:w="2592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loan_application_id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string</w:t>
            </w:r>
          </w:p>
        </w:tc>
        <w:tc>
          <w:tcPr>
            <w:tcW w:type="dxa" w:w="3168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Required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disbursedAmount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number</w:t>
            </w:r>
          </w:p>
        </w:tc>
        <w:tc>
          <w:tcPr>
            <w:tcW w:type="dxa" w:w="31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Required</w:t>
            </w:r>
          </w:p>
        </w:tc>
      </w:tr>
      <w:tr>
        <w:tc>
          <w:tcPr>
            <w:tcW w:type="dxa" w:w="2592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ph_id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string</w:t>
            </w:r>
          </w:p>
        </w:tc>
        <w:tc>
          <w:tcPr>
            <w:tcW w:type="dxa" w:w="3168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Required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disbursedAt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ISO date</w:t>
            </w:r>
          </w:p>
        </w:tc>
        <w:tc>
          <w:tcPr>
            <w:tcW w:type="dxa" w:w="31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Optional</w:t>
            </w:r>
          </w:p>
        </w:tc>
      </w:tr>
    </w:tbl>
    <w:p>
      <w:pPr>
        <w:spacing w:after="40" w:line="300" w:lineRule="auto"/>
        <w:jc w:val="left"/>
      </w:pPr>
      <w:r>
        <w:rPr>
          <w:rFonts w:ascii="Arial" w:hAnsi="Arial" w:cs="Arial"/>
          <w:b/>
          <w:i w:val="0"/>
          <w:color w:val="1B3A5C"/>
          <w:sz w:val="18"/>
        </w:rPr>
        <w:t>Sample payload: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5F7FA"/>
            <w:tcBorders>
              <w:top w:val="single" w:sz="4" w:color="DDE2E8"/>
              <w:left w:val="single" w:sz="4" w:color="DDE2E8"/>
              <w:bottom w:val="single" w:sz="4" w:color="DDE2E8"/>
              <w:right w:val="single" w:sz="4" w:color="DDE2E8"/>
            </w:tcBorders>
          </w:tcPr>
          <w:p>
            <w:pPr>
              <w:spacing w:after="0"/>
            </w:pPr>
            <w:r/>
            <w:r>
              <w:rPr>
                <w:rFonts w:ascii="Consolas" w:hAnsi="Consolas" w:cs="Consolas"/>
                <w:b w:val="0"/>
                <w:i w:val="0"/>
                <w:color w:val="2C3E50"/>
                <w:sz w:val="17"/>
              </w:rPr>
              <w:t>{"loan_application_id":"LAP-001","disbursedAmount":50000,"ph_id":"PH-001"}</w:t>
            </w:r>
          </w:p>
        </w:tc>
      </w:tr>
    </w:tbl>
    <w:p>
      <w:pPr>
        <w:spacing w:after="40" w:line="300" w:lineRule="auto"/>
        <w:jc w:val="left"/>
      </w:pPr>
    </w:p>
    <w:p>
      <w:pPr>
        <w:spacing w:after="40" w:line="300" w:lineRule="auto"/>
        <w:jc w:val="left"/>
      </w:pPr>
    </w:p>
    <w:p>
      <w:pPr>
        <w:spacing w:after="40" w:line="300" w:lineRule="auto"/>
        <w:jc w:val="left"/>
      </w:pPr>
      <w:r>
        <w:rPr>
          <w:rFonts w:ascii="Arial" w:hAnsi="Arial" w:cs="Arial"/>
          <w:b/>
          <w:i/>
          <w:color w:val="2E75B6"/>
          <w:sz w:val="22"/>
        </w:rPr>
        <w:t xml:space="preserve">  ph-15-loan-emi-reminder</w:t>
      </w:r>
    </w:p>
    <w:p>
      <w:pPr>
        <w:spacing w:after="80" w:line="300" w:lineRule="auto"/>
        <w:jc w:val="left"/>
      </w:pPr>
      <w:r>
        <w:rPr>
          <w:rFonts w:ascii="Arial" w:hAnsi="Arial" w:cs="Arial"/>
          <w:b w:val="0"/>
          <w:i/>
          <w:color w:val="7F8C8D"/>
          <w:sz w:val="19"/>
        </w:rPr>
        <w:t>EMI reminder cadence (channel-matrix-by-stage)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592"/>
        <w:gridCol w:w="3600"/>
        <w:gridCol w:w="3168"/>
      </w:tblGrid>
      <w:tr>
        <w:tc>
          <w:tcPr>
            <w:tcW w:type="dxa" w:w="2592"/>
            <w:shd w:val="clear" w:color="auto" w:fill="FFFFFF"/>
            <w:tcBorders>
              <w:top w:val="single" w:sz="8" w:color="2C3E50"/>
              <w:left w:val="single" w:sz="8" w:color="2C3E50"/>
              <w:bottom w:val="single" w:sz="8" w:color="2C3E50"/>
              <w:right w:val="single" w:sz="8" w:color="2C3E5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/>
                <w:i w:val="0"/>
                <w:color w:val="2C3E50"/>
                <w:sz w:val="17"/>
              </w:rPr>
              <w:t>Field</w:t>
            </w:r>
          </w:p>
        </w:tc>
        <w:tc>
          <w:tcPr>
            <w:tcW w:type="dxa" w:w="3600"/>
            <w:shd w:val="clear" w:color="auto" w:fill="FFFFFF"/>
            <w:tcBorders>
              <w:top w:val="single" w:sz="8" w:color="2C3E50"/>
              <w:left w:val="single" w:sz="8" w:color="2C3E50"/>
              <w:bottom w:val="single" w:sz="8" w:color="2C3E50"/>
              <w:right w:val="single" w:sz="8" w:color="2C3E5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/>
                <w:i w:val="0"/>
                <w:color w:val="2C3E50"/>
                <w:sz w:val="17"/>
              </w:rPr>
              <w:t>Type</w:t>
            </w:r>
          </w:p>
        </w:tc>
        <w:tc>
          <w:tcPr>
            <w:tcW w:type="dxa" w:w="3168"/>
            <w:shd w:val="clear" w:color="auto" w:fill="FFFFFF"/>
            <w:tcBorders>
              <w:top w:val="single" w:sz="8" w:color="2C3E50"/>
              <w:left w:val="single" w:sz="8" w:color="2C3E50"/>
              <w:bottom w:val="single" w:sz="8" w:color="2C3E50"/>
              <w:right w:val="single" w:sz="8" w:color="2C3E5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/>
                <w:i w:val="0"/>
                <w:color w:val="2C3E50"/>
                <w:sz w:val="17"/>
              </w:rPr>
              <w:t>Required?</w:t>
            </w:r>
          </w:p>
        </w:tc>
      </w:tr>
      <w:tr>
        <w:tc>
          <w:tcPr>
            <w:tcW w:type="dxa" w:w="2592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loan_application_id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string</w:t>
            </w:r>
          </w:p>
        </w:tc>
        <w:tc>
          <w:tcPr>
            <w:tcW w:type="dxa" w:w="3168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Required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emiAmount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number</w:t>
            </w:r>
          </w:p>
        </w:tc>
        <w:tc>
          <w:tcPr>
            <w:tcW w:type="dxa" w:w="31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Required</w:t>
            </w:r>
          </w:p>
        </w:tc>
      </w:tr>
      <w:tr>
        <w:tc>
          <w:tcPr>
            <w:tcW w:type="dxa" w:w="2592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dueDate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ISO date</w:t>
            </w:r>
          </w:p>
        </w:tc>
        <w:tc>
          <w:tcPr>
            <w:tcW w:type="dxa" w:w="3168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Required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stage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enum: due | 3d | 24h | 0h | post</w:t>
            </w:r>
          </w:p>
        </w:tc>
        <w:tc>
          <w:tcPr>
            <w:tcW w:type="dxa" w:w="31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Required</w:t>
            </w:r>
          </w:p>
        </w:tc>
      </w:tr>
      <w:tr>
        <w:tc>
          <w:tcPr>
            <w:tcW w:type="dxa" w:w="2592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ph_id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string</w:t>
            </w:r>
          </w:p>
        </w:tc>
        <w:tc>
          <w:tcPr>
            <w:tcW w:type="dxa" w:w="3168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Required</w:t>
            </w:r>
          </w:p>
        </w:tc>
      </w:tr>
    </w:tbl>
    <w:p>
      <w:pPr>
        <w:spacing w:after="40" w:line="300" w:lineRule="auto"/>
        <w:jc w:val="left"/>
      </w:pPr>
      <w:r>
        <w:rPr>
          <w:rFonts w:ascii="Arial" w:hAnsi="Arial" w:cs="Arial"/>
          <w:b/>
          <w:i w:val="0"/>
          <w:color w:val="1B3A5C"/>
          <w:sz w:val="18"/>
        </w:rPr>
        <w:t>Sample payload: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5F7FA"/>
            <w:tcBorders>
              <w:top w:val="single" w:sz="4" w:color="DDE2E8"/>
              <w:left w:val="single" w:sz="4" w:color="DDE2E8"/>
              <w:bottom w:val="single" w:sz="4" w:color="DDE2E8"/>
              <w:right w:val="single" w:sz="4" w:color="DDE2E8"/>
            </w:tcBorders>
          </w:tcPr>
          <w:p>
            <w:pPr>
              <w:spacing w:after="0"/>
            </w:pPr>
            <w:r/>
            <w:r>
              <w:rPr>
                <w:rFonts w:ascii="Consolas" w:hAnsi="Consolas" w:cs="Consolas"/>
                <w:b w:val="0"/>
                <w:i w:val="0"/>
                <w:color w:val="2C3E50"/>
                <w:sz w:val="17"/>
              </w:rPr>
              <w:t>{"loan_application_id":"LAP-001","emiAmount":5500,"dueDate":"2026-05-15","stage":"3d","ph_id":"PH-001"}</w:t>
            </w:r>
          </w:p>
        </w:tc>
      </w:tr>
    </w:tbl>
    <w:p>
      <w:pPr>
        <w:spacing w:after="40" w:line="300" w:lineRule="auto"/>
        <w:jc w:val="left"/>
      </w:pPr>
    </w:p>
    <w:p>
      <w:pPr>
        <w:spacing w:after="40" w:line="300" w:lineRule="auto"/>
        <w:jc w:val="left"/>
      </w:pPr>
    </w:p>
    <w:p>
      <w:pPr>
        <w:spacing w:after="40" w:line="300" w:lineRule="auto"/>
        <w:jc w:val="left"/>
      </w:pPr>
      <w:r>
        <w:rPr>
          <w:rFonts w:ascii="Arial" w:hAnsi="Arial" w:cs="Arial"/>
          <w:b/>
          <w:i/>
          <w:color w:val="2E75B6"/>
          <w:sz w:val="22"/>
        </w:rPr>
        <w:t xml:space="preserve">  ph-16-loan-closure</w:t>
      </w:r>
    </w:p>
    <w:p>
      <w:pPr>
        <w:spacing w:after="80" w:line="300" w:lineRule="auto"/>
        <w:jc w:val="left"/>
      </w:pPr>
      <w:r>
        <w:rPr>
          <w:rFonts w:ascii="Arial" w:hAnsi="Arial" w:cs="Arial"/>
          <w:b w:val="0"/>
          <w:i/>
          <w:color w:val="7F8C8D"/>
          <w:sz w:val="19"/>
        </w:rPr>
        <w:t>Loan closed — no more EMIs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592"/>
        <w:gridCol w:w="3600"/>
        <w:gridCol w:w="3168"/>
      </w:tblGrid>
      <w:tr>
        <w:tc>
          <w:tcPr>
            <w:tcW w:type="dxa" w:w="2592"/>
            <w:shd w:val="clear" w:color="auto" w:fill="FFFFFF"/>
            <w:tcBorders>
              <w:top w:val="single" w:sz="8" w:color="2C3E50"/>
              <w:left w:val="single" w:sz="8" w:color="2C3E50"/>
              <w:bottom w:val="single" w:sz="8" w:color="2C3E50"/>
              <w:right w:val="single" w:sz="8" w:color="2C3E5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/>
                <w:i w:val="0"/>
                <w:color w:val="2C3E50"/>
                <w:sz w:val="17"/>
              </w:rPr>
              <w:t>Field</w:t>
            </w:r>
          </w:p>
        </w:tc>
        <w:tc>
          <w:tcPr>
            <w:tcW w:type="dxa" w:w="3600"/>
            <w:shd w:val="clear" w:color="auto" w:fill="FFFFFF"/>
            <w:tcBorders>
              <w:top w:val="single" w:sz="8" w:color="2C3E50"/>
              <w:left w:val="single" w:sz="8" w:color="2C3E50"/>
              <w:bottom w:val="single" w:sz="8" w:color="2C3E50"/>
              <w:right w:val="single" w:sz="8" w:color="2C3E5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/>
                <w:i w:val="0"/>
                <w:color w:val="2C3E50"/>
                <w:sz w:val="17"/>
              </w:rPr>
              <w:t>Type</w:t>
            </w:r>
          </w:p>
        </w:tc>
        <w:tc>
          <w:tcPr>
            <w:tcW w:type="dxa" w:w="3168"/>
            <w:shd w:val="clear" w:color="auto" w:fill="FFFFFF"/>
            <w:tcBorders>
              <w:top w:val="single" w:sz="8" w:color="2C3E50"/>
              <w:left w:val="single" w:sz="8" w:color="2C3E50"/>
              <w:bottom w:val="single" w:sz="8" w:color="2C3E50"/>
              <w:right w:val="single" w:sz="8" w:color="2C3E5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/>
                <w:i w:val="0"/>
                <w:color w:val="2C3E50"/>
                <w:sz w:val="17"/>
              </w:rPr>
              <w:t>Required?</w:t>
            </w:r>
          </w:p>
        </w:tc>
      </w:tr>
      <w:tr>
        <w:tc>
          <w:tcPr>
            <w:tcW w:type="dxa" w:w="2592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loan_application_id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string</w:t>
            </w:r>
          </w:p>
        </w:tc>
        <w:tc>
          <w:tcPr>
            <w:tcW w:type="dxa" w:w="3168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Required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ph_id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string</w:t>
            </w:r>
          </w:p>
        </w:tc>
        <w:tc>
          <w:tcPr>
            <w:tcW w:type="dxa" w:w="31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Required</w:t>
            </w:r>
          </w:p>
        </w:tc>
      </w:tr>
      <w:tr>
        <w:tc>
          <w:tcPr>
            <w:tcW w:type="dxa" w:w="2592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closedAt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ISO date</w:t>
            </w:r>
          </w:p>
        </w:tc>
        <w:tc>
          <w:tcPr>
            <w:tcW w:type="dxa" w:w="3168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Optional</w:t>
            </w:r>
          </w:p>
        </w:tc>
      </w:tr>
    </w:tbl>
    <w:p>
      <w:pPr>
        <w:spacing w:after="40" w:line="300" w:lineRule="auto"/>
        <w:jc w:val="left"/>
      </w:pPr>
      <w:r>
        <w:rPr>
          <w:rFonts w:ascii="Arial" w:hAnsi="Arial" w:cs="Arial"/>
          <w:b/>
          <w:i w:val="0"/>
          <w:color w:val="1B3A5C"/>
          <w:sz w:val="18"/>
        </w:rPr>
        <w:t>Sample payload: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5F7FA"/>
            <w:tcBorders>
              <w:top w:val="single" w:sz="4" w:color="DDE2E8"/>
              <w:left w:val="single" w:sz="4" w:color="DDE2E8"/>
              <w:bottom w:val="single" w:sz="4" w:color="DDE2E8"/>
              <w:right w:val="single" w:sz="4" w:color="DDE2E8"/>
            </w:tcBorders>
          </w:tcPr>
          <w:p>
            <w:pPr>
              <w:spacing w:after="0"/>
            </w:pPr>
            <w:r/>
            <w:r>
              <w:rPr>
                <w:rFonts w:ascii="Consolas" w:hAnsi="Consolas" w:cs="Consolas"/>
                <w:b w:val="0"/>
                <w:i w:val="0"/>
                <w:color w:val="2C3E50"/>
                <w:sz w:val="17"/>
              </w:rPr>
              <w:t>{"loan_application_id":"LAP-001","ph_id":"PH-001"}</w:t>
            </w:r>
          </w:p>
        </w:tc>
      </w:tr>
    </w:tbl>
    <w:p>
      <w:pPr>
        <w:spacing w:after="40" w:line="300" w:lineRule="auto"/>
        <w:jc w:val="left"/>
      </w:pPr>
    </w:p>
    <w:p>
      <w:pPr>
        <w:spacing w:after="40" w:line="300" w:lineRule="auto"/>
        <w:jc w:val="left"/>
      </w:pPr>
    </w:p>
    <w:p>
      <w:pPr>
        <w:spacing w:after="40" w:line="300" w:lineRule="auto"/>
        <w:jc w:val="left"/>
      </w:pPr>
      <w:r>
        <w:rPr>
          <w:rFonts w:ascii="Arial" w:hAnsi="Arial" w:cs="Arial"/>
          <w:b/>
          <w:i/>
          <w:color w:val="2E75B6"/>
          <w:sz w:val="22"/>
        </w:rPr>
        <w:t xml:space="preserve">  ph-17-re-engagement</w:t>
      </w:r>
    </w:p>
    <w:p>
      <w:pPr>
        <w:spacing w:after="80" w:line="300" w:lineRule="auto"/>
        <w:jc w:val="left"/>
      </w:pPr>
      <w:r>
        <w:rPr>
          <w:rFonts w:ascii="Arial" w:hAnsi="Arial" w:cs="Arial"/>
          <w:b w:val="0"/>
          <w:i/>
          <w:color w:val="7F8C8D"/>
          <w:sz w:val="19"/>
        </w:rPr>
        <w:t>Reactivation for dormant accounts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592"/>
        <w:gridCol w:w="3600"/>
        <w:gridCol w:w="3168"/>
      </w:tblGrid>
      <w:tr>
        <w:tc>
          <w:tcPr>
            <w:tcW w:type="dxa" w:w="2592"/>
            <w:shd w:val="clear" w:color="auto" w:fill="FFFFFF"/>
            <w:tcBorders>
              <w:top w:val="single" w:sz="8" w:color="2C3E50"/>
              <w:left w:val="single" w:sz="8" w:color="2C3E50"/>
              <w:bottom w:val="single" w:sz="8" w:color="2C3E50"/>
              <w:right w:val="single" w:sz="8" w:color="2C3E5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/>
                <w:i w:val="0"/>
                <w:color w:val="2C3E50"/>
                <w:sz w:val="17"/>
              </w:rPr>
              <w:t>Field</w:t>
            </w:r>
          </w:p>
        </w:tc>
        <w:tc>
          <w:tcPr>
            <w:tcW w:type="dxa" w:w="3600"/>
            <w:shd w:val="clear" w:color="auto" w:fill="FFFFFF"/>
            <w:tcBorders>
              <w:top w:val="single" w:sz="8" w:color="2C3E50"/>
              <w:left w:val="single" w:sz="8" w:color="2C3E50"/>
              <w:bottom w:val="single" w:sz="8" w:color="2C3E50"/>
              <w:right w:val="single" w:sz="8" w:color="2C3E5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/>
                <w:i w:val="0"/>
                <w:color w:val="2C3E50"/>
                <w:sz w:val="17"/>
              </w:rPr>
              <w:t>Type</w:t>
            </w:r>
          </w:p>
        </w:tc>
        <w:tc>
          <w:tcPr>
            <w:tcW w:type="dxa" w:w="3168"/>
            <w:shd w:val="clear" w:color="auto" w:fill="FFFFFF"/>
            <w:tcBorders>
              <w:top w:val="single" w:sz="8" w:color="2C3E50"/>
              <w:left w:val="single" w:sz="8" w:color="2C3E50"/>
              <w:bottom w:val="single" w:sz="8" w:color="2C3E50"/>
              <w:right w:val="single" w:sz="8" w:color="2C3E5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/>
                <w:i w:val="0"/>
                <w:color w:val="2C3E50"/>
                <w:sz w:val="17"/>
              </w:rPr>
              <w:t>Required?</w:t>
            </w:r>
          </w:p>
        </w:tc>
      </w:tr>
      <w:tr>
        <w:tc>
          <w:tcPr>
            <w:tcW w:type="dxa" w:w="2592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ph_id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string</w:t>
            </w:r>
          </w:p>
        </w:tc>
        <w:tc>
          <w:tcPr>
            <w:tcW w:type="dxa" w:w="3168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Required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dormancyDays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number</w:t>
            </w:r>
          </w:p>
        </w:tc>
        <w:tc>
          <w:tcPr>
            <w:tcW w:type="dxa" w:w="31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Required</w:t>
            </w:r>
          </w:p>
        </w:tc>
      </w:tr>
      <w:tr>
        <w:tc>
          <w:tcPr>
            <w:tcW w:type="dxa" w:w="2592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lastEvent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string</w:t>
            </w:r>
          </w:p>
        </w:tc>
        <w:tc>
          <w:tcPr>
            <w:tcW w:type="dxa" w:w="3168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Optional</w:t>
            </w:r>
          </w:p>
        </w:tc>
      </w:tr>
    </w:tbl>
    <w:p>
      <w:pPr>
        <w:spacing w:after="40" w:line="300" w:lineRule="auto"/>
        <w:jc w:val="left"/>
      </w:pPr>
      <w:r>
        <w:rPr>
          <w:rFonts w:ascii="Arial" w:hAnsi="Arial" w:cs="Arial"/>
          <w:b/>
          <w:i w:val="0"/>
          <w:color w:val="1B3A5C"/>
          <w:sz w:val="18"/>
        </w:rPr>
        <w:t>Sample payload: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5F7FA"/>
            <w:tcBorders>
              <w:top w:val="single" w:sz="4" w:color="DDE2E8"/>
              <w:left w:val="single" w:sz="4" w:color="DDE2E8"/>
              <w:bottom w:val="single" w:sz="4" w:color="DDE2E8"/>
              <w:right w:val="single" w:sz="4" w:color="DDE2E8"/>
            </w:tcBorders>
          </w:tcPr>
          <w:p>
            <w:pPr>
              <w:spacing w:after="0"/>
            </w:pPr>
            <w:r/>
            <w:r>
              <w:rPr>
                <w:rFonts w:ascii="Consolas" w:hAnsi="Consolas" w:cs="Consolas"/>
                <w:b w:val="0"/>
                <w:i w:val="0"/>
                <w:color w:val="2C3E50"/>
                <w:sz w:val="17"/>
              </w:rPr>
              <w:t>{"ph_id":"PH-001","dormancyDays":90,"lastEvent":"login"}</w:t>
            </w:r>
          </w:p>
        </w:tc>
      </w:tr>
    </w:tbl>
    <w:p>
      <w:pPr>
        <w:spacing w:after="40" w:line="300" w:lineRule="auto"/>
        <w:jc w:val="left"/>
      </w:pPr>
    </w:p>
    <w:p>
      <w:pPr>
        <w:spacing w:after="40" w:line="300" w:lineRule="auto"/>
        <w:jc w:val="left"/>
      </w:pPr>
    </w:p>
    <w:p>
      <w:pPr>
        <w:spacing w:after="40" w:line="300" w:lineRule="auto"/>
        <w:jc w:val="left"/>
      </w:pPr>
      <w:r>
        <w:rPr>
          <w:rFonts w:ascii="Arial" w:hAnsi="Arial" w:cs="Arial"/>
          <w:b/>
          <w:i/>
          <w:color w:val="2E75B6"/>
          <w:sz w:val="22"/>
        </w:rPr>
        <w:t xml:space="preserve">  inv-02-registration</w:t>
      </w:r>
    </w:p>
    <w:p>
      <w:pPr>
        <w:spacing w:after="80" w:line="300" w:lineRule="auto"/>
        <w:jc w:val="left"/>
      </w:pPr>
      <w:r>
        <w:rPr>
          <w:rFonts w:ascii="Arial" w:hAnsi="Arial" w:cs="Arial"/>
          <w:b w:val="0"/>
          <w:i/>
          <w:color w:val="7F8C8D"/>
          <w:sz w:val="19"/>
        </w:rPr>
        <w:t>Investor OTP (registration)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592"/>
        <w:gridCol w:w="3600"/>
        <w:gridCol w:w="3168"/>
      </w:tblGrid>
      <w:tr>
        <w:tc>
          <w:tcPr>
            <w:tcW w:type="dxa" w:w="2592"/>
            <w:shd w:val="clear" w:color="auto" w:fill="FFFFFF"/>
            <w:tcBorders>
              <w:top w:val="single" w:sz="8" w:color="2C3E50"/>
              <w:left w:val="single" w:sz="8" w:color="2C3E50"/>
              <w:bottom w:val="single" w:sz="8" w:color="2C3E50"/>
              <w:right w:val="single" w:sz="8" w:color="2C3E5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/>
                <w:i w:val="0"/>
                <w:color w:val="2C3E50"/>
                <w:sz w:val="17"/>
              </w:rPr>
              <w:t>Field</w:t>
            </w:r>
          </w:p>
        </w:tc>
        <w:tc>
          <w:tcPr>
            <w:tcW w:type="dxa" w:w="3600"/>
            <w:shd w:val="clear" w:color="auto" w:fill="FFFFFF"/>
            <w:tcBorders>
              <w:top w:val="single" w:sz="8" w:color="2C3E50"/>
              <w:left w:val="single" w:sz="8" w:color="2C3E50"/>
              <w:bottom w:val="single" w:sz="8" w:color="2C3E50"/>
              <w:right w:val="single" w:sz="8" w:color="2C3E5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/>
                <w:i w:val="0"/>
                <w:color w:val="2C3E50"/>
                <w:sz w:val="17"/>
              </w:rPr>
              <w:t>Type</w:t>
            </w:r>
          </w:p>
        </w:tc>
        <w:tc>
          <w:tcPr>
            <w:tcW w:type="dxa" w:w="3168"/>
            <w:shd w:val="clear" w:color="auto" w:fill="FFFFFF"/>
            <w:tcBorders>
              <w:top w:val="single" w:sz="8" w:color="2C3E50"/>
              <w:left w:val="single" w:sz="8" w:color="2C3E50"/>
              <w:bottom w:val="single" w:sz="8" w:color="2C3E50"/>
              <w:right w:val="single" w:sz="8" w:color="2C3E5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/>
                <w:i w:val="0"/>
                <w:color w:val="2C3E50"/>
                <w:sz w:val="17"/>
              </w:rPr>
              <w:t>Required?</w:t>
            </w:r>
          </w:p>
        </w:tc>
      </w:tr>
      <w:tr>
        <w:tc>
          <w:tcPr>
            <w:tcW w:type="dxa" w:w="2592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otp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string, length 6</w:t>
            </w:r>
          </w:p>
        </w:tc>
        <w:tc>
          <w:tcPr>
            <w:tcW w:type="dxa" w:w="3168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Required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investor_id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string</w:t>
            </w:r>
          </w:p>
        </w:tc>
        <w:tc>
          <w:tcPr>
            <w:tcW w:type="dxa" w:w="31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Optional</w:t>
            </w:r>
          </w:p>
        </w:tc>
      </w:tr>
      <w:tr>
        <w:tc>
          <w:tcPr>
            <w:tcW w:type="dxa" w:w="2592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testMode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boolean</w:t>
            </w:r>
          </w:p>
        </w:tc>
        <w:tc>
          <w:tcPr>
            <w:tcW w:type="dxa" w:w="3168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Optional</w:t>
            </w:r>
          </w:p>
        </w:tc>
      </w:tr>
    </w:tbl>
    <w:p>
      <w:pPr>
        <w:spacing w:after="40" w:line="300" w:lineRule="auto"/>
        <w:jc w:val="left"/>
      </w:pPr>
      <w:r>
        <w:rPr>
          <w:rFonts w:ascii="Arial" w:hAnsi="Arial" w:cs="Arial"/>
          <w:b/>
          <w:i w:val="0"/>
          <w:color w:val="1B3A5C"/>
          <w:sz w:val="18"/>
        </w:rPr>
        <w:t>Sample payload: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5F7FA"/>
            <w:tcBorders>
              <w:top w:val="single" w:sz="4" w:color="DDE2E8"/>
              <w:left w:val="single" w:sz="4" w:color="DDE2E8"/>
              <w:bottom w:val="single" w:sz="4" w:color="DDE2E8"/>
              <w:right w:val="single" w:sz="4" w:color="DDE2E8"/>
            </w:tcBorders>
          </w:tcPr>
          <w:p>
            <w:pPr>
              <w:spacing w:after="0"/>
            </w:pPr>
            <w:r/>
            <w:r>
              <w:rPr>
                <w:rFonts w:ascii="Consolas" w:hAnsi="Consolas" w:cs="Consolas"/>
                <w:b w:val="0"/>
                <w:i w:val="0"/>
                <w:color w:val="2C3E50"/>
                <w:sz w:val="17"/>
              </w:rPr>
              <w:t>{"otp":"123456","investor_id":"INV-9876","testMode":true}</w:t>
            </w:r>
          </w:p>
        </w:tc>
      </w:tr>
    </w:tbl>
    <w:p>
      <w:pPr>
        <w:spacing w:after="40" w:line="300" w:lineRule="auto"/>
        <w:jc w:val="left"/>
      </w:pPr>
    </w:p>
    <w:p>
      <w:pPr>
        <w:spacing w:after="40" w:line="300" w:lineRule="auto"/>
        <w:jc w:val="left"/>
      </w:pPr>
    </w:p>
    <w:p>
      <w:pPr>
        <w:spacing w:after="40" w:line="300" w:lineRule="auto"/>
        <w:jc w:val="left"/>
      </w:pPr>
      <w:r>
        <w:rPr>
          <w:rFonts w:ascii="Arial" w:hAnsi="Arial" w:cs="Arial"/>
          <w:b/>
          <w:i/>
          <w:color w:val="2E75B6"/>
          <w:sz w:val="22"/>
        </w:rPr>
        <w:t xml:space="preserve">  inv-05-investment-soft-commit</w:t>
      </w:r>
    </w:p>
    <w:p>
      <w:pPr>
        <w:spacing w:after="80" w:line="300" w:lineRule="auto"/>
        <w:jc w:val="left"/>
      </w:pPr>
      <w:r>
        <w:rPr>
          <w:rFonts w:ascii="Arial" w:hAnsi="Arial" w:cs="Arial"/>
          <w:b w:val="0"/>
          <w:i/>
          <w:color w:val="7F8C8D"/>
          <w:sz w:val="19"/>
        </w:rPr>
        <w:t>Investment soft-commit captured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592"/>
        <w:gridCol w:w="3600"/>
        <w:gridCol w:w="3168"/>
      </w:tblGrid>
      <w:tr>
        <w:tc>
          <w:tcPr>
            <w:tcW w:type="dxa" w:w="2592"/>
            <w:shd w:val="clear" w:color="auto" w:fill="FFFFFF"/>
            <w:tcBorders>
              <w:top w:val="single" w:sz="8" w:color="2C3E50"/>
              <w:left w:val="single" w:sz="8" w:color="2C3E50"/>
              <w:bottom w:val="single" w:sz="8" w:color="2C3E50"/>
              <w:right w:val="single" w:sz="8" w:color="2C3E5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/>
                <w:i w:val="0"/>
                <w:color w:val="2C3E50"/>
                <w:sz w:val="17"/>
              </w:rPr>
              <w:t>Field</w:t>
            </w:r>
          </w:p>
        </w:tc>
        <w:tc>
          <w:tcPr>
            <w:tcW w:type="dxa" w:w="3600"/>
            <w:shd w:val="clear" w:color="auto" w:fill="FFFFFF"/>
            <w:tcBorders>
              <w:top w:val="single" w:sz="8" w:color="2C3E50"/>
              <w:left w:val="single" w:sz="8" w:color="2C3E50"/>
              <w:bottom w:val="single" w:sz="8" w:color="2C3E50"/>
              <w:right w:val="single" w:sz="8" w:color="2C3E5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/>
                <w:i w:val="0"/>
                <w:color w:val="2C3E50"/>
                <w:sz w:val="17"/>
              </w:rPr>
              <w:t>Type</w:t>
            </w:r>
          </w:p>
        </w:tc>
        <w:tc>
          <w:tcPr>
            <w:tcW w:type="dxa" w:w="3168"/>
            <w:shd w:val="clear" w:color="auto" w:fill="FFFFFF"/>
            <w:tcBorders>
              <w:top w:val="single" w:sz="8" w:color="2C3E50"/>
              <w:left w:val="single" w:sz="8" w:color="2C3E50"/>
              <w:bottom w:val="single" w:sz="8" w:color="2C3E50"/>
              <w:right w:val="single" w:sz="8" w:color="2C3E5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/>
                <w:i w:val="0"/>
                <w:color w:val="2C3E50"/>
                <w:sz w:val="17"/>
              </w:rPr>
              <w:t>Required?</w:t>
            </w:r>
          </w:p>
        </w:tc>
      </w:tr>
      <w:tr>
        <w:tc>
          <w:tcPr>
            <w:tcW w:type="dxa" w:w="2592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investor_id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string</w:t>
            </w:r>
          </w:p>
        </w:tc>
        <w:tc>
          <w:tcPr>
            <w:tcW w:type="dxa" w:w="3168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Required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policy_number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string</w:t>
            </w:r>
          </w:p>
        </w:tc>
        <w:tc>
          <w:tcPr>
            <w:tcW w:type="dxa" w:w="31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Required</w:t>
            </w:r>
          </w:p>
        </w:tc>
      </w:tr>
      <w:tr>
        <w:tc>
          <w:tcPr>
            <w:tcW w:type="dxa" w:w="2592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amount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number</w:t>
            </w:r>
          </w:p>
        </w:tc>
        <w:tc>
          <w:tcPr>
            <w:tcW w:type="dxa" w:w="3168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Required</w:t>
            </w:r>
          </w:p>
        </w:tc>
      </w:tr>
    </w:tbl>
    <w:p>
      <w:pPr>
        <w:spacing w:after="40" w:line="300" w:lineRule="auto"/>
        <w:jc w:val="left"/>
      </w:pPr>
      <w:r>
        <w:rPr>
          <w:rFonts w:ascii="Arial" w:hAnsi="Arial" w:cs="Arial"/>
          <w:b/>
          <w:i w:val="0"/>
          <w:color w:val="1B3A5C"/>
          <w:sz w:val="18"/>
        </w:rPr>
        <w:t>Sample payload: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5F7FA"/>
            <w:tcBorders>
              <w:top w:val="single" w:sz="4" w:color="DDE2E8"/>
              <w:left w:val="single" w:sz="4" w:color="DDE2E8"/>
              <w:bottom w:val="single" w:sz="4" w:color="DDE2E8"/>
              <w:right w:val="single" w:sz="4" w:color="DDE2E8"/>
            </w:tcBorders>
          </w:tcPr>
          <w:p>
            <w:pPr>
              <w:spacing w:after="0"/>
            </w:pPr>
            <w:r/>
            <w:r>
              <w:rPr>
                <w:rFonts w:ascii="Consolas" w:hAnsi="Consolas" w:cs="Consolas"/>
                <w:b w:val="0"/>
                <w:i w:val="0"/>
                <w:color w:val="2C3E50"/>
                <w:sz w:val="17"/>
              </w:rPr>
              <w:t>{"investor_id":"INV-9876","policy_number":"20356001","amount":100000}</w:t>
            </w:r>
          </w:p>
        </w:tc>
      </w:tr>
    </w:tbl>
    <w:p>
      <w:pPr>
        <w:spacing w:after="40" w:line="300" w:lineRule="auto"/>
        <w:jc w:val="left"/>
      </w:pPr>
    </w:p>
    <w:p>
      <w:pPr>
        <w:spacing w:after="40" w:line="300" w:lineRule="auto"/>
        <w:jc w:val="left"/>
      </w:pPr>
    </w:p>
    <w:p>
      <w:pPr>
        <w:spacing w:after="40" w:line="300" w:lineRule="auto"/>
        <w:jc w:val="left"/>
      </w:pPr>
      <w:r>
        <w:rPr>
          <w:rFonts w:ascii="Arial" w:hAnsi="Arial" w:cs="Arial"/>
          <w:b/>
          <w:i/>
          <w:color w:val="2E75B6"/>
          <w:sz w:val="22"/>
        </w:rPr>
        <w:t xml:space="preserve">  inv-07-investment-confirmed</w:t>
      </w:r>
    </w:p>
    <w:p>
      <w:pPr>
        <w:spacing w:after="80" w:line="300" w:lineRule="auto"/>
        <w:jc w:val="left"/>
      </w:pPr>
      <w:r>
        <w:rPr>
          <w:rFonts w:ascii="Arial" w:hAnsi="Arial" w:cs="Arial"/>
          <w:b w:val="0"/>
          <w:i/>
          <w:color w:val="7F8C8D"/>
          <w:sz w:val="19"/>
        </w:rPr>
        <w:t>Investment confirmed + receipt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592"/>
        <w:gridCol w:w="3600"/>
        <w:gridCol w:w="3168"/>
      </w:tblGrid>
      <w:tr>
        <w:tc>
          <w:tcPr>
            <w:tcW w:type="dxa" w:w="2592"/>
            <w:shd w:val="clear" w:color="auto" w:fill="FFFFFF"/>
            <w:tcBorders>
              <w:top w:val="single" w:sz="8" w:color="2C3E50"/>
              <w:left w:val="single" w:sz="8" w:color="2C3E50"/>
              <w:bottom w:val="single" w:sz="8" w:color="2C3E50"/>
              <w:right w:val="single" w:sz="8" w:color="2C3E5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/>
                <w:i w:val="0"/>
                <w:color w:val="2C3E50"/>
                <w:sz w:val="17"/>
              </w:rPr>
              <w:t>Field</w:t>
            </w:r>
          </w:p>
        </w:tc>
        <w:tc>
          <w:tcPr>
            <w:tcW w:type="dxa" w:w="3600"/>
            <w:shd w:val="clear" w:color="auto" w:fill="FFFFFF"/>
            <w:tcBorders>
              <w:top w:val="single" w:sz="8" w:color="2C3E50"/>
              <w:left w:val="single" w:sz="8" w:color="2C3E50"/>
              <w:bottom w:val="single" w:sz="8" w:color="2C3E50"/>
              <w:right w:val="single" w:sz="8" w:color="2C3E5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/>
                <w:i w:val="0"/>
                <w:color w:val="2C3E50"/>
                <w:sz w:val="17"/>
              </w:rPr>
              <w:t>Type</w:t>
            </w:r>
          </w:p>
        </w:tc>
        <w:tc>
          <w:tcPr>
            <w:tcW w:type="dxa" w:w="3168"/>
            <w:shd w:val="clear" w:color="auto" w:fill="FFFFFF"/>
            <w:tcBorders>
              <w:top w:val="single" w:sz="8" w:color="2C3E50"/>
              <w:left w:val="single" w:sz="8" w:color="2C3E50"/>
              <w:bottom w:val="single" w:sz="8" w:color="2C3E50"/>
              <w:right w:val="single" w:sz="8" w:color="2C3E5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/>
                <w:i w:val="0"/>
                <w:color w:val="2C3E50"/>
                <w:sz w:val="17"/>
              </w:rPr>
              <w:t>Required?</w:t>
            </w:r>
          </w:p>
        </w:tc>
      </w:tr>
      <w:tr>
        <w:tc>
          <w:tcPr>
            <w:tcW w:type="dxa" w:w="2592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investor_id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string</w:t>
            </w:r>
          </w:p>
        </w:tc>
        <w:tc>
          <w:tcPr>
            <w:tcW w:type="dxa" w:w="3168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Required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policy_number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string</w:t>
            </w:r>
          </w:p>
        </w:tc>
        <w:tc>
          <w:tcPr>
            <w:tcW w:type="dxa" w:w="31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Required</w:t>
            </w:r>
          </w:p>
        </w:tc>
      </w:tr>
      <w:tr>
        <w:tc>
          <w:tcPr>
            <w:tcW w:type="dxa" w:w="2592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amount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number</w:t>
            </w:r>
          </w:p>
        </w:tc>
        <w:tc>
          <w:tcPr>
            <w:tcW w:type="dxa" w:w="3168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Required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receiptUrl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string (URL)</w:t>
            </w:r>
          </w:p>
        </w:tc>
        <w:tc>
          <w:tcPr>
            <w:tcW w:type="dxa" w:w="31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Optional</w:t>
            </w:r>
          </w:p>
        </w:tc>
      </w:tr>
    </w:tbl>
    <w:p>
      <w:pPr>
        <w:spacing w:after="40" w:line="300" w:lineRule="auto"/>
        <w:jc w:val="left"/>
      </w:pPr>
      <w:r>
        <w:rPr>
          <w:rFonts w:ascii="Arial" w:hAnsi="Arial" w:cs="Arial"/>
          <w:b/>
          <w:i w:val="0"/>
          <w:color w:val="1B3A5C"/>
          <w:sz w:val="18"/>
        </w:rPr>
        <w:t>Sample payload: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5F7FA"/>
            <w:tcBorders>
              <w:top w:val="single" w:sz="4" w:color="DDE2E8"/>
              <w:left w:val="single" w:sz="4" w:color="DDE2E8"/>
              <w:bottom w:val="single" w:sz="4" w:color="DDE2E8"/>
              <w:right w:val="single" w:sz="4" w:color="DDE2E8"/>
            </w:tcBorders>
          </w:tcPr>
          <w:p>
            <w:pPr>
              <w:spacing w:after="0"/>
            </w:pPr>
            <w:r/>
            <w:r>
              <w:rPr>
                <w:rFonts w:ascii="Consolas" w:hAnsi="Consolas" w:cs="Consolas"/>
                <w:b w:val="0"/>
                <w:i w:val="0"/>
                <w:color w:val="2C3E50"/>
                <w:sz w:val="17"/>
              </w:rPr>
              <w:t>{"investor_id":"INV-9876","policy_number":"20356001","amount":100000}</w:t>
            </w:r>
          </w:p>
        </w:tc>
      </w:tr>
    </w:tbl>
    <w:p>
      <w:pPr>
        <w:spacing w:after="40" w:line="300" w:lineRule="auto"/>
        <w:jc w:val="left"/>
      </w:pPr>
    </w:p>
    <w:p>
      <w:pPr>
        <w:spacing w:after="40" w:line="300" w:lineRule="auto"/>
        <w:jc w:val="left"/>
      </w:pPr>
    </w:p>
    <w:p>
      <w:pPr>
        <w:spacing w:after="40" w:line="300" w:lineRule="auto"/>
        <w:jc w:val="left"/>
      </w:pPr>
      <w:r>
        <w:rPr>
          <w:rFonts w:ascii="Arial" w:hAnsi="Arial" w:cs="Arial"/>
          <w:b/>
          <w:i/>
          <w:color w:val="2E75B6"/>
          <w:sz w:val="22"/>
        </w:rPr>
        <w:t xml:space="preserve">  inv-08-premium-due</w:t>
      </w:r>
    </w:p>
    <w:p>
      <w:pPr>
        <w:spacing w:after="80" w:line="300" w:lineRule="auto"/>
        <w:jc w:val="left"/>
      </w:pPr>
      <w:r>
        <w:rPr>
          <w:rFonts w:ascii="Arial" w:hAnsi="Arial" w:cs="Arial"/>
          <w:b w:val="0"/>
          <w:i/>
          <w:color w:val="7F8C8D"/>
          <w:sz w:val="19"/>
        </w:rPr>
        <w:t>FLAGSHIP — Premium-due cadence (highest volume)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592"/>
        <w:gridCol w:w="3600"/>
        <w:gridCol w:w="3168"/>
      </w:tblGrid>
      <w:tr>
        <w:tc>
          <w:tcPr>
            <w:tcW w:type="dxa" w:w="2592"/>
            <w:shd w:val="clear" w:color="auto" w:fill="FFFFFF"/>
            <w:tcBorders>
              <w:top w:val="single" w:sz="8" w:color="2C3E50"/>
              <w:left w:val="single" w:sz="8" w:color="2C3E50"/>
              <w:bottom w:val="single" w:sz="8" w:color="2C3E50"/>
              <w:right w:val="single" w:sz="8" w:color="2C3E5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/>
                <w:i w:val="0"/>
                <w:color w:val="2C3E50"/>
                <w:sz w:val="17"/>
              </w:rPr>
              <w:t>Field</w:t>
            </w:r>
          </w:p>
        </w:tc>
        <w:tc>
          <w:tcPr>
            <w:tcW w:type="dxa" w:w="3600"/>
            <w:shd w:val="clear" w:color="auto" w:fill="FFFFFF"/>
            <w:tcBorders>
              <w:top w:val="single" w:sz="8" w:color="2C3E50"/>
              <w:left w:val="single" w:sz="8" w:color="2C3E50"/>
              <w:bottom w:val="single" w:sz="8" w:color="2C3E50"/>
              <w:right w:val="single" w:sz="8" w:color="2C3E5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/>
                <w:i w:val="0"/>
                <w:color w:val="2C3E50"/>
                <w:sz w:val="17"/>
              </w:rPr>
              <w:t>Type</w:t>
            </w:r>
          </w:p>
        </w:tc>
        <w:tc>
          <w:tcPr>
            <w:tcW w:type="dxa" w:w="3168"/>
            <w:shd w:val="clear" w:color="auto" w:fill="FFFFFF"/>
            <w:tcBorders>
              <w:top w:val="single" w:sz="8" w:color="2C3E50"/>
              <w:left w:val="single" w:sz="8" w:color="2C3E50"/>
              <w:bottom w:val="single" w:sz="8" w:color="2C3E50"/>
              <w:right w:val="single" w:sz="8" w:color="2C3E5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/>
                <w:i w:val="0"/>
                <w:color w:val="2C3E50"/>
                <w:sz w:val="17"/>
              </w:rPr>
              <w:t>Required?</w:t>
            </w:r>
          </w:p>
        </w:tc>
      </w:tr>
      <w:tr>
        <w:tc>
          <w:tcPr>
            <w:tcW w:type="dxa" w:w="2592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investor_id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string</w:t>
            </w:r>
          </w:p>
        </w:tc>
        <w:tc>
          <w:tcPr>
            <w:tcW w:type="dxa" w:w="3168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Required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policy_number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string</w:t>
            </w:r>
          </w:p>
        </w:tc>
        <w:tc>
          <w:tcPr>
            <w:tcW w:type="dxa" w:w="31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Required</w:t>
            </w:r>
          </w:p>
        </w:tc>
      </w:tr>
      <w:tr>
        <w:tc>
          <w:tcPr>
            <w:tcW w:type="dxa" w:w="2592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premiumAmount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number</w:t>
            </w:r>
          </w:p>
        </w:tc>
        <w:tc>
          <w:tcPr>
            <w:tcW w:type="dxa" w:w="3168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Required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dueDate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ISO date</w:t>
            </w:r>
          </w:p>
        </w:tc>
        <w:tc>
          <w:tcPr>
            <w:tcW w:type="dxa" w:w="31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Required</w:t>
            </w:r>
          </w:p>
        </w:tc>
      </w:tr>
      <w:tr>
        <w:tc>
          <w:tcPr>
            <w:tcW w:type="dxa" w:w="2592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stage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enum: 30d | 7d | 24h | 0h | overdue</w:t>
            </w:r>
          </w:p>
        </w:tc>
        <w:tc>
          <w:tcPr>
            <w:tcW w:type="dxa" w:w="3168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Required</w:t>
            </w:r>
          </w:p>
        </w:tc>
      </w:tr>
    </w:tbl>
    <w:p>
      <w:pPr>
        <w:spacing w:after="40" w:line="300" w:lineRule="auto"/>
        <w:jc w:val="left"/>
      </w:pPr>
      <w:r>
        <w:rPr>
          <w:rFonts w:ascii="Arial" w:hAnsi="Arial" w:cs="Arial"/>
          <w:b/>
          <w:i w:val="0"/>
          <w:color w:val="1B3A5C"/>
          <w:sz w:val="18"/>
        </w:rPr>
        <w:t>Sample payload: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5F7FA"/>
            <w:tcBorders>
              <w:top w:val="single" w:sz="4" w:color="DDE2E8"/>
              <w:left w:val="single" w:sz="4" w:color="DDE2E8"/>
              <w:bottom w:val="single" w:sz="4" w:color="DDE2E8"/>
              <w:right w:val="single" w:sz="4" w:color="DDE2E8"/>
            </w:tcBorders>
          </w:tcPr>
          <w:p>
            <w:pPr>
              <w:spacing w:after="0"/>
            </w:pPr>
            <w:r/>
            <w:r>
              <w:rPr>
                <w:rFonts w:ascii="Consolas" w:hAnsi="Consolas" w:cs="Consolas"/>
                <w:b w:val="0"/>
                <w:i w:val="0"/>
                <w:color w:val="2C3E50"/>
                <w:sz w:val="17"/>
              </w:rPr>
              <w:t>{"investor_id":"INV-9876","policy_number":"20356001","premiumAmount":12500,"dueDate":"2026-06-01","stage":"7d"}</w:t>
            </w:r>
          </w:p>
        </w:tc>
      </w:tr>
    </w:tbl>
    <w:p>
      <w:pPr>
        <w:spacing w:after="40" w:line="300" w:lineRule="auto"/>
        <w:jc w:val="left"/>
      </w:pPr>
    </w:p>
    <w:p>
      <w:pPr>
        <w:spacing w:after="40" w:line="300" w:lineRule="auto"/>
        <w:jc w:val="left"/>
      </w:pPr>
    </w:p>
    <w:p>
      <w:pPr>
        <w:spacing w:after="40" w:line="300" w:lineRule="auto"/>
        <w:jc w:val="left"/>
      </w:pPr>
      <w:r>
        <w:rPr>
          <w:rFonts w:ascii="Arial" w:hAnsi="Arial" w:cs="Arial"/>
          <w:b/>
          <w:i/>
          <w:color w:val="2E75B6"/>
          <w:sz w:val="22"/>
        </w:rPr>
        <w:t xml:space="preserve">  inv-09-premium-payment-confirmation</w:t>
      </w:r>
    </w:p>
    <w:p>
      <w:pPr>
        <w:spacing w:after="80" w:line="300" w:lineRule="auto"/>
        <w:jc w:val="left"/>
      </w:pPr>
      <w:r>
        <w:rPr>
          <w:rFonts w:ascii="Arial" w:hAnsi="Arial" w:cs="Arial"/>
          <w:b w:val="0"/>
          <w:i/>
          <w:color w:val="7F8C8D"/>
          <w:sz w:val="19"/>
        </w:rPr>
        <w:t>Payment receipt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592"/>
        <w:gridCol w:w="3600"/>
        <w:gridCol w:w="3168"/>
      </w:tblGrid>
      <w:tr>
        <w:tc>
          <w:tcPr>
            <w:tcW w:type="dxa" w:w="2592"/>
            <w:shd w:val="clear" w:color="auto" w:fill="FFFFFF"/>
            <w:tcBorders>
              <w:top w:val="single" w:sz="8" w:color="2C3E50"/>
              <w:left w:val="single" w:sz="8" w:color="2C3E50"/>
              <w:bottom w:val="single" w:sz="8" w:color="2C3E50"/>
              <w:right w:val="single" w:sz="8" w:color="2C3E5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/>
                <w:i w:val="0"/>
                <w:color w:val="2C3E50"/>
                <w:sz w:val="17"/>
              </w:rPr>
              <w:t>Field</w:t>
            </w:r>
          </w:p>
        </w:tc>
        <w:tc>
          <w:tcPr>
            <w:tcW w:type="dxa" w:w="3600"/>
            <w:shd w:val="clear" w:color="auto" w:fill="FFFFFF"/>
            <w:tcBorders>
              <w:top w:val="single" w:sz="8" w:color="2C3E50"/>
              <w:left w:val="single" w:sz="8" w:color="2C3E50"/>
              <w:bottom w:val="single" w:sz="8" w:color="2C3E50"/>
              <w:right w:val="single" w:sz="8" w:color="2C3E5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/>
                <w:i w:val="0"/>
                <w:color w:val="2C3E50"/>
                <w:sz w:val="17"/>
              </w:rPr>
              <w:t>Type</w:t>
            </w:r>
          </w:p>
        </w:tc>
        <w:tc>
          <w:tcPr>
            <w:tcW w:type="dxa" w:w="3168"/>
            <w:shd w:val="clear" w:color="auto" w:fill="FFFFFF"/>
            <w:tcBorders>
              <w:top w:val="single" w:sz="8" w:color="2C3E50"/>
              <w:left w:val="single" w:sz="8" w:color="2C3E50"/>
              <w:bottom w:val="single" w:sz="8" w:color="2C3E50"/>
              <w:right w:val="single" w:sz="8" w:color="2C3E5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/>
                <w:i w:val="0"/>
                <w:color w:val="2C3E50"/>
                <w:sz w:val="17"/>
              </w:rPr>
              <w:t>Required?</w:t>
            </w:r>
          </w:p>
        </w:tc>
      </w:tr>
      <w:tr>
        <w:tc>
          <w:tcPr>
            <w:tcW w:type="dxa" w:w="2592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investor_id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string</w:t>
            </w:r>
          </w:p>
        </w:tc>
        <w:tc>
          <w:tcPr>
            <w:tcW w:type="dxa" w:w="3168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Required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policy_number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string</w:t>
            </w:r>
          </w:p>
        </w:tc>
        <w:tc>
          <w:tcPr>
            <w:tcW w:type="dxa" w:w="31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Required</w:t>
            </w:r>
          </w:p>
        </w:tc>
      </w:tr>
      <w:tr>
        <w:tc>
          <w:tcPr>
            <w:tcW w:type="dxa" w:w="2592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amount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number</w:t>
            </w:r>
          </w:p>
        </w:tc>
        <w:tc>
          <w:tcPr>
            <w:tcW w:type="dxa" w:w="3168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Required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paidAt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ISO date</w:t>
            </w:r>
          </w:p>
        </w:tc>
        <w:tc>
          <w:tcPr>
            <w:tcW w:type="dxa" w:w="31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Optional</w:t>
            </w:r>
          </w:p>
        </w:tc>
      </w:tr>
    </w:tbl>
    <w:p>
      <w:pPr>
        <w:spacing w:after="40" w:line="300" w:lineRule="auto"/>
        <w:jc w:val="left"/>
      </w:pPr>
      <w:r>
        <w:rPr>
          <w:rFonts w:ascii="Arial" w:hAnsi="Arial" w:cs="Arial"/>
          <w:b/>
          <w:i w:val="0"/>
          <w:color w:val="1B3A5C"/>
          <w:sz w:val="18"/>
        </w:rPr>
        <w:t>Sample payload: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5F7FA"/>
            <w:tcBorders>
              <w:top w:val="single" w:sz="4" w:color="DDE2E8"/>
              <w:left w:val="single" w:sz="4" w:color="DDE2E8"/>
              <w:bottom w:val="single" w:sz="4" w:color="DDE2E8"/>
              <w:right w:val="single" w:sz="4" w:color="DDE2E8"/>
            </w:tcBorders>
          </w:tcPr>
          <w:p>
            <w:pPr>
              <w:spacing w:after="0"/>
            </w:pPr>
            <w:r/>
            <w:r>
              <w:rPr>
                <w:rFonts w:ascii="Consolas" w:hAnsi="Consolas" w:cs="Consolas"/>
                <w:b w:val="0"/>
                <w:i w:val="0"/>
                <w:color w:val="2C3E50"/>
                <w:sz w:val="17"/>
              </w:rPr>
              <w:t>{"investor_id":"INV-9876","policy_number":"20356001","amount":12500}</w:t>
            </w:r>
          </w:p>
        </w:tc>
      </w:tr>
    </w:tbl>
    <w:p>
      <w:pPr>
        <w:spacing w:after="40" w:line="300" w:lineRule="auto"/>
        <w:jc w:val="left"/>
      </w:pPr>
    </w:p>
    <w:p>
      <w:pPr>
        <w:spacing w:after="40" w:line="300" w:lineRule="auto"/>
        <w:jc w:val="left"/>
      </w:pPr>
    </w:p>
    <w:p>
      <w:pPr>
        <w:spacing w:after="40" w:line="300" w:lineRule="auto"/>
        <w:jc w:val="left"/>
      </w:pPr>
      <w:r>
        <w:rPr>
          <w:rFonts w:ascii="Arial" w:hAnsi="Arial" w:cs="Arial"/>
          <w:b/>
          <w:i/>
          <w:color w:val="2E75B6"/>
          <w:sz w:val="22"/>
        </w:rPr>
        <w:t xml:space="preserve">  inv-11-maturity-reminder</w:t>
      </w:r>
    </w:p>
    <w:p>
      <w:pPr>
        <w:spacing w:after="80" w:line="300" w:lineRule="auto"/>
        <w:jc w:val="left"/>
      </w:pPr>
      <w:r>
        <w:rPr>
          <w:rFonts w:ascii="Arial" w:hAnsi="Arial" w:cs="Arial"/>
          <w:b w:val="0"/>
          <w:i/>
          <w:color w:val="7F8C8D"/>
          <w:sz w:val="19"/>
        </w:rPr>
        <w:t>Maturity-approaching cadence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592"/>
        <w:gridCol w:w="3600"/>
        <w:gridCol w:w="3168"/>
      </w:tblGrid>
      <w:tr>
        <w:tc>
          <w:tcPr>
            <w:tcW w:type="dxa" w:w="2592"/>
            <w:shd w:val="clear" w:color="auto" w:fill="FFFFFF"/>
            <w:tcBorders>
              <w:top w:val="single" w:sz="8" w:color="2C3E50"/>
              <w:left w:val="single" w:sz="8" w:color="2C3E50"/>
              <w:bottom w:val="single" w:sz="8" w:color="2C3E50"/>
              <w:right w:val="single" w:sz="8" w:color="2C3E5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/>
                <w:i w:val="0"/>
                <w:color w:val="2C3E50"/>
                <w:sz w:val="17"/>
              </w:rPr>
              <w:t>Field</w:t>
            </w:r>
          </w:p>
        </w:tc>
        <w:tc>
          <w:tcPr>
            <w:tcW w:type="dxa" w:w="3600"/>
            <w:shd w:val="clear" w:color="auto" w:fill="FFFFFF"/>
            <w:tcBorders>
              <w:top w:val="single" w:sz="8" w:color="2C3E50"/>
              <w:left w:val="single" w:sz="8" w:color="2C3E50"/>
              <w:bottom w:val="single" w:sz="8" w:color="2C3E50"/>
              <w:right w:val="single" w:sz="8" w:color="2C3E5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/>
                <w:i w:val="0"/>
                <w:color w:val="2C3E50"/>
                <w:sz w:val="17"/>
              </w:rPr>
              <w:t>Type</w:t>
            </w:r>
          </w:p>
        </w:tc>
        <w:tc>
          <w:tcPr>
            <w:tcW w:type="dxa" w:w="3168"/>
            <w:shd w:val="clear" w:color="auto" w:fill="FFFFFF"/>
            <w:tcBorders>
              <w:top w:val="single" w:sz="8" w:color="2C3E50"/>
              <w:left w:val="single" w:sz="8" w:color="2C3E50"/>
              <w:bottom w:val="single" w:sz="8" w:color="2C3E50"/>
              <w:right w:val="single" w:sz="8" w:color="2C3E5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/>
                <w:i w:val="0"/>
                <w:color w:val="2C3E50"/>
                <w:sz w:val="17"/>
              </w:rPr>
              <w:t>Required?</w:t>
            </w:r>
          </w:p>
        </w:tc>
      </w:tr>
      <w:tr>
        <w:tc>
          <w:tcPr>
            <w:tcW w:type="dxa" w:w="2592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investor_id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string</w:t>
            </w:r>
          </w:p>
        </w:tc>
        <w:tc>
          <w:tcPr>
            <w:tcW w:type="dxa" w:w="3168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Required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policy_number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string</w:t>
            </w:r>
          </w:p>
        </w:tc>
        <w:tc>
          <w:tcPr>
            <w:tcW w:type="dxa" w:w="31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Required</w:t>
            </w:r>
          </w:p>
        </w:tc>
      </w:tr>
      <w:tr>
        <w:tc>
          <w:tcPr>
            <w:tcW w:type="dxa" w:w="2592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maturityDate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ISO date</w:t>
            </w:r>
          </w:p>
        </w:tc>
        <w:tc>
          <w:tcPr>
            <w:tcW w:type="dxa" w:w="3168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Required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stage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enum: 90d | 30d | 7d | due | post</w:t>
            </w:r>
          </w:p>
        </w:tc>
        <w:tc>
          <w:tcPr>
            <w:tcW w:type="dxa" w:w="31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Required</w:t>
            </w:r>
          </w:p>
        </w:tc>
      </w:tr>
    </w:tbl>
    <w:p>
      <w:pPr>
        <w:spacing w:after="40" w:line="300" w:lineRule="auto"/>
        <w:jc w:val="left"/>
      </w:pPr>
      <w:r>
        <w:rPr>
          <w:rFonts w:ascii="Arial" w:hAnsi="Arial" w:cs="Arial"/>
          <w:b/>
          <w:i w:val="0"/>
          <w:color w:val="1B3A5C"/>
          <w:sz w:val="18"/>
        </w:rPr>
        <w:t>Sample payload: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5F7FA"/>
            <w:tcBorders>
              <w:top w:val="single" w:sz="4" w:color="DDE2E8"/>
              <w:left w:val="single" w:sz="4" w:color="DDE2E8"/>
              <w:bottom w:val="single" w:sz="4" w:color="DDE2E8"/>
              <w:right w:val="single" w:sz="4" w:color="DDE2E8"/>
            </w:tcBorders>
          </w:tcPr>
          <w:p>
            <w:pPr>
              <w:spacing w:after="0"/>
            </w:pPr>
            <w:r/>
            <w:r>
              <w:rPr>
                <w:rFonts w:ascii="Consolas" w:hAnsi="Consolas" w:cs="Consolas"/>
                <w:b w:val="0"/>
                <w:i w:val="0"/>
                <w:color w:val="2C3E50"/>
                <w:sz w:val="17"/>
              </w:rPr>
              <w:t>{"investor_id":"INV-9876","policy_number":"20356001","maturityDate":"2026-08-01","stage":"30d"}</w:t>
            </w:r>
          </w:p>
        </w:tc>
      </w:tr>
    </w:tbl>
    <w:p>
      <w:pPr>
        <w:spacing w:after="40" w:line="300" w:lineRule="auto"/>
        <w:jc w:val="left"/>
      </w:pPr>
    </w:p>
    <w:p>
      <w:pPr>
        <w:spacing w:after="40" w:line="300" w:lineRule="auto"/>
        <w:jc w:val="left"/>
      </w:pPr>
    </w:p>
    <w:p>
      <w:pPr>
        <w:spacing w:after="40" w:line="300" w:lineRule="auto"/>
        <w:jc w:val="left"/>
      </w:pPr>
      <w:r>
        <w:rPr>
          <w:rFonts w:ascii="Arial" w:hAnsi="Arial" w:cs="Arial"/>
          <w:b/>
          <w:i/>
          <w:color w:val="2E75B6"/>
          <w:sz w:val="22"/>
        </w:rPr>
        <w:t xml:space="preserve">  inv-12-maturity-received</w:t>
      </w:r>
    </w:p>
    <w:p>
      <w:pPr>
        <w:spacing w:after="80" w:line="300" w:lineRule="auto"/>
        <w:jc w:val="left"/>
      </w:pPr>
      <w:r>
        <w:rPr>
          <w:rFonts w:ascii="Arial" w:hAnsi="Arial" w:cs="Arial"/>
          <w:b w:val="0"/>
          <w:i/>
          <w:color w:val="7F8C8D"/>
          <w:sz w:val="19"/>
        </w:rPr>
        <w:t>Maturity payout receipt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592"/>
        <w:gridCol w:w="3600"/>
        <w:gridCol w:w="3168"/>
      </w:tblGrid>
      <w:tr>
        <w:tc>
          <w:tcPr>
            <w:tcW w:type="dxa" w:w="2592"/>
            <w:shd w:val="clear" w:color="auto" w:fill="FFFFFF"/>
            <w:tcBorders>
              <w:top w:val="single" w:sz="8" w:color="2C3E50"/>
              <w:left w:val="single" w:sz="8" w:color="2C3E50"/>
              <w:bottom w:val="single" w:sz="8" w:color="2C3E50"/>
              <w:right w:val="single" w:sz="8" w:color="2C3E5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/>
                <w:i w:val="0"/>
                <w:color w:val="2C3E50"/>
                <w:sz w:val="17"/>
              </w:rPr>
              <w:t>Field</w:t>
            </w:r>
          </w:p>
        </w:tc>
        <w:tc>
          <w:tcPr>
            <w:tcW w:type="dxa" w:w="3600"/>
            <w:shd w:val="clear" w:color="auto" w:fill="FFFFFF"/>
            <w:tcBorders>
              <w:top w:val="single" w:sz="8" w:color="2C3E50"/>
              <w:left w:val="single" w:sz="8" w:color="2C3E50"/>
              <w:bottom w:val="single" w:sz="8" w:color="2C3E50"/>
              <w:right w:val="single" w:sz="8" w:color="2C3E5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/>
                <w:i w:val="0"/>
                <w:color w:val="2C3E50"/>
                <w:sz w:val="17"/>
              </w:rPr>
              <w:t>Type</w:t>
            </w:r>
          </w:p>
        </w:tc>
        <w:tc>
          <w:tcPr>
            <w:tcW w:type="dxa" w:w="3168"/>
            <w:shd w:val="clear" w:color="auto" w:fill="FFFFFF"/>
            <w:tcBorders>
              <w:top w:val="single" w:sz="8" w:color="2C3E50"/>
              <w:left w:val="single" w:sz="8" w:color="2C3E50"/>
              <w:bottom w:val="single" w:sz="8" w:color="2C3E50"/>
              <w:right w:val="single" w:sz="8" w:color="2C3E5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/>
                <w:i w:val="0"/>
                <w:color w:val="2C3E50"/>
                <w:sz w:val="17"/>
              </w:rPr>
              <w:t>Required?</w:t>
            </w:r>
          </w:p>
        </w:tc>
      </w:tr>
      <w:tr>
        <w:tc>
          <w:tcPr>
            <w:tcW w:type="dxa" w:w="2592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investor_id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string</w:t>
            </w:r>
          </w:p>
        </w:tc>
        <w:tc>
          <w:tcPr>
            <w:tcW w:type="dxa" w:w="3168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Required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policy_number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string</w:t>
            </w:r>
          </w:p>
        </w:tc>
        <w:tc>
          <w:tcPr>
            <w:tcW w:type="dxa" w:w="31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Required</w:t>
            </w:r>
          </w:p>
        </w:tc>
      </w:tr>
      <w:tr>
        <w:tc>
          <w:tcPr>
            <w:tcW w:type="dxa" w:w="2592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payoutAmount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number</w:t>
            </w:r>
          </w:p>
        </w:tc>
        <w:tc>
          <w:tcPr>
            <w:tcW w:type="dxa" w:w="3168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Required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paidAt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ISO date</w:t>
            </w:r>
          </w:p>
        </w:tc>
        <w:tc>
          <w:tcPr>
            <w:tcW w:type="dxa" w:w="31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Optional</w:t>
            </w:r>
          </w:p>
        </w:tc>
      </w:tr>
    </w:tbl>
    <w:p>
      <w:pPr>
        <w:spacing w:after="40" w:line="300" w:lineRule="auto"/>
        <w:jc w:val="left"/>
      </w:pPr>
      <w:r>
        <w:rPr>
          <w:rFonts w:ascii="Arial" w:hAnsi="Arial" w:cs="Arial"/>
          <w:b/>
          <w:i w:val="0"/>
          <w:color w:val="1B3A5C"/>
          <w:sz w:val="18"/>
        </w:rPr>
        <w:t>Sample payload: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5F7FA"/>
            <w:tcBorders>
              <w:top w:val="single" w:sz="4" w:color="DDE2E8"/>
              <w:left w:val="single" w:sz="4" w:color="DDE2E8"/>
              <w:bottom w:val="single" w:sz="4" w:color="DDE2E8"/>
              <w:right w:val="single" w:sz="4" w:color="DDE2E8"/>
            </w:tcBorders>
          </w:tcPr>
          <w:p>
            <w:pPr>
              <w:spacing w:after="0"/>
            </w:pPr>
            <w:r/>
            <w:r>
              <w:rPr>
                <w:rFonts w:ascii="Consolas" w:hAnsi="Consolas" w:cs="Consolas"/>
                <w:b w:val="0"/>
                <w:i w:val="0"/>
                <w:color w:val="2C3E50"/>
                <w:sz w:val="17"/>
              </w:rPr>
              <w:t>{"investor_id":"INV-9876","policy_number":"20356001","payoutAmount":250000}</w:t>
            </w:r>
          </w:p>
        </w:tc>
      </w:tr>
    </w:tbl>
    <w:p>
      <w:pPr>
        <w:spacing w:after="40" w:line="300" w:lineRule="auto"/>
        <w:jc w:val="left"/>
      </w:pPr>
    </w:p>
    <w:p>
      <w:pPr>
        <w:spacing w:after="40" w:line="300" w:lineRule="auto"/>
        <w:jc w:val="left"/>
      </w:pPr>
    </w:p>
    <w:p>
      <w:pPr>
        <w:spacing w:after="0"/>
      </w:pPr>
    </w:p>
    <w:p>
      <w:pPr>
        <w:spacing w:before="160" w:after="40"/>
      </w:pPr>
      <w:r>
        <w:rPr>
          <w:rFonts w:ascii="Arial" w:hAnsi="Arial" w:cs="Arial"/>
          <w:b/>
          <w:i w:val="0"/>
          <w:color w:val="2C3E50"/>
          <w:sz w:val="28"/>
        </w:rPr>
        <w:t>11.  Common Operator Scenarios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rHeight w:val="20" w:hRule="exact"/>
        </w:trPr>
        <w:tc>
          <w:tcPr>
            <w:tcW w:type="dxa" w:w="9360"/>
            <w:shd w:val="clear" w:color="auto" w:fill="2C3E50"/>
          </w:tcPr>
          <w:p>
            <w:pPr>
              <w:spacing w:before="0" w:after="0"/>
            </w:pPr>
            <w:r/>
          </w:p>
        </w:tc>
      </w:tr>
    </w:tbl>
    <w:p>
      <w:pPr>
        <w:spacing w:after="80"/>
      </w:pPr>
    </w:p>
    <w:p>
      <w:pPr>
        <w:spacing w:after="160" w:line="300" w:lineRule="auto"/>
        <w:jc w:val="left"/>
      </w:pPr>
      <w:r>
        <w:rPr>
          <w:rFonts w:ascii="Arial" w:hAnsi="Arial" w:cs="Arial"/>
          <w:b w:val="0"/>
          <w:i w:val="0"/>
          <w:color w:val="2C3E50"/>
          <w:sz w:val="20"/>
        </w:rPr>
        <w:t>Real-world tasks — what to click for each.</w:t>
      </w:r>
    </w:p>
    <w:p>
      <w:pPr>
        <w:spacing w:before="80" w:after="40"/>
      </w:pPr>
      <w:r>
        <w:rPr>
          <w:rFonts w:ascii="Arial" w:hAnsi="Arial" w:cs="Arial"/>
          <w:b/>
          <w:i w:val="0"/>
          <w:color w:val="1B3A5C"/>
          <w:sz w:val="24"/>
        </w:rPr>
        <w:t>11.1  Send a one-off OTP to a new policyholder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Subscribers tab → Add Subscriber (subscriberId, phone with country code)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Workflows tab → ph-02-registration → Trigger Workflow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Subscriber ID + payload {"otp":"&lt;6 digits&gt;"} → Run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Activity Feed → confirm transactionId completed; phone receives SMS+WA</w:t>
      </w:r>
    </w:p>
    <w:p>
      <w:pPr>
        <w:spacing w:before="80" w:after="40"/>
      </w:pPr>
      <w:r>
        <w:rPr>
          <w:rFonts w:ascii="Arial" w:hAnsi="Arial" w:cs="Arial"/>
          <w:b/>
          <w:i w:val="0"/>
          <w:color w:val="1B3A5C"/>
          <w:sz w:val="24"/>
        </w:rPr>
        <w:t>11.2  Fire premium-due reminders to a list of investors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Topics tab → Create topic 'premium-due-this-week'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Add subscribers (your investor list)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Workflows tab → inv-08-premium-due → Trigger Workflow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To: Topic premium-due-this-week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Payload (per-subscriber values won't vary in this approach — for that, see §11.3)</w:t>
      </w:r>
    </w:p>
    <w:p>
      <w:pPr>
        <w:spacing w:after="80" w:line="300" w:lineRule="auto"/>
        <w:jc w:val="left"/>
      </w:pP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8E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Arial" w:hAnsi="Arial" w:cs="Arial"/>
                <w:b/>
                <w:i w:val="0"/>
                <w:color w:val="E67E22"/>
                <w:sz w:val="20"/>
              </w:rPr>
              <w:t>When per-subscriber payload differs</w:t>
            </w:r>
          </w:p>
          <w:p>
            <w:r>
              <w:rPr>
                <w:rFonts w:ascii="Arial" w:hAnsi="Arial" w:cs="Arial"/>
                <w:b w:val="0"/>
                <w:i w:val="0"/>
                <w:color w:val="2C3E50"/>
                <w:sz w:val="19"/>
              </w:rPr>
              <w:t>Topics broadcast the SAME payload to all members. If each investor needs different premiumAmount/dueDate, you can't use a Topic — you need a loop. That requires Engineering to write a one-off script (or revive the campaign builder if rolled back).</w:t>
            </w:r>
          </w:p>
        </w:tc>
      </w:tr>
    </w:tbl>
    <w:p>
      <w:pPr>
        <w:spacing w:after="40" w:line="300" w:lineRule="auto"/>
        <w:jc w:val="left"/>
      </w:pPr>
    </w:p>
    <w:p>
      <w:pPr>
        <w:spacing w:before="80" w:after="40"/>
      </w:pPr>
      <w:r>
        <w:rPr>
          <w:rFonts w:ascii="Arial" w:hAnsi="Arial" w:cs="Arial"/>
          <w:b/>
          <w:i w:val="0"/>
          <w:color w:val="1B3A5C"/>
          <w:sz w:val="24"/>
        </w:rPr>
        <w:t>11.3  Verify a customer received an OTP they're claiming didn't arrive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Activity Feed → search by subscriber ID OR by phone number (data filter)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Find the most recent ph-02-registration trigger for that subscriber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Click into it → check SMS step status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If 'Completed' → message was accepted by MSG91; verify with Engineering's Bridge log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If 'Failed' → click the step → see the failure reason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If no recent trigger at all → the upstream system (registration service) didn't fire it</w:t>
      </w:r>
    </w:p>
    <w:p>
      <w:pPr>
        <w:spacing w:before="80" w:after="40"/>
      </w:pPr>
      <w:r>
        <w:rPr>
          <w:rFonts w:ascii="Arial" w:hAnsi="Arial" w:cs="Arial"/>
          <w:b/>
          <w:i w:val="0"/>
          <w:color w:val="1B3A5C"/>
          <w:sz w:val="24"/>
        </w:rPr>
        <w:t>11.4  A workflow keeps failing — how to diagnose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456"/>
        <w:gridCol w:w="3168"/>
        <w:gridCol w:w="2736"/>
      </w:tblGrid>
      <w:tr>
        <w:tc>
          <w:tcPr>
            <w:tcW w:type="dxa" w:w="3456"/>
            <w:shd w:val="clear" w:color="auto" w:fill="FFFFFF"/>
            <w:tcBorders>
              <w:top w:val="single" w:sz="8" w:color="2C3E50"/>
              <w:left w:val="single" w:sz="8" w:color="2C3E50"/>
              <w:bottom w:val="single" w:sz="8" w:color="2C3E50"/>
              <w:right w:val="single" w:sz="8" w:color="2C3E5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/>
                <w:i w:val="0"/>
                <w:color w:val="2C3E50"/>
                <w:sz w:val="16"/>
              </w:rPr>
              <w:t>Symptom</w:t>
            </w:r>
          </w:p>
        </w:tc>
        <w:tc>
          <w:tcPr>
            <w:tcW w:type="dxa" w:w="3168"/>
            <w:shd w:val="clear" w:color="auto" w:fill="FFFFFF"/>
            <w:tcBorders>
              <w:top w:val="single" w:sz="8" w:color="2C3E50"/>
              <w:left w:val="single" w:sz="8" w:color="2C3E50"/>
              <w:bottom w:val="single" w:sz="8" w:color="2C3E50"/>
              <w:right w:val="single" w:sz="8" w:color="2C3E5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/>
                <w:i w:val="0"/>
                <w:color w:val="2C3E50"/>
                <w:sz w:val="16"/>
              </w:rPr>
              <w:t>Most likely cause</w:t>
            </w:r>
          </w:p>
        </w:tc>
        <w:tc>
          <w:tcPr>
            <w:tcW w:type="dxa" w:w="2736"/>
            <w:shd w:val="clear" w:color="auto" w:fill="FFFFFF"/>
            <w:tcBorders>
              <w:top w:val="single" w:sz="8" w:color="2C3E50"/>
              <w:left w:val="single" w:sz="8" w:color="2C3E50"/>
              <w:bottom w:val="single" w:sz="8" w:color="2C3E50"/>
              <w:right w:val="single" w:sz="8" w:color="2C3E5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/>
                <w:i w:val="0"/>
                <w:color w:val="2C3E50"/>
                <w:sz w:val="16"/>
              </w:rPr>
              <w:t>Action</w:t>
            </w:r>
          </w:p>
        </w:tc>
      </w:tr>
      <w:tr>
        <w:tc>
          <w:tcPr>
            <w:tcW w:type="dxa" w:w="3456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6"/>
              </w:rPr>
              <w:t>All steps say 'Failed: Bridge execution failed'</w:t>
            </w:r>
          </w:p>
        </w:tc>
        <w:tc>
          <w:tcPr>
            <w:tcW w:type="dxa" w:w="3168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6"/>
              </w:rPr>
              <w:t>Payload schema mismatch (3.x strict validation)</w:t>
            </w:r>
          </w:p>
        </w:tc>
        <w:tc>
          <w:tcPr>
            <w:tcW w:type="dxa" w:w="2736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6"/>
              </w:rPr>
              <w:t>Click step → read raw error → fix payload field name/type</w:t>
            </w:r>
          </w:p>
        </w:tc>
      </w:tr>
      <w:tr>
        <w:tc>
          <w:tcPr>
            <w:tcW w:type="dxa" w:w="345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6"/>
              </w:rPr>
              <w:t>SMS step says 'Skipped: channel disabled'</w:t>
            </w:r>
          </w:p>
        </w:tc>
        <w:tc>
          <w:tcPr>
            <w:tcW w:type="dxa" w:w="31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6"/>
              </w:rPr>
              <w:t>tpe_channel_gating doc has SMS off</w:t>
            </w:r>
          </w:p>
        </w:tc>
        <w:tc>
          <w:tcPr>
            <w:tcW w:type="dxa" w:w="273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6"/>
              </w:rPr>
              <w:t>Engineering re-seeds Mongo doc</w:t>
            </w:r>
          </w:p>
        </w:tc>
      </w:tr>
      <w:tr>
        <w:tc>
          <w:tcPr>
            <w:tcW w:type="dxa" w:w="3456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6"/>
              </w:rPr>
              <w:t>SMS step 'Completed' but no SMS arrives</w:t>
            </w:r>
          </w:p>
        </w:tc>
        <w:tc>
          <w:tcPr>
            <w:tcW w:type="dxa" w:w="3168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6"/>
              </w:rPr>
              <w:t>MSG91 accepted but DLT template rejected by carrier</w:t>
            </w:r>
          </w:p>
        </w:tc>
        <w:tc>
          <w:tcPr>
            <w:tcW w:type="dxa" w:w="2736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6"/>
              </w:rPr>
              <w:t>Engineering pulls Bridge audit log + MSG91 portal status</w:t>
            </w:r>
          </w:p>
        </w:tc>
      </w:tr>
      <w:tr>
        <w:tc>
          <w:tcPr>
            <w:tcW w:type="dxa" w:w="345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6"/>
              </w:rPr>
              <w:t>WhatsApp step 'Failed: templateName required'</w:t>
            </w:r>
          </w:p>
        </w:tc>
        <w:tc>
          <w:tcPr>
            <w:tcW w:type="dxa" w:w="31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6"/>
              </w:rPr>
              <w:t>ICPAAS_TEMPLATE_&lt;TRIGGER&gt;_WHATSAPP env not set</w:t>
            </w:r>
          </w:p>
        </w:tc>
        <w:tc>
          <w:tcPr>
            <w:tcW w:type="dxa" w:w="273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6"/>
              </w:rPr>
              <w:t>Engineering fixes Bridge .env; recreate next-bridge</w:t>
            </w:r>
          </w:p>
        </w:tc>
      </w:tr>
      <w:tr>
        <w:tc>
          <w:tcPr>
            <w:tcW w:type="dxa" w:w="3456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6"/>
              </w:rPr>
              <w:t>Workflow not found at all</w:t>
            </w:r>
          </w:p>
        </w:tc>
        <w:tc>
          <w:tcPr>
            <w:tcW w:type="dxa" w:w="3168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6"/>
              </w:rPr>
              <w:t>Sync didn't run after a deploy</w:t>
            </w:r>
          </w:p>
        </w:tc>
        <w:tc>
          <w:tcPr>
            <w:tcW w:type="dxa" w:w="2736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6"/>
              </w:rPr>
              <w:t>Engineering runs novu-ce-bridge-sync</w:t>
            </w:r>
          </w:p>
        </w:tc>
      </w:tr>
    </w:tbl>
    <w:p>
      <w:pPr>
        <w:spacing w:after="0"/>
      </w:pPr>
    </w:p>
    <w:p>
      <w:pPr>
        <w:spacing w:before="160" w:after="40"/>
      </w:pPr>
      <w:r>
        <w:rPr>
          <w:rFonts w:ascii="Arial" w:hAnsi="Arial" w:cs="Arial"/>
          <w:b/>
          <w:i w:val="0"/>
          <w:color w:val="2C3E50"/>
          <w:sz w:val="28"/>
        </w:rPr>
        <w:t>12.  Troubleshooting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rHeight w:val="20" w:hRule="exact"/>
        </w:trPr>
        <w:tc>
          <w:tcPr>
            <w:tcW w:type="dxa" w:w="9360"/>
            <w:shd w:val="clear" w:color="auto" w:fill="2C3E50"/>
          </w:tcPr>
          <w:p>
            <w:pPr>
              <w:spacing w:before="0" w:after="0"/>
            </w:pPr>
            <w:r/>
          </w:p>
        </w:tc>
      </w:tr>
    </w:tbl>
    <w:p>
      <w:pPr>
        <w:spacing w:after="80"/>
      </w:pPr>
    </w:p>
    <w:p>
      <w:pPr>
        <w:spacing w:after="160" w:line="300" w:lineRule="auto"/>
        <w:jc w:val="left"/>
      </w:pPr>
      <w:r>
        <w:rPr>
          <w:rFonts w:ascii="Arial" w:hAnsi="Arial" w:cs="Arial"/>
          <w:b w:val="0"/>
          <w:i w:val="0"/>
          <w:color w:val="2C3E50"/>
          <w:sz w:val="20"/>
        </w:rPr>
        <w:t>When something's wrong, work down this list in order. The fixes get progressively more engineering-heavy — start at the top and only escalate when the easier options don't apply.</w:t>
      </w:r>
    </w:p>
    <w:p>
      <w:pPr>
        <w:spacing w:before="80" w:after="40"/>
      </w:pPr>
      <w:r>
        <w:rPr>
          <w:rFonts w:ascii="Arial" w:hAnsi="Arial" w:cs="Arial"/>
          <w:b/>
          <w:i w:val="0"/>
          <w:color w:val="1B3A5C"/>
          <w:sz w:val="24"/>
        </w:rPr>
        <w:t>12.1  Operator-fixable issues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736"/>
        <w:gridCol w:w="2880"/>
        <w:gridCol w:w="3744"/>
      </w:tblGrid>
      <w:tr>
        <w:tc>
          <w:tcPr>
            <w:tcW w:type="dxa" w:w="2736"/>
            <w:shd w:val="clear" w:color="auto" w:fill="FFFFFF"/>
            <w:tcBorders>
              <w:top w:val="single" w:sz="8" w:color="2C3E50"/>
              <w:left w:val="single" w:sz="8" w:color="2C3E50"/>
              <w:bottom w:val="single" w:sz="8" w:color="2C3E50"/>
              <w:right w:val="single" w:sz="8" w:color="2C3E5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/>
                <w:i w:val="0"/>
                <w:color w:val="2C3E50"/>
                <w:sz w:val="17"/>
              </w:rPr>
              <w:t>Issue</w:t>
            </w:r>
          </w:p>
        </w:tc>
        <w:tc>
          <w:tcPr>
            <w:tcW w:type="dxa" w:w="2880"/>
            <w:shd w:val="clear" w:color="auto" w:fill="FFFFFF"/>
            <w:tcBorders>
              <w:top w:val="single" w:sz="8" w:color="2C3E50"/>
              <w:left w:val="single" w:sz="8" w:color="2C3E50"/>
              <w:bottom w:val="single" w:sz="8" w:color="2C3E50"/>
              <w:right w:val="single" w:sz="8" w:color="2C3E5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/>
                <w:i w:val="0"/>
                <w:color w:val="2C3E50"/>
                <w:sz w:val="17"/>
              </w:rPr>
              <w:t>Quick check</w:t>
            </w:r>
          </w:p>
        </w:tc>
        <w:tc>
          <w:tcPr>
            <w:tcW w:type="dxa" w:w="3744"/>
            <w:shd w:val="clear" w:color="auto" w:fill="FFFFFF"/>
            <w:tcBorders>
              <w:top w:val="single" w:sz="8" w:color="2C3E50"/>
              <w:left w:val="single" w:sz="8" w:color="2C3E50"/>
              <w:bottom w:val="single" w:sz="8" w:color="2C3E50"/>
              <w:right w:val="single" w:sz="8" w:color="2C3E5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/>
                <w:i w:val="0"/>
                <w:color w:val="2C3E50"/>
                <w:sz w:val="17"/>
              </w:rPr>
              <w:t>Fix</w:t>
            </w:r>
          </w:p>
        </w:tc>
      </w:tr>
      <w:tr>
        <w:tc>
          <w:tcPr>
            <w:tcW w:type="dxa" w:w="2736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Can't log in to dashboard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Try the credentials in §4.1 verbatim</w:t>
            </w:r>
          </w:p>
        </w:tc>
        <w:tc>
          <w:tcPr>
            <w:tcW w:type="dxa" w:w="3744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Caps lock off; if still failing, escalate to Engineering for password reset</w:t>
            </w:r>
          </w:p>
        </w:tc>
      </w:tr>
      <w:tr>
        <w:tc>
          <w:tcPr>
            <w:tcW w:type="dxa" w:w="273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Workflow not in the list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Filter is set or wrong env</w:t>
            </w:r>
          </w:p>
        </w:tc>
        <w:tc>
          <w:tcPr>
            <w:tcW w:type="dxa" w:w="374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Clear filters; check top-right env selector says 'Development'</w:t>
            </w:r>
          </w:p>
        </w:tc>
      </w:tr>
      <w:tr>
        <w:tc>
          <w:tcPr>
            <w:tcW w:type="dxa" w:w="2736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Subscriber not findable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Search box may be substring-strict</w:t>
            </w:r>
          </w:p>
        </w:tc>
        <w:tc>
          <w:tcPr>
            <w:tcW w:type="dxa" w:w="3744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Try partial ID; or filter by 'Has phone'</w:t>
            </w:r>
          </w:p>
        </w:tc>
      </w:tr>
      <w:tr>
        <w:tc>
          <w:tcPr>
            <w:tcW w:type="dxa" w:w="273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Trigger button greyed out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Workflow may be Inactive</w:t>
            </w:r>
          </w:p>
        </w:tc>
        <w:tc>
          <w:tcPr>
            <w:tcW w:type="dxa" w:w="374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Toggle Active in workflow settings (still no edit to steps possible)</w:t>
            </w:r>
          </w:p>
        </w:tc>
      </w:tr>
      <w:tr>
        <w:tc>
          <w:tcPr>
            <w:tcW w:type="dxa" w:w="2736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Trigger 400: Subscriber not found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subscriberId typed wrong</w:t>
            </w:r>
          </w:p>
        </w:tc>
        <w:tc>
          <w:tcPr>
            <w:tcW w:type="dxa" w:w="3744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Copy from Subscribers tab to avoid typos</w:t>
            </w:r>
          </w:p>
        </w:tc>
      </w:tr>
    </w:tbl>
    <w:p>
      <w:pPr>
        <w:spacing w:before="80" w:after="40"/>
      </w:pPr>
      <w:r>
        <w:rPr>
          <w:rFonts w:ascii="Arial" w:hAnsi="Arial" w:cs="Arial"/>
          <w:b/>
          <w:i w:val="0"/>
          <w:color w:val="1B3A5C"/>
          <w:sz w:val="24"/>
        </w:rPr>
        <w:t>12.2  Engineering-required issues</w:t>
      </w:r>
    </w:p>
    <w:p>
      <w:pPr>
        <w:spacing w:after="80" w:line="300" w:lineRule="auto"/>
        <w:jc w:val="left"/>
      </w:pPr>
      <w:r>
        <w:rPr>
          <w:rFonts w:ascii="Arial" w:hAnsi="Arial" w:cs="Arial"/>
          <w:b w:val="0"/>
          <w:i w:val="0"/>
          <w:color w:val="2C3E50"/>
          <w:sz w:val="20"/>
        </w:rPr>
        <w:t>Escalate any of the following to Engineering with the transactionId and screenshot: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All steps fail with 'Bridge execution failed' across multiple workflows (Bridge container down)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Sandbox dashboard returns 500/502 on basic page loads (API or worker down)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MSG91 SMS step shows 'Completed' but customer never receives (carrier issue or DLT rejection)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ICPaaS WhatsApp step 'Failed: templateName required' (env-var bug)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Activity Feed empty for triggers that you know fired (Mongo or worker issue)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Need to add a new workflow (always engineering — code-first rule)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Need a new MSG91 DLT template registered (compliance + engineering process)</w:t>
      </w:r>
    </w:p>
    <w:p>
      <w:pPr>
        <w:spacing w:before="80" w:after="40"/>
      </w:pPr>
      <w:r>
        <w:rPr>
          <w:rFonts w:ascii="Arial" w:hAnsi="Arial" w:cs="Arial"/>
          <w:b/>
          <w:i w:val="0"/>
          <w:color w:val="1B3A5C"/>
          <w:sz w:val="24"/>
        </w:rPr>
        <w:t>12.3  Escalation contacts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168"/>
        <w:gridCol w:w="2880"/>
        <w:gridCol w:w="3311"/>
      </w:tblGrid>
      <w:tr>
        <w:tc>
          <w:tcPr>
            <w:tcW w:type="dxa" w:w="3168"/>
            <w:shd w:val="clear" w:color="auto" w:fill="FFFFFF"/>
            <w:tcBorders>
              <w:top w:val="single" w:sz="8" w:color="2C3E50"/>
              <w:left w:val="single" w:sz="8" w:color="2C3E50"/>
              <w:bottom w:val="single" w:sz="8" w:color="2C3E50"/>
              <w:right w:val="single" w:sz="8" w:color="2C3E5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/>
                <w:i w:val="0"/>
                <w:color w:val="2C3E50"/>
                <w:sz w:val="18"/>
              </w:rPr>
              <w:t>Issue area</w:t>
            </w:r>
          </w:p>
        </w:tc>
        <w:tc>
          <w:tcPr>
            <w:tcW w:type="dxa" w:w="2880"/>
            <w:shd w:val="clear" w:color="auto" w:fill="FFFFFF"/>
            <w:tcBorders>
              <w:top w:val="single" w:sz="8" w:color="2C3E50"/>
              <w:left w:val="single" w:sz="8" w:color="2C3E50"/>
              <w:bottom w:val="single" w:sz="8" w:color="2C3E50"/>
              <w:right w:val="single" w:sz="8" w:color="2C3E5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/>
                <w:i w:val="0"/>
                <w:color w:val="2C3E50"/>
                <w:sz w:val="18"/>
              </w:rPr>
              <w:t>Owner</w:t>
            </w:r>
          </w:p>
        </w:tc>
        <w:tc>
          <w:tcPr>
            <w:tcW w:type="dxa" w:w="3311"/>
            <w:shd w:val="clear" w:color="auto" w:fill="FFFFFF"/>
            <w:tcBorders>
              <w:top w:val="single" w:sz="8" w:color="2C3E50"/>
              <w:left w:val="single" w:sz="8" w:color="2C3E50"/>
              <w:bottom w:val="single" w:sz="8" w:color="2C3E50"/>
              <w:right w:val="single" w:sz="8" w:color="2C3E5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/>
                <w:i w:val="0"/>
                <w:color w:val="2C3E50"/>
                <w:sz w:val="18"/>
              </w:rPr>
              <w:t>Channel</w:t>
            </w:r>
          </w:p>
        </w:tc>
      </w:tr>
      <w:tr>
        <w:tc>
          <w:tcPr>
            <w:tcW w:type="dxa" w:w="3168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Dashboard / triggers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Engineering Lead</w:t>
            </w:r>
          </w:p>
        </w:tc>
        <w:tc>
          <w:tcPr>
            <w:tcW w:type="dxa" w:w="3311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TBD per team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Compliance / DLT / DPDPA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Compliance Lead</w:t>
            </w:r>
          </w:p>
        </w:tc>
        <w:tc>
          <w:tcPr>
            <w:tcW w:type="dxa" w:w="331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TBD per team</w:t>
            </w:r>
          </w:p>
        </w:tc>
      </w:tr>
      <w:tr>
        <w:tc>
          <w:tcPr>
            <w:tcW w:type="dxa" w:w="3168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MSG91 + ICPaaS provider issues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Engineering + Vendor SLA</w:t>
            </w:r>
          </w:p>
        </w:tc>
        <w:tc>
          <w:tcPr>
            <w:tcW w:type="dxa" w:w="3311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TBD per team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Customer copy / language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CX Lead</w:t>
            </w:r>
          </w:p>
        </w:tc>
        <w:tc>
          <w:tcPr>
            <w:tcW w:type="dxa" w:w="3311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TBD per team</w:t>
            </w:r>
          </w:p>
        </w:tc>
      </w:tr>
      <w:tr>
        <w:tc>
          <w:tcPr>
            <w:tcW w:type="dxa" w:w="3168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Infrastructure / VPS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Infrastructure Lead</w:t>
            </w:r>
          </w:p>
        </w:tc>
        <w:tc>
          <w:tcPr>
            <w:tcW w:type="dxa" w:w="3311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TBD per team</w:t>
            </w:r>
          </w:p>
        </w:tc>
      </w:tr>
    </w:tbl>
    <w:p>
      <w:pPr>
        <w:spacing w:after="0"/>
      </w:pPr>
    </w:p>
    <w:p>
      <w:pPr>
        <w:spacing w:before="160" w:after="40"/>
      </w:pPr>
      <w:r>
        <w:rPr>
          <w:rFonts w:ascii="Arial" w:hAnsi="Arial" w:cs="Arial"/>
          <w:b/>
          <w:i w:val="0"/>
          <w:color w:val="2C3E50"/>
          <w:sz w:val="28"/>
        </w:rPr>
        <w:t>13.  Daily Operations Checklist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rHeight w:val="20" w:hRule="exact"/>
        </w:trPr>
        <w:tc>
          <w:tcPr>
            <w:tcW w:type="dxa" w:w="9360"/>
            <w:shd w:val="clear" w:color="auto" w:fill="2C3E50"/>
          </w:tcPr>
          <w:p>
            <w:pPr>
              <w:spacing w:before="0" w:after="0"/>
            </w:pPr>
            <w:r/>
          </w:p>
        </w:tc>
      </w:tr>
    </w:tbl>
    <w:p>
      <w:pPr>
        <w:spacing w:after="80"/>
      </w:pPr>
    </w:p>
    <w:p>
      <w:pPr>
        <w:spacing w:after="160" w:line="300" w:lineRule="auto"/>
        <w:jc w:val="left"/>
      </w:pPr>
      <w:r>
        <w:rPr>
          <w:rFonts w:ascii="Arial" w:hAnsi="Arial" w:cs="Arial"/>
          <w:b w:val="0"/>
          <w:i w:val="0"/>
          <w:color w:val="2C3E50"/>
          <w:sz w:val="20"/>
        </w:rPr>
        <w:t>What an operator should verify each morning before the day's notification work begins.</w:t>
      </w:r>
    </w:p>
    <w:p>
      <w:pPr>
        <w:spacing w:before="80" w:after="40"/>
      </w:pPr>
      <w:r>
        <w:rPr>
          <w:rFonts w:ascii="Arial" w:hAnsi="Arial" w:cs="Arial"/>
          <w:b/>
          <w:i w:val="0"/>
          <w:color w:val="1B3A5C"/>
          <w:sz w:val="24"/>
        </w:rPr>
        <w:t>13.1  Morning health check (5 min)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Open dashboard at http://103.138.96.180:8080 — should load within 3 sec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Click 'Workflows' — confirm 17+ workflows visible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Click 'Activity Feed' — confirm yesterday's last triggers all show 'Completed'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Trigger a test ph-02-registration to test-icpaas-sandbox-1 → confirm SMS + WA arrive</w:t>
      </w:r>
    </w:p>
    <w:p>
      <w:pPr>
        <w:spacing w:before="80" w:after="40"/>
      </w:pPr>
      <w:r>
        <w:rPr>
          <w:rFonts w:ascii="Arial" w:hAnsi="Arial" w:cs="Arial"/>
          <w:b/>
          <w:i w:val="0"/>
          <w:color w:val="1B3A5C"/>
          <w:sz w:val="24"/>
        </w:rPr>
        <w:t>13.2  End-of-day verification (3 min)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Activity Feed → filter today → count 'Completed' vs 'Failed'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Failed &gt; 5% of total → escalate to Engineering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Note any new transactionIds in your daily log</w:t>
      </w:r>
    </w:p>
    <w:p>
      <w:pPr>
        <w:spacing w:before="80" w:after="40"/>
      </w:pPr>
      <w:r>
        <w:rPr>
          <w:rFonts w:ascii="Arial" w:hAnsi="Arial" w:cs="Arial"/>
          <w:b/>
          <w:i w:val="0"/>
          <w:color w:val="1B3A5C"/>
          <w:sz w:val="24"/>
        </w:rPr>
        <w:t>13.3  Weekly review (15 min, Mondays)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Review previous week's failure rate per workflow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Cross-check with MSG91 portal delivery reports for SMS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Cross-check ICPaaS dashboard for WhatsApp delivery (read receipts)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Surface anomalies to Engineering + CX standup</w:t>
      </w:r>
    </w:p>
    <w:p>
      <w:pPr>
        <w:spacing w:after="0"/>
      </w:pPr>
    </w:p>
    <w:p>
      <w:pPr>
        <w:spacing w:before="160" w:after="40"/>
      </w:pPr>
      <w:r>
        <w:rPr>
          <w:rFonts w:ascii="Arial" w:hAnsi="Arial" w:cs="Arial"/>
          <w:b/>
          <w:i w:val="0"/>
          <w:color w:val="2C3E50"/>
          <w:sz w:val="28"/>
        </w:rPr>
        <w:t>14.  Glossary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rHeight w:val="20" w:hRule="exact"/>
        </w:trPr>
        <w:tc>
          <w:tcPr>
            <w:tcW w:type="dxa" w:w="9360"/>
            <w:shd w:val="clear" w:color="auto" w:fill="2C3E50"/>
          </w:tcPr>
          <w:p>
            <w:pPr>
              <w:spacing w:before="0" w:after="0"/>
            </w:pPr>
            <w:r/>
          </w:p>
        </w:tc>
      </w:tr>
    </w:tbl>
    <w:p>
      <w:pPr>
        <w:spacing w:after="80"/>
      </w:pPr>
    </w:p>
    <w:p>
      <w:pPr>
        <w:spacing w:after="40" w:line="300" w:lineRule="auto"/>
        <w:jc w:val="left"/>
      </w:pPr>
      <w:r>
        <w:rPr>
          <w:rFonts w:ascii="Arial" w:hAnsi="Arial" w:cs="Arial"/>
          <w:b/>
          <w:i w:val="0"/>
          <w:color w:val="1B3A5C"/>
          <w:sz w:val="20"/>
        </w:rPr>
        <w:t>Bridge</w:t>
      </w:r>
    </w:p>
    <w:p>
      <w:pPr>
        <w:spacing w:after="120" w:line="300" w:lineRule="auto"/>
        <w:jc w:val="left"/>
      </w:pPr>
      <w:r>
        <w:rPr>
          <w:rFonts w:ascii="Arial" w:hAnsi="Arial" w:cs="Arial"/>
          <w:b w:val="0"/>
          <w:i w:val="0"/>
          <w:color w:val="2C3E50"/>
          <w:sz w:val="19"/>
        </w:rPr>
        <w:t>Custom Next.js HTTP server we wrote. Holds the 17 workflow definitions in TypeScript code and dispatches to MSG91/ICPaaS. Novu's worker calls Bridge over HTTP; Bridge calls providers.</w:t>
      </w:r>
    </w:p>
    <w:p>
      <w:pPr>
        <w:spacing w:after="40" w:line="300" w:lineRule="auto"/>
        <w:jc w:val="left"/>
      </w:pPr>
      <w:r>
        <w:rPr>
          <w:rFonts w:ascii="Arial" w:hAnsi="Arial" w:cs="Arial"/>
          <w:b/>
          <w:i w:val="0"/>
          <w:color w:val="1B3A5C"/>
          <w:sz w:val="20"/>
        </w:rPr>
        <w:t>Charter §4.3</w:t>
      </w:r>
    </w:p>
    <w:p>
      <w:pPr>
        <w:spacing w:after="120" w:line="300" w:lineRule="auto"/>
        <w:jc w:val="left"/>
      </w:pPr>
      <w:r>
        <w:rPr>
          <w:rFonts w:ascii="Arial" w:hAnsi="Arial" w:cs="Arial"/>
          <w:b w:val="0"/>
          <w:i w:val="0"/>
          <w:color w:val="2C3E50"/>
          <w:sz w:val="19"/>
        </w:rPr>
        <w:t>Section of the TPE Communication System Charter that lists the 49 lifecycle triggers. 17 of them are currently live.</w:t>
      </w:r>
    </w:p>
    <w:p>
      <w:pPr>
        <w:spacing w:after="40" w:line="300" w:lineRule="auto"/>
        <w:jc w:val="left"/>
      </w:pPr>
      <w:r>
        <w:rPr>
          <w:rFonts w:ascii="Arial" w:hAnsi="Arial" w:cs="Arial"/>
          <w:b/>
          <w:i w:val="0"/>
          <w:color w:val="1B3A5C"/>
          <w:sz w:val="20"/>
        </w:rPr>
        <w:t>Channel allowlist</w:t>
      </w:r>
    </w:p>
    <w:p>
      <w:pPr>
        <w:spacing w:after="120" w:line="300" w:lineRule="auto"/>
        <w:jc w:val="left"/>
      </w:pPr>
      <w:r>
        <w:rPr>
          <w:rFonts w:ascii="Arial" w:hAnsi="Arial" w:cs="Arial"/>
          <w:b w:val="0"/>
          <w:i w:val="0"/>
          <w:color w:val="2C3E50"/>
          <w:sz w:val="19"/>
        </w:rPr>
        <w:t>Operator-controlled gate (Mongo `tpe_channel_gating` doc) that can disable specific channels (SMS, WA, email, in-app) at runtime. UI for managing this was sunsetted with TPE Admin.</w:t>
      </w:r>
    </w:p>
    <w:p>
      <w:pPr>
        <w:spacing w:after="40" w:line="300" w:lineRule="auto"/>
        <w:jc w:val="left"/>
      </w:pPr>
      <w:r>
        <w:rPr>
          <w:rFonts w:ascii="Arial" w:hAnsi="Arial" w:cs="Arial"/>
          <w:b/>
          <w:i w:val="0"/>
          <w:color w:val="1B3A5C"/>
          <w:sz w:val="20"/>
        </w:rPr>
        <w:t>Code-first authoring</w:t>
      </w:r>
    </w:p>
    <w:p>
      <w:pPr>
        <w:spacing w:after="120" w:line="300" w:lineRule="auto"/>
        <w:jc w:val="left"/>
      </w:pPr>
      <w:r>
        <w:rPr>
          <w:rFonts w:ascii="Arial" w:hAnsi="Arial" w:cs="Arial"/>
          <w:b w:val="0"/>
          <w:i w:val="0"/>
          <w:color w:val="2C3E50"/>
          <w:sz w:val="19"/>
        </w:rPr>
        <w:t>Architectural rule: workflows are TypeScript files in source control, NOT created via the Studio UI. Enforced via PR review + compliance middleware lint.</w:t>
      </w:r>
    </w:p>
    <w:p>
      <w:pPr>
        <w:spacing w:after="40" w:line="300" w:lineRule="auto"/>
        <w:jc w:val="left"/>
      </w:pPr>
      <w:r>
        <w:rPr>
          <w:rFonts w:ascii="Arial" w:hAnsi="Arial" w:cs="Arial"/>
          <w:b/>
          <w:i w:val="0"/>
          <w:color w:val="1B3A5C"/>
          <w:sz w:val="20"/>
        </w:rPr>
        <w:t>DLT</w:t>
      </w:r>
    </w:p>
    <w:p>
      <w:pPr>
        <w:spacing w:after="120" w:line="300" w:lineRule="auto"/>
        <w:jc w:val="left"/>
      </w:pPr>
      <w:r>
        <w:rPr>
          <w:rFonts w:ascii="Arial" w:hAnsi="Arial" w:cs="Arial"/>
          <w:b w:val="0"/>
          <w:i w:val="0"/>
          <w:color w:val="2C3E50"/>
          <w:sz w:val="19"/>
        </w:rPr>
        <w:t>Distributed Ledger Technology registry maintained by TRAI for India SMS. Every business SMS template must be DLT-registered with template_id; sending raw text is non-compliant.</w:t>
      </w:r>
    </w:p>
    <w:p>
      <w:pPr>
        <w:spacing w:after="40" w:line="300" w:lineRule="auto"/>
        <w:jc w:val="left"/>
      </w:pPr>
      <w:r>
        <w:rPr>
          <w:rFonts w:ascii="Arial" w:hAnsi="Arial" w:cs="Arial"/>
          <w:b/>
          <w:i w:val="0"/>
          <w:color w:val="1B3A5C"/>
          <w:sz w:val="20"/>
        </w:rPr>
        <w:t>DPDPA</w:t>
      </w:r>
    </w:p>
    <w:p>
      <w:pPr>
        <w:spacing w:after="120" w:line="300" w:lineRule="auto"/>
        <w:jc w:val="left"/>
      </w:pPr>
      <w:r>
        <w:rPr>
          <w:rFonts w:ascii="Arial" w:hAnsi="Arial" w:cs="Arial"/>
          <w:b w:val="0"/>
          <w:i w:val="0"/>
          <w:color w:val="2C3E50"/>
          <w:sz w:val="19"/>
        </w:rPr>
        <w:t>Digital Personal Data Protection Act 2023 (India). Why TPE data must stay India-resident.</w:t>
      </w:r>
    </w:p>
    <w:p>
      <w:pPr>
        <w:spacing w:after="40" w:line="300" w:lineRule="auto"/>
        <w:jc w:val="left"/>
      </w:pPr>
      <w:r>
        <w:rPr>
          <w:rFonts w:ascii="Arial" w:hAnsi="Arial" w:cs="Arial"/>
          <w:b/>
          <w:i w:val="0"/>
          <w:color w:val="1B3A5C"/>
          <w:sz w:val="20"/>
        </w:rPr>
        <w:t>ICPaaS</w:t>
      </w:r>
    </w:p>
    <w:p>
      <w:pPr>
        <w:spacing w:after="120" w:line="300" w:lineRule="auto"/>
        <w:jc w:val="left"/>
      </w:pPr>
      <w:r>
        <w:rPr>
          <w:rFonts w:ascii="Arial" w:hAnsi="Arial" w:cs="Arial"/>
          <w:b w:val="0"/>
          <w:i w:val="0"/>
          <w:color w:val="2C3E50"/>
          <w:sz w:val="19"/>
        </w:rPr>
        <w:t>WhatsApp aggregator that proxies Meta WhatsApp Business Cloud API. TPE uses their template messaging endpoint (POST .../v23.0/&lt;phone-id&gt;/messages).</w:t>
      </w:r>
    </w:p>
    <w:p>
      <w:pPr>
        <w:spacing w:after="40" w:line="300" w:lineRule="auto"/>
        <w:jc w:val="left"/>
      </w:pPr>
      <w:r>
        <w:rPr>
          <w:rFonts w:ascii="Arial" w:hAnsi="Arial" w:cs="Arial"/>
          <w:b/>
          <w:i w:val="0"/>
          <w:color w:val="1B3A5C"/>
          <w:sz w:val="20"/>
        </w:rPr>
        <w:t>In-app</w:t>
      </w:r>
    </w:p>
    <w:p>
      <w:pPr>
        <w:spacing w:after="120" w:line="300" w:lineRule="auto"/>
        <w:jc w:val="left"/>
      </w:pPr>
      <w:r>
        <w:rPr>
          <w:rFonts w:ascii="Arial" w:hAnsi="Arial" w:cs="Arial"/>
          <w:b w:val="0"/>
          <w:i w:val="0"/>
          <w:color w:val="2C3E50"/>
          <w:sz w:val="19"/>
        </w:rPr>
        <w:t>Notifications shown inside the app (mobile/web Inbox widget), not delivered to phone/email. Powered by Novu's native Inbox provider.</w:t>
      </w:r>
    </w:p>
    <w:p>
      <w:pPr>
        <w:spacing w:after="40" w:line="300" w:lineRule="auto"/>
        <w:jc w:val="left"/>
      </w:pPr>
      <w:r>
        <w:rPr>
          <w:rFonts w:ascii="Arial" w:hAnsi="Arial" w:cs="Arial"/>
          <w:b/>
          <w:i w:val="0"/>
          <w:color w:val="1B3A5C"/>
          <w:sz w:val="20"/>
        </w:rPr>
        <w:t>MSG91</w:t>
      </w:r>
    </w:p>
    <w:p>
      <w:pPr>
        <w:spacing w:after="120" w:line="300" w:lineRule="auto"/>
        <w:jc w:val="left"/>
      </w:pPr>
      <w:r>
        <w:rPr>
          <w:rFonts w:ascii="Arial" w:hAnsi="Arial" w:cs="Arial"/>
          <w:b w:val="0"/>
          <w:i w:val="0"/>
          <w:color w:val="2C3E50"/>
          <w:sz w:val="19"/>
        </w:rPr>
        <w:t>Indian SMS gateway. TPE uses v5/Flow API with DLT-registered templates. Sender ID: TPolEx.</w:t>
      </w:r>
    </w:p>
    <w:p>
      <w:pPr>
        <w:spacing w:after="40" w:line="300" w:lineRule="auto"/>
        <w:jc w:val="left"/>
      </w:pPr>
      <w:r>
        <w:rPr>
          <w:rFonts w:ascii="Arial" w:hAnsi="Arial" w:cs="Arial"/>
          <w:b/>
          <w:i w:val="0"/>
          <w:color w:val="1B3A5C"/>
          <w:sz w:val="20"/>
        </w:rPr>
        <w:t>Novu CE</w:t>
      </w:r>
    </w:p>
    <w:p>
      <w:pPr>
        <w:spacing w:after="120" w:line="300" w:lineRule="auto"/>
        <w:jc w:val="left"/>
      </w:pPr>
      <w:r>
        <w:rPr>
          <w:rFonts w:ascii="Arial" w:hAnsi="Arial" w:cs="Arial"/>
          <w:b w:val="0"/>
          <w:i w:val="0"/>
          <w:color w:val="2C3E50"/>
          <w:sz w:val="19"/>
        </w:rPr>
        <w:t>Novu Community Edition — the open-source self-hosted version. We run 3.15.0 in sandbox at :8080 (primary) and 2.3.0 in live at :80 (legacy).</w:t>
      </w:r>
    </w:p>
    <w:p>
      <w:pPr>
        <w:spacing w:after="40" w:line="300" w:lineRule="auto"/>
        <w:jc w:val="left"/>
      </w:pPr>
      <w:r>
        <w:rPr>
          <w:rFonts w:ascii="Arial" w:hAnsi="Arial" w:cs="Arial"/>
          <w:b/>
          <w:i w:val="0"/>
          <w:color w:val="1B3A5C"/>
          <w:sz w:val="20"/>
        </w:rPr>
        <w:t>Pivot</w:t>
      </w:r>
    </w:p>
    <w:p>
      <w:pPr>
        <w:spacing w:after="120" w:line="300" w:lineRule="auto"/>
        <w:jc w:val="left"/>
      </w:pPr>
      <w:r>
        <w:rPr>
          <w:rFonts w:ascii="Arial" w:hAnsi="Arial" w:cs="Arial"/>
          <w:b w:val="0"/>
          <w:i w:val="0"/>
          <w:color w:val="2C3E50"/>
          <w:sz w:val="19"/>
        </w:rPr>
        <w:t>The 2026-05-01 architectural decision to make sandbox 3.15 the primary operator surface, sunset the TPE Admin custom UI, and keep all Bridge dispatch (MSG91/ICPaaS) intact.</w:t>
      </w:r>
    </w:p>
    <w:p>
      <w:pPr>
        <w:spacing w:after="40" w:line="300" w:lineRule="auto"/>
        <w:jc w:val="left"/>
      </w:pPr>
      <w:r>
        <w:rPr>
          <w:rFonts w:ascii="Arial" w:hAnsi="Arial" w:cs="Arial"/>
          <w:b/>
          <w:i w:val="0"/>
          <w:color w:val="1B3A5C"/>
          <w:sz w:val="20"/>
        </w:rPr>
        <w:t>Studio UI</w:t>
      </w:r>
    </w:p>
    <w:p>
      <w:pPr>
        <w:spacing w:after="120" w:line="300" w:lineRule="auto"/>
        <w:jc w:val="left"/>
      </w:pPr>
      <w:r>
        <w:rPr>
          <w:rFonts w:ascii="Arial" w:hAnsi="Arial" w:cs="Arial"/>
          <w:b w:val="0"/>
          <w:i w:val="0"/>
          <w:color w:val="2C3E50"/>
          <w:sz w:val="19"/>
        </w:rPr>
        <w:t>Novu's in-dashboard 'Create Workflow' feature. FORBIDDEN for use under our code-first rule because it bypasses Git, compliance lint, and DLT enforcement.</w:t>
      </w:r>
    </w:p>
    <w:p>
      <w:pPr>
        <w:spacing w:after="40" w:line="300" w:lineRule="auto"/>
        <w:jc w:val="left"/>
      </w:pPr>
      <w:r>
        <w:rPr>
          <w:rFonts w:ascii="Arial" w:hAnsi="Arial" w:cs="Arial"/>
          <w:b/>
          <w:i w:val="0"/>
          <w:color w:val="1B3A5C"/>
          <w:sz w:val="20"/>
        </w:rPr>
        <w:t>Subscriber</w:t>
      </w:r>
    </w:p>
    <w:p>
      <w:pPr>
        <w:spacing w:after="120" w:line="300" w:lineRule="auto"/>
        <w:jc w:val="left"/>
      </w:pPr>
      <w:r>
        <w:rPr>
          <w:rFonts w:ascii="Arial" w:hAnsi="Arial" w:cs="Arial"/>
          <w:b w:val="0"/>
          <w:i w:val="0"/>
          <w:color w:val="2C3E50"/>
          <w:sz w:val="19"/>
        </w:rPr>
        <w:t>Novu's term for a recipient of notifications. One subscriber = one customer/test account with associated phone/email/locale/custom data.</w:t>
      </w:r>
    </w:p>
    <w:p>
      <w:pPr>
        <w:spacing w:after="40" w:line="300" w:lineRule="auto"/>
        <w:jc w:val="left"/>
      </w:pPr>
      <w:r>
        <w:rPr>
          <w:rFonts w:ascii="Arial" w:hAnsi="Arial" w:cs="Arial"/>
          <w:b/>
          <w:i w:val="0"/>
          <w:color w:val="1B3A5C"/>
          <w:sz w:val="20"/>
        </w:rPr>
        <w:t>Topic</w:t>
      </w:r>
    </w:p>
    <w:p>
      <w:pPr>
        <w:spacing w:after="120" w:line="300" w:lineRule="auto"/>
        <w:jc w:val="left"/>
      </w:pPr>
      <w:r>
        <w:rPr>
          <w:rFonts w:ascii="Arial" w:hAnsi="Arial" w:cs="Arial"/>
          <w:b w:val="0"/>
          <w:i w:val="0"/>
          <w:color w:val="2C3E50"/>
          <w:sz w:val="19"/>
        </w:rPr>
        <w:t>Group of subscribers, identified by a topic key. Triggering to a topic fans out to all members.</w:t>
      </w:r>
    </w:p>
    <w:p>
      <w:pPr>
        <w:spacing w:after="40" w:line="300" w:lineRule="auto"/>
        <w:jc w:val="left"/>
      </w:pPr>
      <w:r>
        <w:rPr>
          <w:rFonts w:ascii="Arial" w:hAnsi="Arial" w:cs="Arial"/>
          <w:b/>
          <w:i w:val="0"/>
          <w:color w:val="1B3A5C"/>
          <w:sz w:val="20"/>
        </w:rPr>
        <w:t>transactionId</w:t>
      </w:r>
    </w:p>
    <w:p>
      <w:pPr>
        <w:spacing w:after="120" w:line="300" w:lineRule="auto"/>
        <w:jc w:val="left"/>
      </w:pPr>
      <w:r>
        <w:rPr>
          <w:rFonts w:ascii="Arial" w:hAnsi="Arial" w:cs="Arial"/>
          <w:b w:val="0"/>
          <w:i w:val="0"/>
          <w:color w:val="2C3E50"/>
          <w:sz w:val="19"/>
        </w:rPr>
        <w:t>Unique ID for a trigger event. Format: txn_&lt;base32&gt; in 3.x (was raw UUID in 2.3.0). Use to trace a notification through the Activity Feed and Bridge audit log.</w:t>
      </w:r>
    </w:p>
    <w:p>
      <w:pPr>
        <w:spacing w:after="40" w:line="300" w:lineRule="auto"/>
        <w:jc w:val="left"/>
      </w:pPr>
      <w:r>
        <w:rPr>
          <w:rFonts w:ascii="Arial" w:hAnsi="Arial" w:cs="Arial"/>
          <w:b/>
          <w:i w:val="0"/>
          <w:color w:val="1B3A5C"/>
          <w:sz w:val="20"/>
        </w:rPr>
        <w:t>Workflow</w:t>
      </w:r>
    </w:p>
    <w:p>
      <w:pPr>
        <w:spacing w:after="120" w:line="300" w:lineRule="auto"/>
        <w:jc w:val="left"/>
      </w:pPr>
      <w:r>
        <w:rPr>
          <w:rFonts w:ascii="Arial" w:hAnsi="Arial" w:cs="Arial"/>
          <w:b w:val="0"/>
          <w:i w:val="0"/>
          <w:color w:val="2C3E50"/>
          <w:sz w:val="19"/>
        </w:rPr>
        <w:t>A notification program. Defines which channels fire, in what order, with what content. Each workflow has a unique trigger ID like 'ph-02-registration'.</w:t>
      </w:r>
    </w:p>
    <w:p>
      <w:pPr>
        <w:spacing w:after="0"/>
      </w:pPr>
    </w:p>
    <w:p>
      <w:pPr>
        <w:spacing w:before="160" w:after="40"/>
      </w:pPr>
      <w:r>
        <w:rPr>
          <w:rFonts w:ascii="Arial" w:hAnsi="Arial" w:cs="Arial"/>
          <w:b/>
          <w:i w:val="0"/>
          <w:color w:val="2C3E50"/>
          <w:sz w:val="28"/>
        </w:rPr>
        <w:t>15.  Quick Reference Card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rHeight w:val="20" w:hRule="exact"/>
        </w:trPr>
        <w:tc>
          <w:tcPr>
            <w:tcW w:type="dxa" w:w="9360"/>
            <w:shd w:val="clear" w:color="auto" w:fill="2C3E50"/>
          </w:tcPr>
          <w:p>
            <w:pPr>
              <w:spacing w:before="0" w:after="0"/>
            </w:pPr>
            <w:r/>
          </w:p>
        </w:tc>
      </w:tr>
    </w:tbl>
    <w:p>
      <w:pPr>
        <w:spacing w:after="80"/>
      </w:pPr>
    </w:p>
    <w:p>
      <w:pPr>
        <w:spacing w:after="160" w:line="300" w:lineRule="auto"/>
        <w:jc w:val="left"/>
      </w:pPr>
      <w:r>
        <w:rPr>
          <w:rFonts w:ascii="Arial" w:hAnsi="Arial" w:cs="Arial"/>
          <w:b w:val="0"/>
          <w:i/>
          <w:color w:val="7F8C8D"/>
          <w:sz w:val="20"/>
        </w:rPr>
        <w:t>Tear-out single-page summary. Print this and keep it next to your monitor.</w:t>
      </w:r>
    </w:p>
    <w:p>
      <w:pPr>
        <w:spacing w:before="80" w:after="40"/>
      </w:pPr>
      <w:r>
        <w:rPr>
          <w:rFonts w:ascii="Arial" w:hAnsi="Arial" w:cs="Arial"/>
          <w:b/>
          <w:i w:val="0"/>
          <w:color w:val="1B3A5C"/>
          <w:sz w:val="24"/>
        </w:rPr>
        <w:t>15.1  URLs + credentials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3600"/>
        <w:gridCol w:w="3600"/>
      </w:tblGrid>
      <w:tr>
        <w:tc>
          <w:tcPr>
            <w:tcW w:type="dxa" w:w="2160"/>
            <w:shd w:val="clear" w:color="auto" w:fill="FFFFFF"/>
            <w:tcBorders>
              <w:top w:val="single" w:sz="8" w:color="2C3E50"/>
              <w:left w:val="single" w:sz="8" w:color="2C3E50"/>
              <w:bottom w:val="single" w:sz="8" w:color="2C3E50"/>
              <w:right w:val="single" w:sz="8" w:color="2C3E5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/>
                <w:i w:val="0"/>
                <w:color w:val="2C3E50"/>
                <w:sz w:val="16"/>
              </w:rPr>
              <w:t>Surface</w:t>
            </w:r>
          </w:p>
        </w:tc>
        <w:tc>
          <w:tcPr>
            <w:tcW w:type="dxa" w:w="3600"/>
            <w:shd w:val="clear" w:color="auto" w:fill="FFFFFF"/>
            <w:tcBorders>
              <w:top w:val="single" w:sz="8" w:color="2C3E50"/>
              <w:left w:val="single" w:sz="8" w:color="2C3E50"/>
              <w:bottom w:val="single" w:sz="8" w:color="2C3E50"/>
              <w:right w:val="single" w:sz="8" w:color="2C3E5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/>
                <w:i w:val="0"/>
                <w:color w:val="2C3E50"/>
                <w:sz w:val="16"/>
              </w:rPr>
              <w:t>URL</w:t>
            </w:r>
          </w:p>
        </w:tc>
        <w:tc>
          <w:tcPr>
            <w:tcW w:type="dxa" w:w="3600"/>
            <w:shd w:val="clear" w:color="auto" w:fill="FFFFFF"/>
            <w:tcBorders>
              <w:top w:val="single" w:sz="8" w:color="2C3E50"/>
              <w:left w:val="single" w:sz="8" w:color="2C3E50"/>
              <w:bottom w:val="single" w:sz="8" w:color="2C3E50"/>
              <w:right w:val="single" w:sz="8" w:color="2C3E5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/>
                <w:i w:val="0"/>
                <w:color w:val="2C3E50"/>
                <w:sz w:val="16"/>
              </w:rPr>
              <w:t>Login</w:t>
            </w:r>
          </w:p>
        </w:tc>
      </w:tr>
      <w:tr>
        <w:tc>
          <w:tcPr>
            <w:tcW w:type="dxa" w:w="2160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6"/>
              </w:rPr>
              <w:t>Primary Dashboard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6"/>
              </w:rPr>
              <w:t>http://103.138.96.180:8080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6"/>
              </w:rPr>
              <w:t>sandbox@tpe-test.local / SandboxStage2026!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6"/>
              </w:rPr>
              <w:t>API endpoint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6"/>
              </w:rPr>
              <w:t>http://103.138.96.180:8081/v1/events/trigger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6"/>
              </w:rPr>
              <w:t>ApiKey 54ad9d4dd50398489413be350237bd88</w:t>
            </w:r>
          </w:p>
        </w:tc>
      </w:tr>
      <w:tr>
        <w:tc>
          <w:tcPr>
            <w:tcW w:type="dxa" w:w="2160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6"/>
              </w:rPr>
              <w:t>Live Dashboard (legacy)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6"/>
              </w:rPr>
              <w:t>http://103.138.96.180/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6"/>
              </w:rPr>
              <w:t>(same creds)</w:t>
            </w:r>
          </w:p>
        </w:tc>
      </w:tr>
    </w:tbl>
    <w:p>
      <w:pPr>
        <w:spacing w:before="80" w:after="40"/>
      </w:pPr>
      <w:r>
        <w:rPr>
          <w:rFonts w:ascii="Arial" w:hAnsi="Arial" w:cs="Arial"/>
          <w:b/>
          <w:i w:val="0"/>
          <w:color w:val="1B3A5C"/>
          <w:sz w:val="24"/>
        </w:rPr>
        <w:t>15.2  Test subscriber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FFFFF"/>
            <w:tcBorders>
              <w:top w:val="single" w:sz="8" w:color="2C3E50"/>
              <w:left w:val="single" w:sz="8" w:color="2C3E50"/>
              <w:bottom w:val="single" w:sz="8" w:color="2C3E50"/>
              <w:right w:val="single" w:sz="8" w:color="2C3E5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/>
                <w:i w:val="0"/>
                <w:color w:val="2C3E50"/>
                <w:sz w:val="18"/>
              </w:rPr>
              <w:t>Field</w:t>
            </w:r>
          </w:p>
        </w:tc>
        <w:tc>
          <w:tcPr>
            <w:tcW w:type="dxa" w:w="7200"/>
            <w:shd w:val="clear" w:color="auto" w:fill="FFFFFF"/>
            <w:tcBorders>
              <w:top w:val="single" w:sz="8" w:color="2C3E50"/>
              <w:left w:val="single" w:sz="8" w:color="2C3E50"/>
              <w:bottom w:val="single" w:sz="8" w:color="2C3E50"/>
              <w:right w:val="single" w:sz="8" w:color="2C3E5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/>
                <w:i w:val="0"/>
                <w:color w:val="2C3E50"/>
                <w:sz w:val="18"/>
              </w:rPr>
              <w:t>Value</w:t>
            </w:r>
          </w:p>
        </w:tc>
      </w:tr>
      <w:tr>
        <w:tc>
          <w:tcPr>
            <w:tcW w:type="dxa" w:w="2160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Subscriber ID</w:t>
            </w:r>
          </w:p>
        </w:tc>
        <w:tc>
          <w:tcPr>
            <w:tcW w:type="dxa" w:w="7200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test-icpaas-sandbox-1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Phone (E.164)</w:t>
            </w:r>
          </w:p>
        </w:tc>
        <w:tc>
          <w:tcPr>
            <w:tcW w:type="dxa" w:w="720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+919465185365</w:t>
            </w:r>
          </w:p>
        </w:tc>
      </w:tr>
      <w:tr>
        <w:tc>
          <w:tcPr>
            <w:tcW w:type="dxa" w:w="2160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Email</w:t>
            </w:r>
          </w:p>
        </w:tc>
        <w:tc>
          <w:tcPr>
            <w:tcW w:type="dxa" w:w="7200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8"/>
              </w:rPr>
              <w:t>no-reply@thepolicyexchange.com</w:t>
            </w:r>
          </w:p>
        </w:tc>
      </w:tr>
    </w:tbl>
    <w:p>
      <w:pPr>
        <w:spacing w:before="80" w:after="40"/>
      </w:pPr>
      <w:r>
        <w:rPr>
          <w:rFonts w:ascii="Arial" w:hAnsi="Arial" w:cs="Arial"/>
          <w:b/>
          <w:i w:val="0"/>
          <w:color w:val="1B3A5C"/>
          <w:sz w:val="24"/>
        </w:rPr>
        <w:t>15.3  Most-used workflows + minimum payload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shd w:val="clear" w:color="auto" w:fill="FFFFFF"/>
            <w:tcBorders>
              <w:top w:val="single" w:sz="8" w:color="2C3E50"/>
              <w:left w:val="single" w:sz="8" w:color="2C3E50"/>
              <w:bottom w:val="single" w:sz="8" w:color="2C3E50"/>
              <w:right w:val="single" w:sz="8" w:color="2C3E5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/>
                <w:i w:val="0"/>
                <w:color w:val="2C3E50"/>
                <w:sz w:val="17"/>
              </w:rPr>
              <w:t>Trigger ID</w:t>
            </w:r>
          </w:p>
        </w:tc>
        <w:tc>
          <w:tcPr>
            <w:tcW w:type="dxa" w:w="6480"/>
            <w:shd w:val="clear" w:color="auto" w:fill="FFFFFF"/>
            <w:tcBorders>
              <w:top w:val="single" w:sz="8" w:color="2C3E50"/>
              <w:left w:val="single" w:sz="8" w:color="2C3E50"/>
              <w:bottom w:val="single" w:sz="8" w:color="2C3E50"/>
              <w:right w:val="single" w:sz="8" w:color="2C3E50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 w:cs="Arial"/>
                <w:b/>
                <w:i w:val="0"/>
                <w:color w:val="2C3E50"/>
                <w:sz w:val="17"/>
              </w:rPr>
              <w:t>Minimum payload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ph-02-registration</w:t>
            </w:r>
          </w:p>
        </w:tc>
        <w:tc>
          <w:tcPr>
            <w:tcW w:type="dxa" w:w="6480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onsolas" w:hAnsi="Consolas" w:cs="Consolas"/>
                <w:b w:val="0"/>
                <w:i w:val="0"/>
                <w:color w:val="2C3E50"/>
                <w:sz w:val="17"/>
              </w:rPr>
              <w:t>{"otp":"482910"}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inv-02-registration</w:t>
            </w:r>
          </w:p>
        </w:tc>
        <w:tc>
          <w:tcPr>
            <w:tcW w:type="dxa" w:w="648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onsolas" w:hAnsi="Consolas" w:cs="Consolas"/>
                <w:b w:val="0"/>
                <w:i w:val="0"/>
                <w:color w:val="2C3E50"/>
                <w:sz w:val="17"/>
              </w:rPr>
              <w:t>{"otp":"123456"}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inv-08-premium-due</w:t>
            </w:r>
          </w:p>
        </w:tc>
        <w:tc>
          <w:tcPr>
            <w:tcW w:type="dxa" w:w="6480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onsolas" w:hAnsi="Consolas" w:cs="Consolas"/>
                <w:b w:val="0"/>
                <w:i w:val="0"/>
                <w:color w:val="2C3E50"/>
                <w:sz w:val="17"/>
              </w:rPr>
              <w:t>{"investor_id":"X","policy_number":"Y","premiumAmount":N,"dueDate":"...","stage":"7d"}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ph-15-loan-emi-reminder</w:t>
            </w:r>
          </w:p>
        </w:tc>
        <w:tc>
          <w:tcPr>
            <w:tcW w:type="dxa" w:w="648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onsolas" w:hAnsi="Consolas" w:cs="Consolas"/>
                <w:b w:val="0"/>
                <w:i w:val="0"/>
                <w:color w:val="2C3E50"/>
                <w:sz w:val="17"/>
              </w:rPr>
              <w:t>{"loan_application_id":"X","emiAmount":N,"dueDate":"...","stage":"3d","ph_id":"X"}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inv-11-maturity-reminder</w:t>
            </w:r>
          </w:p>
        </w:tc>
        <w:tc>
          <w:tcPr>
            <w:tcW w:type="dxa" w:w="6480"/>
            <w:shd w:val="clear" w:color="auto" w:fill="F8F9F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onsolas" w:hAnsi="Consolas" w:cs="Consolas"/>
                <w:b w:val="0"/>
                <w:i w:val="0"/>
                <w:color w:val="2C3E50"/>
                <w:sz w:val="17"/>
              </w:rPr>
              <w:t>{"investor_id":"X","policy_number":"Y","maturityDate":"...","stage":"30d"}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 w:cs="Arial"/>
                <w:b w:val="0"/>
                <w:i w:val="0"/>
                <w:color w:val="2C3E50"/>
                <w:sz w:val="17"/>
              </w:rPr>
              <w:t>ph-17-re-engagement</w:t>
            </w:r>
          </w:p>
        </w:tc>
        <w:tc>
          <w:tcPr>
            <w:tcW w:type="dxa" w:w="648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onsolas" w:hAnsi="Consolas" w:cs="Consolas"/>
                <w:b w:val="0"/>
                <w:i w:val="0"/>
                <w:color w:val="2C3E50"/>
                <w:sz w:val="17"/>
              </w:rPr>
              <w:t>{"ph_id":"X","dormancyDays":N}</w:t>
            </w:r>
          </w:p>
        </w:tc>
      </w:tr>
    </w:tbl>
    <w:p>
      <w:pPr>
        <w:spacing w:before="80" w:after="40"/>
      </w:pPr>
      <w:r>
        <w:rPr>
          <w:rFonts w:ascii="Arial" w:hAnsi="Arial" w:cs="Arial"/>
          <w:b/>
          <w:i w:val="0"/>
          <w:color w:val="1B3A5C"/>
          <w:sz w:val="24"/>
        </w:rPr>
        <w:t>15.4  Top 5 troubleshooting steps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1. Search Activity Feed by transactionId — get full trace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2. Click into the failed step — read the raw error message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3. Check that subscriber has phone (for SMS+WA) and email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4. Verify payload field names match §10 reference exactly</w:t>
      </w:r>
    </w:p>
    <w:p>
      <w:pPr>
        <w:pStyle w:val="ListBullet"/>
        <w:spacing w:after="40"/>
        <w:ind w:left="283"/>
      </w:pPr>
      <w:r>
        <w:rPr>
          <w:rFonts w:ascii="Arial" w:hAnsi="Arial" w:cs="Arial"/>
          <w:b w:val="0"/>
          <w:i w:val="0"/>
          <w:color w:val="2C3E50"/>
          <w:sz w:val="20"/>
        </w:rPr>
        <w:t>5. If still stuck after 5 min, escalate to Engineering with txn ID + screenshot</w:t>
      </w:r>
    </w:p>
    <w:p>
      <w:pPr>
        <w:spacing w:after="240" w:line="300" w:lineRule="auto"/>
        <w:jc w:val="left"/>
      </w:pP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3A5C"/>
            <w:tcBorders>
              <w:top w:val="single" w:sz="8" w:color="0D1B2A"/>
              <w:left w:val="single" w:sz="8" w:color="0D1B2A"/>
              <w:bottom w:val="single" w:sz="8" w:color="0D1B2A"/>
              <w:right w:val="single" w:sz="8" w:color="0D1B2A"/>
            </w:tcBorders>
          </w:tcPr>
          <w:p>
            <w:pPr>
              <w:spacing w:before="160"/>
              <w:jc w:val="left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8"/>
              </w:rPr>
              <w:t>Prepared by</w:t>
            </w:r>
          </w:p>
          <w:p>
            <w:pPr>
              <w:jc w:val="left"/>
            </w:pPr>
            <w:r>
              <w:rPr>
                <w:rFonts w:ascii="Arial" w:hAnsi="Arial" w:cs="Arial"/>
                <w:b/>
                <w:i w:val="0"/>
                <w:color w:val="FFFFFF"/>
                <w:sz w:val="22"/>
              </w:rPr>
              <w:t>Ashish Kumar Satyam</w:t>
            </w:r>
          </w:p>
          <w:p>
            <w:pPr>
              <w:jc w:val="left"/>
            </w:pPr>
            <w:r>
              <w:rPr>
                <w:rFonts w:ascii="Arial" w:hAnsi="Arial" w:cs="Arial"/>
                <w:b w:val="0"/>
                <w:i w:val="0"/>
                <w:color w:val="FFFFFF"/>
                <w:sz w:val="18"/>
              </w:rPr>
              <w:t>TechDigital WishTree  ·  for The Policy Exchange</w:t>
            </w:r>
          </w:p>
          <w:p>
            <w:pPr>
              <w:spacing w:after="160"/>
              <w:jc w:val="left"/>
            </w:pPr>
            <w:r>
              <w:rPr>
                <w:rFonts w:ascii="Arial" w:hAnsi="Arial" w:cs="Arial"/>
                <w:b w:val="0"/>
                <w:i/>
                <w:color w:val="FFFFFF"/>
                <w:sz w:val="16"/>
              </w:rPr>
              <w:t>Internal / Confidential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b w:val="0"/>
        <w:i w:val="0"/>
        <w:color w:val="7F8C8D"/>
        <w:sz w:val="16"/>
      </w:rPr>
      <w:t xml:space="preserve">TPE-COMMS-OPS-MANUAL-2026-001  |  Internal &amp; Confidential  |  Page </w:t>
    </w:r>
    <w:r>
      <w:rPr>
        <w:rFonts w:ascii="Arial" w:hAnsi="Arial" w:cs="Arial"/>
        <w:b/>
        <w:i w:val="0"/>
        <w:color w:val="7F8C8D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cs="Arial"/>
        <w:b w:val="0"/>
        <w:i/>
        <w:color w:val="7F8C8D"/>
        <w:sz w:val="16"/>
      </w:rPr>
      <w:t>Operator Manual  |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C3E5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