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Pr>
      <w:tblGrid>
        <w:gridCol w:w="9360"/>
      </w:tblGrid>
      <w:tr>
        <w:trPr>
          <w:trHeight w:val="200" w:hRule="exact"/>
        </w:trPr>
        <w:tc>
          <w:tcPr>
            <w:tcW w:type="dxa" w:w="9360"/>
            <w:shd w:val="clear" w:color="auto" w:fill="1B3A5C"/>
          </w:tcPr>
          <w:p>
            <w:pPr>
              <w:spacing w:before="0" w:after="0"/>
            </w:pPr>
            <w:r/>
          </w:p>
        </w:tc>
      </w:tr>
    </w:tbl>
    <w:p>
      <w:pPr>
        <w:spacing w:after="360" w:line="300" w:lineRule="auto"/>
        <w:jc w:val="left"/>
      </w:pPr>
    </w:p>
    <w:p>
      <w:pPr>
        <w:spacing w:after="80" w:line="300" w:lineRule="auto"/>
        <w:jc w:val="center"/>
      </w:pPr>
      <w:r>
        <w:rPr>
          <w:rFonts w:ascii="Arial" w:hAnsi="Arial" w:cs="Arial"/>
          <w:b/>
          <w:i w:val="0"/>
          <w:color w:val="7F8C8D"/>
          <w:sz w:val="20"/>
        </w:rPr>
        <w:t>THE POLICY EXCHANGE (FAIRVALUE INSURETECH PVT. LTD.)</w:t>
      </w:r>
    </w:p>
    <w:p>
      <w:pPr>
        <w:spacing w:after="160" w:line="300" w:lineRule="auto"/>
        <w:jc w:val="center"/>
      </w:pPr>
      <w:r>
        <w:rPr>
          <w:rFonts w:ascii="Arial" w:hAnsi="Arial" w:cs="Arial"/>
          <w:b/>
          <w:i w:val="0"/>
          <w:color w:val="1B3A5C"/>
          <w:sz w:val="44"/>
        </w:rPr>
        <w:t>CHARTER ADDENDUM</w:t>
      </w:r>
    </w:p>
    <w:p>
      <w:pPr>
        <w:spacing w:after="120" w:line="300" w:lineRule="auto"/>
        <w:jc w:val="center"/>
      </w:pPr>
      <w:r>
        <w:rPr>
          <w:rFonts w:ascii="Arial" w:hAnsi="Arial" w:cs="Arial"/>
          <w:b/>
          <w:i w:val="0"/>
          <w:color w:val="2C3E50"/>
          <w:sz w:val="52"/>
        </w:rPr>
        <w:t>TPE Communication System</w:t>
      </w:r>
    </w:p>
    <w:p>
      <w:pPr>
        <w:spacing w:after="480" w:line="300" w:lineRule="auto"/>
        <w:jc w:val="center"/>
      </w:pPr>
      <w:r>
        <w:rPr>
          <w:rFonts w:ascii="Arial" w:hAnsi="Arial" w:cs="Arial"/>
          <w:b w:val="0"/>
          <w:i/>
          <w:color w:val="7F8C8D"/>
          <w:sz w:val="22"/>
        </w:rPr>
        <w:t>Tier 1 + Tier 2 gap-fill addendum to the v1.0 Internal Project Charter</w:t>
      </w:r>
    </w:p>
    <w:tbl>
      <w:tblPr>
        <w:tblW w:type="dxa" w:w="9360"/>
        <w:tblLayout w:type="fixed"/>
        <w:tblLook w:firstColumn="1" w:firstRow="1" w:lastColumn="0" w:lastRow="0" w:noHBand="0" w:noVBand="1" w:val="04A0"/>
      </w:tblPr>
      <w:tblGrid>
        <w:gridCol w:w="3119"/>
        <w:gridCol w:w="3119"/>
        <w:gridCol w:w="3121"/>
      </w:tblGrid>
      <w:tr>
        <w:tc>
          <w:tcPr>
            <w:tcW w:type="dxa" w:w="3119"/>
            <w:shd w:val="clear" w:color="auto" w:fill="FAFBFC"/>
            <w:tcBorders>
              <w:top w:val="single" w:sz="18" w:color="1B3A5C"/>
              <w:left w:val="single" w:sz="18" w:color="1B3A5C"/>
              <w:bottom w:val="single" w:sz="18" w:color="1B3A5C"/>
              <w:right w:val="single" w:sz="18" w:color="1B3A5C"/>
            </w:tcBorders>
            <w:vAlign w:val="center"/>
          </w:tcPr>
          <w:p>
            <w:pPr>
              <w:jc w:val="center"/>
            </w:pPr>
            <w:r/>
            <w:r>
              <w:rPr>
                <w:rFonts w:ascii="Arial" w:hAnsi="Arial" w:cs="Arial"/>
                <w:b/>
                <w:i w:val="0"/>
                <w:color w:val="1B3A5C"/>
                <w:sz w:val="44"/>
              </w:rPr>
              <w:t>10</w:t>
            </w:r>
          </w:p>
          <w:p>
            <w:pPr>
              <w:spacing w:after="80"/>
              <w:jc w:val="center"/>
            </w:pPr>
            <w:r>
              <w:rPr>
                <w:rFonts w:ascii="Arial" w:hAnsi="Arial" w:cs="Arial"/>
                <w:b w:val="0"/>
                <w:i w:val="0"/>
                <w:color w:val="2C3E50"/>
                <w:sz w:val="17"/>
              </w:rPr>
              <w:t>New sections</w:t>
            </w:r>
          </w:p>
        </w:tc>
        <w:tc>
          <w:tcPr>
            <w:tcW w:type="dxa" w:w="3119"/>
            <w:shd w:val="clear" w:color="auto" w:fill="FAFBFC"/>
            <w:tcBorders>
              <w:top w:val="single" w:sz="18" w:color="E74C3C"/>
              <w:left w:val="single" w:sz="18" w:color="E74C3C"/>
              <w:bottom w:val="single" w:sz="18" w:color="E74C3C"/>
              <w:right w:val="single" w:sz="18" w:color="E74C3C"/>
            </w:tcBorders>
            <w:vAlign w:val="center"/>
          </w:tcPr>
          <w:p>
            <w:pPr>
              <w:jc w:val="center"/>
            </w:pPr>
            <w:r/>
            <w:r>
              <w:rPr>
                <w:rFonts w:ascii="Arial" w:hAnsi="Arial" w:cs="Arial"/>
                <w:b/>
                <w:i w:val="0"/>
                <w:color w:val="E74C3C"/>
                <w:sz w:val="44"/>
              </w:rPr>
              <w:t>7</w:t>
            </w:r>
          </w:p>
          <w:p>
            <w:pPr>
              <w:spacing w:after="80"/>
              <w:jc w:val="center"/>
            </w:pPr>
            <w:r>
              <w:rPr>
                <w:rFonts w:ascii="Arial" w:hAnsi="Arial" w:cs="Arial"/>
                <w:b w:val="0"/>
                <w:i w:val="0"/>
                <w:color w:val="2C3E50"/>
                <w:sz w:val="17"/>
              </w:rPr>
              <w:t>Tier 1 (critical)</w:t>
            </w:r>
          </w:p>
        </w:tc>
        <w:tc>
          <w:tcPr>
            <w:tcW w:type="dxa" w:w="3121"/>
            <w:shd w:val="clear" w:color="auto" w:fill="FAFBFC"/>
            <w:tcBorders>
              <w:top w:val="single" w:sz="18" w:color="E67E22"/>
              <w:left w:val="single" w:sz="18" w:color="E67E22"/>
              <w:bottom w:val="single" w:sz="18" w:color="E67E22"/>
              <w:right w:val="single" w:sz="18" w:color="E67E22"/>
            </w:tcBorders>
            <w:vAlign w:val="center"/>
          </w:tcPr>
          <w:p>
            <w:pPr>
              <w:jc w:val="center"/>
            </w:pPr>
            <w:r/>
            <w:r>
              <w:rPr>
                <w:rFonts w:ascii="Arial" w:hAnsi="Arial" w:cs="Arial"/>
                <w:b/>
                <w:i w:val="0"/>
                <w:color w:val="E67E22"/>
                <w:sz w:val="44"/>
              </w:rPr>
              <w:t>3</w:t>
            </w:r>
          </w:p>
          <w:p>
            <w:pPr>
              <w:spacing w:after="80"/>
              <w:jc w:val="center"/>
            </w:pPr>
            <w:r>
              <w:rPr>
                <w:rFonts w:ascii="Arial" w:hAnsi="Arial" w:cs="Arial"/>
                <w:b w:val="0"/>
                <w:i w:val="0"/>
                <w:color w:val="2C3E50"/>
                <w:sz w:val="17"/>
              </w:rPr>
              <w:t>Tier 2 (important)</w:t>
            </w:r>
          </w:p>
        </w:tc>
      </w:tr>
    </w:tbl>
    <w:p>
      <w:pPr>
        <w:spacing w:after="480" w:line="300" w:lineRule="auto"/>
        <w:jc w:val="left"/>
      </w:pPr>
    </w:p>
    <w:p>
      <w:pPr>
        <w:spacing w:after="80" w:line="300" w:lineRule="auto"/>
        <w:jc w:val="center"/>
      </w:pPr>
      <w:r>
        <w:rPr>
          <w:rFonts w:ascii="Arial" w:hAnsi="Arial" w:cs="Arial"/>
          <w:b/>
          <w:i w:val="0"/>
          <w:color w:val="1B3A5C"/>
          <w:sz w:val="20"/>
        </w:rPr>
        <w:t>Document metadata</w:t>
      </w:r>
    </w:p>
    <w:tbl>
      <w:tblPr>
        <w:tblW w:type="dxa" w:w="7488"/>
        <w:jc w:val="center"/>
        <w:tblLayout w:type="fixed"/>
        <w:tblLook w:firstColumn="1" w:firstRow="1" w:lastColumn="0" w:lastRow="0" w:noHBand="0" w:noVBand="1" w:val="04A0"/>
      </w:tblPr>
      <w:tblGrid>
        <w:gridCol w:w="3024"/>
        <w:gridCol w:w="4464"/>
      </w:tblGrid>
      <w:tr>
        <w:tc>
          <w:tcPr>
            <w:tcW w:type="dxa" w:w="3024"/>
            <w:shd w:val="clear" w:color="auto" w:fill="F8F9FA"/>
            <w:tcBorders>
              <w:top w:val="single" w:sz="4" w:color="DDDDDD"/>
              <w:left w:val="single" w:sz="4" w:color="DDDDDD"/>
              <w:bottom w:val="single" w:sz="4" w:color="DDDDDD"/>
              <w:right w:val="single" w:sz="4" w:color="DDDDDD"/>
            </w:tcBorders>
          </w:tcPr>
          <w:p>
            <w:r/>
            <w:r>
              <w:rPr>
                <w:rFonts w:ascii="Arial" w:hAnsi="Arial" w:cs="Arial"/>
                <w:b/>
                <w:i w:val="0"/>
                <w:color w:val="1B3A5C"/>
                <w:sz w:val="19"/>
              </w:rPr>
              <w:t>Document ID</w:t>
            </w:r>
          </w:p>
        </w:tc>
        <w:tc>
          <w:tcPr>
            <w:tcW w:type="dxa" w:w="4464"/>
            <w:shd w:val="clear" w:color="auto" w:fill="F8F9FA"/>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TPE-COMMS-CHARTER-ADDENDUM-2026-001</w:t>
            </w:r>
          </w:p>
        </w:tc>
      </w:tr>
      <w:tr>
        <w:tc>
          <w:tcPr>
            <w:tcW w:type="dxa" w:w="3024"/>
            <w:shd w:val="clear" w:color="auto" w:fill="FFFFFF"/>
            <w:tcBorders>
              <w:top w:val="single" w:sz="4" w:color="DDDDDD"/>
              <w:left w:val="single" w:sz="4" w:color="DDDDDD"/>
              <w:bottom w:val="single" w:sz="4" w:color="DDDDDD"/>
              <w:right w:val="single" w:sz="4" w:color="DDDDDD"/>
            </w:tcBorders>
          </w:tcPr>
          <w:p>
            <w:r/>
            <w:r>
              <w:rPr>
                <w:rFonts w:ascii="Arial" w:hAnsi="Arial" w:cs="Arial"/>
                <w:b/>
                <w:i w:val="0"/>
                <w:color w:val="1B3A5C"/>
                <w:sz w:val="19"/>
              </w:rPr>
              <w:t>Version</w:t>
            </w:r>
          </w:p>
        </w:tc>
        <w:tc>
          <w:tcPr>
            <w:tcW w:type="dxa" w:w="4464"/>
            <w:shd w:val="clear" w:color="auto" w:fill="FFFFFF"/>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1.1</w:t>
            </w:r>
          </w:p>
        </w:tc>
      </w:tr>
      <w:tr>
        <w:tc>
          <w:tcPr>
            <w:tcW w:type="dxa" w:w="3024"/>
            <w:shd w:val="clear" w:color="auto" w:fill="F8F9FA"/>
            <w:tcBorders>
              <w:top w:val="single" w:sz="4" w:color="DDDDDD"/>
              <w:left w:val="single" w:sz="4" w:color="DDDDDD"/>
              <w:bottom w:val="single" w:sz="4" w:color="DDDDDD"/>
              <w:right w:val="single" w:sz="4" w:color="DDDDDD"/>
            </w:tcBorders>
          </w:tcPr>
          <w:p>
            <w:r/>
            <w:r>
              <w:rPr>
                <w:rFonts w:ascii="Arial" w:hAnsi="Arial" w:cs="Arial"/>
                <w:b/>
                <w:i w:val="0"/>
                <w:color w:val="1B3A5C"/>
                <w:sz w:val="19"/>
              </w:rPr>
              <w:t>Date</w:t>
            </w:r>
          </w:p>
        </w:tc>
        <w:tc>
          <w:tcPr>
            <w:tcW w:type="dxa" w:w="4464"/>
            <w:shd w:val="clear" w:color="auto" w:fill="F8F9FA"/>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27 Apr 2026</w:t>
            </w:r>
          </w:p>
        </w:tc>
      </w:tr>
      <w:tr>
        <w:tc>
          <w:tcPr>
            <w:tcW w:type="dxa" w:w="3024"/>
            <w:shd w:val="clear" w:color="auto" w:fill="FFFFFF"/>
            <w:tcBorders>
              <w:top w:val="single" w:sz="4" w:color="DDDDDD"/>
              <w:left w:val="single" w:sz="4" w:color="DDDDDD"/>
              <w:bottom w:val="single" w:sz="4" w:color="DDDDDD"/>
              <w:right w:val="single" w:sz="4" w:color="DDDDDD"/>
            </w:tcBorders>
          </w:tcPr>
          <w:p>
            <w:r/>
            <w:r>
              <w:rPr>
                <w:rFonts w:ascii="Arial" w:hAnsi="Arial" w:cs="Arial"/>
                <w:b/>
                <w:i w:val="0"/>
                <w:color w:val="1B3A5C"/>
                <w:sz w:val="19"/>
              </w:rPr>
              <w:t>Prepared by</w:t>
            </w:r>
          </w:p>
        </w:tc>
        <w:tc>
          <w:tcPr>
            <w:tcW w:type="dxa" w:w="4464"/>
            <w:shd w:val="clear" w:color="auto" w:fill="FFFFFF"/>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Ashish Kumar Satyam</w:t>
            </w:r>
          </w:p>
        </w:tc>
      </w:tr>
      <w:tr>
        <w:tc>
          <w:tcPr>
            <w:tcW w:type="dxa" w:w="3024"/>
            <w:shd w:val="clear" w:color="auto" w:fill="F8F9FA"/>
            <w:tcBorders>
              <w:top w:val="single" w:sz="4" w:color="DDDDDD"/>
              <w:left w:val="single" w:sz="4" w:color="DDDDDD"/>
              <w:bottom w:val="single" w:sz="4" w:color="DDDDDD"/>
              <w:right w:val="single" w:sz="4" w:color="DDDDDD"/>
            </w:tcBorders>
          </w:tcPr>
          <w:p>
            <w:r/>
            <w:r>
              <w:rPr>
                <w:rFonts w:ascii="Arial" w:hAnsi="Arial" w:cs="Arial"/>
                <w:b/>
                <w:i w:val="0"/>
                <w:color w:val="1B3A5C"/>
                <w:sz w:val="19"/>
              </w:rPr>
              <w:t>Parent document</w:t>
            </w:r>
          </w:p>
        </w:tc>
        <w:tc>
          <w:tcPr>
            <w:tcW w:type="dxa" w:w="4464"/>
            <w:shd w:val="clear" w:color="auto" w:fill="F8F9FA"/>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TPE_Communication_System_Charter_v1.0.docx</w:t>
            </w:r>
          </w:p>
        </w:tc>
      </w:tr>
      <w:tr>
        <w:tc>
          <w:tcPr>
            <w:tcW w:type="dxa" w:w="3024"/>
            <w:shd w:val="clear" w:color="auto" w:fill="FFFFFF"/>
            <w:tcBorders>
              <w:top w:val="single" w:sz="4" w:color="DDDDDD"/>
              <w:left w:val="single" w:sz="4" w:color="DDDDDD"/>
              <w:bottom w:val="single" w:sz="4" w:color="DDDDDD"/>
              <w:right w:val="single" w:sz="4" w:color="DDDDDD"/>
            </w:tcBorders>
          </w:tcPr>
          <w:p>
            <w:r/>
            <w:r>
              <w:rPr>
                <w:rFonts w:ascii="Arial" w:hAnsi="Arial" w:cs="Arial"/>
                <w:b/>
                <w:i w:val="0"/>
                <w:color w:val="1B3A5C"/>
                <w:sz w:val="19"/>
              </w:rPr>
              <w:t>Status</w:t>
            </w:r>
          </w:p>
        </w:tc>
        <w:tc>
          <w:tcPr>
            <w:tcW w:type="dxa" w:w="4464"/>
            <w:shd w:val="clear" w:color="auto" w:fill="FFFFFF"/>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Pending Sponsor approval</w:t>
            </w:r>
          </w:p>
        </w:tc>
      </w:tr>
      <w:tr>
        <w:tc>
          <w:tcPr>
            <w:tcW w:type="dxa" w:w="3024"/>
            <w:shd w:val="clear" w:color="auto" w:fill="F8F9FA"/>
            <w:tcBorders>
              <w:top w:val="single" w:sz="4" w:color="DDDDDD"/>
              <w:left w:val="single" w:sz="4" w:color="DDDDDD"/>
              <w:bottom w:val="single" w:sz="4" w:color="DDDDDD"/>
              <w:right w:val="single" w:sz="4" w:color="DDDDDD"/>
            </w:tcBorders>
          </w:tcPr>
          <w:p>
            <w:r/>
            <w:r>
              <w:rPr>
                <w:rFonts w:ascii="Arial" w:hAnsi="Arial" w:cs="Arial"/>
                <w:b/>
                <w:i w:val="0"/>
                <w:color w:val="1B3A5C"/>
                <w:sz w:val="19"/>
              </w:rPr>
              <w:t>Distribution</w:t>
            </w:r>
          </w:p>
        </w:tc>
        <w:tc>
          <w:tcPr>
            <w:tcW w:type="dxa" w:w="4464"/>
            <w:shd w:val="clear" w:color="auto" w:fill="F8F9FA"/>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Same as parent Charter</w:t>
            </w:r>
          </w:p>
        </w:tc>
      </w:tr>
      <w:tr>
        <w:tc>
          <w:tcPr>
            <w:tcW w:type="dxa" w:w="3024"/>
            <w:shd w:val="clear" w:color="auto" w:fill="FFFFFF"/>
            <w:tcBorders>
              <w:top w:val="single" w:sz="4" w:color="DDDDDD"/>
              <w:left w:val="single" w:sz="4" w:color="DDDDDD"/>
              <w:bottom w:val="single" w:sz="4" w:color="DDDDDD"/>
              <w:right w:val="single" w:sz="4" w:color="DDDDDD"/>
            </w:tcBorders>
          </w:tcPr>
          <w:p>
            <w:r/>
            <w:r>
              <w:rPr>
                <w:rFonts w:ascii="Arial" w:hAnsi="Arial" w:cs="Arial"/>
                <w:b/>
                <w:i w:val="0"/>
                <w:color w:val="1B3A5C"/>
                <w:sz w:val="19"/>
              </w:rPr>
              <w:t>Classification</w:t>
            </w:r>
          </w:p>
        </w:tc>
        <w:tc>
          <w:tcPr>
            <w:tcW w:type="dxa" w:w="4464"/>
            <w:shd w:val="clear" w:color="auto" w:fill="FFFFFF"/>
            <w:tcBorders>
              <w:top w:val="single" w:sz="4" w:color="DDDDDD"/>
              <w:left w:val="single" w:sz="4" w:color="DDDDDD"/>
              <w:bottom w:val="single" w:sz="4" w:color="DDDDDD"/>
              <w:right w:val="single" w:sz="4" w:color="DDDDDD"/>
            </w:tcBorders>
          </w:tcPr>
          <w:p>
            <w:r/>
            <w:r>
              <w:rPr>
                <w:rFonts w:ascii="Arial" w:hAnsi="Arial" w:cs="Arial"/>
                <w:b w:val="0"/>
                <w:i w:val="0"/>
                <w:color w:val="2C3E50"/>
                <w:sz w:val="19"/>
              </w:rPr>
              <w:t>Internal &amp; Confidential</w:t>
            </w:r>
          </w:p>
        </w:tc>
      </w:tr>
    </w:tbl>
    <w:p>
      <w:pPr>
        <w:spacing w:after="360" w:line="300" w:lineRule="auto"/>
        <w:jc w:val="left"/>
      </w:pPr>
    </w:p>
    <w:tbl>
      <w:tblPr>
        <w:tblW w:type="dxa" w:w="9360"/>
        <w:tblLayout w:type="fixed"/>
        <w:tblLook w:firstColumn="1" w:firstRow="1" w:lastColumn="0" w:lastRow="0" w:noHBand="0" w:noVBand="1" w:val="04A0"/>
      </w:tblPr>
      <w:tblGrid>
        <w:gridCol w:w="9360"/>
      </w:tblGrid>
      <w:tr>
        <w:trPr>
          <w:trHeight w:val="80" w:hRule="exact"/>
        </w:trPr>
        <w:tc>
          <w:tcPr>
            <w:tcW w:type="dxa" w:w="9360"/>
            <w:shd w:val="clear" w:color="auto" w:fill="2E75B6"/>
          </w:tcPr>
          <w:p>
            <w:pPr>
              <w:spacing w:before="0" w:after="0"/>
            </w:pPr>
            <w:r/>
          </w:p>
        </w:tc>
      </w:tr>
    </w:tbl>
    <w:p>
      <w:pPr>
        <w:spacing w:after="80" w:line="300" w:lineRule="auto"/>
        <w:jc w:val="center"/>
      </w:pPr>
      <w:r>
        <w:rPr>
          <w:rFonts w:ascii="Arial" w:hAnsi="Arial" w:cs="Arial"/>
          <w:b w:val="0"/>
          <w:i/>
          <w:color w:val="7F8C8D"/>
          <w:sz w:val="18"/>
        </w:rPr>
        <w:t>This addendum supplements — does not replace — the v1.0 Charter. Once Sponsor-approved, its sections become effective immediately and are folded into v1.1 of the Charter at the next regenerated revision.</w:t>
      </w:r>
    </w:p>
    <w:p>
      <w:r>
        <w:br w:type="page"/>
      </w:r>
    </w:p>
    <w:p>
      <w:pPr>
        <w:spacing w:after="0"/>
      </w:pPr>
    </w:p>
    <w:p>
      <w:pPr>
        <w:spacing w:before="160" w:after="40"/>
      </w:pPr>
      <w:r>
        <w:rPr>
          <w:rFonts w:ascii="Arial" w:hAnsi="Arial" w:cs="Arial"/>
          <w:b/>
          <w:i w:val="0"/>
          <w:color w:val="2C3E50"/>
          <w:sz w:val="28"/>
        </w:rPr>
        <w:t>0  Purpose &amp; Reading Notes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60" w:line="300" w:lineRule="auto"/>
        <w:jc w:val="left"/>
      </w:pPr>
      <w:r>
        <w:rPr>
          <w:rFonts w:ascii="Arial" w:hAnsi="Arial" w:cs="Arial"/>
          <w:b w:val="0"/>
          <w:i w:val="0"/>
          <w:color w:val="2C3E50"/>
          <w:sz w:val="20"/>
        </w:rPr>
        <w:t>This addendum closes ten gaps identified during a structured review of the v1.0 Charter on 27 Apr 2026. The Charter is a strong scope and ownership document, but several enterprise-grade sections were absent. Rather than reissue the full Charter and disturb its structure, this addendum is published as a controlled companion: Sponsor approval here brings each section into force immediately.</w:t>
      </w:r>
    </w:p>
    <w:p>
      <w:pPr>
        <w:spacing w:after="80" w:line="300" w:lineRule="auto"/>
        <w:jc w:val="left"/>
      </w:pPr>
      <w:r>
        <w:rPr>
          <w:rFonts w:ascii="Arial" w:hAnsi="Arial" w:cs="Arial"/>
          <w:b/>
          <w:i w:val="0"/>
          <w:color w:val="1B3A5C"/>
          <w:sz w:val="22"/>
        </w:rPr>
        <w:t>How to read this document</w:t>
      </w:r>
    </w:p>
    <w:tbl>
      <w:tblPr>
        <w:tblW w:type="dxa" w:w="9360"/>
        <w:jc w:val="left"/>
        <w:tblLayout w:type="fixed"/>
        <w:tblLook w:firstColumn="1" w:firstRow="1" w:lastColumn="0" w:lastRow="0" w:noHBand="0" w:noVBand="1" w:val="04A0"/>
      </w:tblPr>
      <w:tblGrid>
        <w:gridCol w:w="4104"/>
        <w:gridCol w:w="1368"/>
        <w:gridCol w:w="3888"/>
      </w:tblGrid>
      <w:tr>
        <w:tc>
          <w:tcPr>
            <w:tcW w:type="dxa" w:w="410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Section</w:t>
            </w:r>
          </w:p>
        </w:tc>
        <w:tc>
          <w:tcPr>
            <w:tcW w:type="dxa" w:w="13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Tier</w:t>
            </w:r>
          </w:p>
        </w:tc>
        <w:tc>
          <w:tcPr>
            <w:tcW w:type="dxa" w:w="38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Why it was missing matters</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A1  Effort Estimation (person-days)</w:t>
            </w:r>
          </w:p>
        </w:tc>
        <w:tc>
          <w:tcPr>
            <w:tcW w:type="dxa" w:w="13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Charter has 6 calendar weeks but no person-day budget — cannot resource-plan</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A2  Per-deliverable Acceptance Criteria</w:t>
            </w:r>
          </w:p>
        </w:tc>
        <w:tc>
          <w:tcPr>
            <w:tcW w:type="dxa" w:w="13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Phase exit criteria exist but no per-deliverable 'done' definition</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A3  Service Level Agreements</w:t>
            </w:r>
          </w:p>
        </w:tc>
        <w:tc>
          <w:tcPr>
            <w:tcW w:type="dxa" w:w="13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 operational or delivery SLAs — both teams need them</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A4  Quality Assurance &amp; Testing Strategy</w:t>
            </w:r>
          </w:p>
        </w:tc>
        <w:tc>
          <w:tcPr>
            <w:tcW w:type="dxa" w:w="13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Test pack is a deliverable but the strategy is not specified</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A5  Security &amp; Privacy Framework</w:t>
            </w:r>
          </w:p>
        </w:tc>
        <w:tc>
          <w:tcPr>
            <w:tcW w:type="dxa" w:w="13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DPDPA referenced but no PII classification or controls matrix</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A6  Cost &amp; Budget Estimate</w:t>
            </w:r>
          </w:p>
        </w:tc>
        <w:tc>
          <w:tcPr>
            <w:tcW w:type="dxa" w:w="13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 budget envelope — Sponsor cannot approve spend</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A7  Glossary</w:t>
            </w:r>
          </w:p>
        </w:tc>
        <w:tc>
          <w:tcPr>
            <w:tcW w:type="dxa" w:w="13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Critical</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DLT, BSP, IRDAI, DPDPA, FATCA undefined for non-technical readers</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A8  Document Control &amp; Approval Matrix</w:t>
            </w:r>
          </w:p>
        </w:tc>
        <w:tc>
          <w:tcPr>
            <w:tcW w:type="dxa" w:w="13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Important</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Sign-off block exists but no formal state machine</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A9  Communication Management Plan</w:t>
            </w:r>
          </w:p>
        </w:tc>
        <w:tc>
          <w:tcPr>
            <w:tcW w:type="dxa" w:w="13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Important</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How does the project itself communicate</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A10 Operational Readiness &amp; Go-Live Checklist</w:t>
            </w:r>
          </w:p>
        </w:tc>
        <w:tc>
          <w:tcPr>
            <w:tcW w:type="dxa" w:w="13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Important</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Cutover mentioned but no go/no-go criteria</w:t>
            </w:r>
          </w:p>
        </w:tc>
      </w:tr>
    </w:tbl>
    <w:tbl>
      <w:tblPr>
        <w:tblW w:type="dxa" w:w="9360"/>
        <w:tblLayout w:type="fixed"/>
        <w:tblLook w:firstColumn="1" w:firstRow="1" w:lastColumn="0" w:lastRow="0" w:noHBand="0" w:noVBand="1" w:val="04A0"/>
      </w:tblPr>
      <w:tblGrid>
        <w:gridCol w:w="9360"/>
      </w:tblGrid>
      <w:tr>
        <w:tc>
          <w:tcPr>
            <w:tcW w:type="dxa" w:w="9360"/>
            <w:shd w:val="clear" w:color="auto" w:fill="F0F4F8"/>
            <w:tcBorders>
              <w:top w:val="single" w:sz="4" w:color="BFBFBF"/>
              <w:left w:val="single" w:sz="4" w:color="BFBFBF"/>
              <w:bottom w:val="single" w:sz="4" w:color="BFBFBF"/>
              <w:right w:val="single" w:sz="4" w:color="BFBFBF"/>
            </w:tcBorders>
          </w:tcPr>
          <w:p>
            <w:r/>
            <w:r>
              <w:rPr>
                <w:rFonts w:ascii="Arial" w:hAnsi="Arial" w:cs="Arial"/>
                <w:b/>
                <w:i w:val="0"/>
                <w:color w:val="1B3A5C"/>
                <w:sz w:val="20"/>
              </w:rPr>
              <w:t>Source of truth precedence</w:t>
            </w:r>
          </w:p>
          <w:p>
            <w:r>
              <w:rPr>
                <w:rFonts w:ascii="Arial" w:hAnsi="Arial" w:cs="Arial"/>
                <w:b w:val="0"/>
                <w:i w:val="0"/>
                <w:color w:val="2C3E50"/>
                <w:sz w:val="19"/>
              </w:rPr>
              <w:t>Where this addendum and the v1.0 Charter both speak to a topic, the addendum prevails for the items it explicitly covers. The Charter remains authoritative for Sections 1–10 of the original. On approval of this addendum and subsequent regeneration into Charter v1.1, this precedence rule is dissolved.</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A1  Effort Estimation (Person-Days)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The Charter's six calendar weeks are made up of the following person-day allocations. Engineering is expressed as full-time equivalents (FTE × days); reviewer time is calendar-distributed.</w:t>
      </w:r>
    </w:p>
    <w:p>
      <w:pPr>
        <w:spacing w:before="80" w:after="40"/>
      </w:pPr>
      <w:r>
        <w:rPr>
          <w:rFonts w:ascii="Arial" w:hAnsi="Arial" w:cs="Arial"/>
          <w:b/>
          <w:i w:val="0"/>
          <w:color w:val="1B3A5C"/>
          <w:sz w:val="24"/>
        </w:rPr>
        <w:t>A1.1  Engineering effort by phase</w:t>
      </w:r>
    </w:p>
    <w:tbl>
      <w:tblPr>
        <w:tblW w:type="dxa" w:w="9360"/>
        <w:jc w:val="left"/>
        <w:tblLayout w:type="fixed"/>
        <w:tblLook w:firstColumn="1" w:firstRow="1" w:lastColumn="0" w:lastRow="0" w:noHBand="0" w:noVBand="1" w:val="04A0"/>
      </w:tblPr>
      <w:tblGrid>
        <w:gridCol w:w="3168"/>
        <w:gridCol w:w="1296"/>
        <w:gridCol w:w="1512"/>
        <w:gridCol w:w="1440"/>
        <w:gridCol w:w="936"/>
        <w:gridCol w:w="1007"/>
      </w:tblGrid>
      <w:tr>
        <w:tc>
          <w:tcPr>
            <w:tcW w:type="dxa" w:w="31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Phase</w:t>
            </w:r>
          </w:p>
        </w:tc>
        <w:tc>
          <w:tcPr>
            <w:tcW w:type="dxa" w:w="129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Calendar weeks</w:t>
            </w:r>
          </w:p>
        </w:tc>
        <w:tc>
          <w:tcPr>
            <w:tcW w:type="dxa" w:w="151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Backend Eng (×2 FTE)</w:t>
            </w:r>
          </w:p>
        </w:tc>
        <w:tc>
          <w:tcPr>
            <w:tcW w:type="dxa" w:w="14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Infra/DevOps (×0.5)</w:t>
            </w:r>
          </w:p>
        </w:tc>
        <w:tc>
          <w:tcPr>
            <w:tcW w:type="dxa" w:w="9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QA (×0.5)</w:t>
            </w:r>
          </w:p>
        </w:tc>
        <w:tc>
          <w:tcPr>
            <w:tcW w:type="dxa" w:w="1007"/>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Total person-days</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  Foundation</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 1</w:t>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9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15.0</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P2  Policyholder Workflows</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 2</w:t>
            </w:r>
          </w:p>
        </w:tc>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9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15.0</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P3  Investor / Insurer / Ops / Reg + HI + Multi-tenant</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Weeks 3–4</w:t>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5.0</w:t>
            </w:r>
          </w:p>
        </w:tc>
        <w:tc>
          <w:tcPr>
            <w:tcW w:type="dxa" w:w="9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5.0</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30.0</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P4  Compliance Middleware + Observability</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 5</w:t>
            </w:r>
          </w:p>
        </w:tc>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9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15.0</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P5  Custom Providers + Production Hardening</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 6</w:t>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9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15.0</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Hypercare</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 7</w:t>
            </w:r>
          </w:p>
        </w:tc>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w:t>
            </w:r>
          </w:p>
        </w:tc>
        <w:tc>
          <w:tcPr>
            <w:tcW w:type="dxa" w:w="9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8.5</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TOTAL</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 weeks</w:t>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65</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17.5</w:t>
            </w:r>
          </w:p>
        </w:tc>
        <w:tc>
          <w:tcPr>
            <w:tcW w:type="dxa" w:w="9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16.0</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98.5</w:t>
            </w:r>
          </w:p>
        </w:tc>
      </w:tr>
    </w:tbl>
    <w:p>
      <w:pPr>
        <w:spacing w:before="80" w:after="40"/>
      </w:pPr>
      <w:r>
        <w:rPr>
          <w:rFonts w:ascii="Arial" w:hAnsi="Arial" w:cs="Arial"/>
          <w:b/>
          <w:i w:val="0"/>
          <w:color w:val="1B3A5C"/>
          <w:sz w:val="24"/>
        </w:rPr>
        <w:t>A1.2  Reviewer effort (CX, Compliance, Brand, Operations)</w:t>
      </w:r>
    </w:p>
    <w:tbl>
      <w:tblPr>
        <w:tblW w:type="dxa" w:w="9360"/>
        <w:jc w:val="left"/>
        <w:tblLayout w:type="fixed"/>
        <w:tblLook w:firstColumn="1" w:firstRow="1" w:lastColumn="0" w:lastRow="0" w:noHBand="0" w:noVBand="1" w:val="04A0"/>
      </w:tblPr>
      <w:tblGrid>
        <w:gridCol w:w="2232"/>
        <w:gridCol w:w="2664"/>
        <w:gridCol w:w="1728"/>
        <w:gridCol w:w="2736"/>
      </w:tblGrid>
      <w:tr>
        <w:tc>
          <w:tcPr>
            <w:tcW w:type="dxa" w:w="223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Reviewer</w:t>
            </w:r>
          </w:p>
        </w:tc>
        <w:tc>
          <w:tcPr>
            <w:tcW w:type="dxa" w:w="26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Allocation</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Total person-days</w:t>
            </w:r>
          </w:p>
        </w:tc>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When</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CX Lead</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~4h/week × 7 weeks</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3.5</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Continuous content review</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Compliance Lead</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~4h/week × 7 weeks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3.5</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Continuous lint review + DLT/IRDAI/BSP sign-off</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Brand Reviewer</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~2h/week × 5 weeks</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1.25</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P2–P3 voice + tone review</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Operations Lead</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 days total</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2.0</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Insurer registry inputs + cadence rules</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Infrastructure Lead</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 days total</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3.0</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AWS account, IAM, observability hookup</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Sponsor/Owner</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Phase-gate × 5 + escalations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2.5</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Phase-gate sign-offs</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TOTAL reviewer effort</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15.75</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Distributed across 7 weeks</w:t>
            </w:r>
          </w:p>
        </w:tc>
      </w:tr>
    </w:tbl>
    <w:p>
      <w:pPr>
        <w:spacing w:before="80" w:after="40"/>
      </w:pPr>
      <w:r>
        <w:rPr>
          <w:rFonts w:ascii="Arial" w:hAnsi="Arial" w:cs="Arial"/>
          <w:b/>
          <w:i w:val="0"/>
          <w:color w:val="1B3A5C"/>
          <w:sz w:val="24"/>
        </w:rPr>
        <w:t>A1.3  Headline numbers</w:t>
      </w:r>
    </w:p>
    <w:tbl>
      <w:tblPr>
        <w:tblW w:type="dxa" w:w="9360"/>
        <w:jc w:val="left"/>
        <w:tblLayout w:type="fixed"/>
        <w:tblLook w:firstColumn="1" w:firstRow="1" w:lastColumn="0" w:lastRow="0" w:noHBand="0" w:noVBand="1" w:val="04A0"/>
      </w:tblPr>
      <w:tblGrid>
        <w:gridCol w:w="5040"/>
        <w:gridCol w:w="4320"/>
      </w:tblGrid>
      <w:tr>
        <w:tc>
          <w:tcPr>
            <w:tcW w:type="dxa" w:w="50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Metric</w:t>
            </w:r>
          </w:p>
        </w:tc>
        <w:tc>
          <w:tcPr>
            <w:tcW w:type="dxa" w:w="432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Value</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Total engineering person-days (P1–P5)</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90.0</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Hypercare person-days</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8.5</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Reviewer person-days</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15.75</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GRAND TOTAL person-days</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114.25</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Calendar duration (build + hypercare)</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7 weeks</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FTE-equivalent for build phase</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 3.0 FTE for 6 weeks</w:t>
            </w:r>
          </w:p>
        </w:tc>
      </w:tr>
    </w:tbl>
    <w:tbl>
      <w:tblPr>
        <w:tblW w:type="dxa" w:w="9360"/>
        <w:tblLayout w:type="fixed"/>
        <w:tblLook w:firstColumn="1" w:firstRow="1" w:lastColumn="0" w:lastRow="0" w:noHBand="0" w:noVBand="1" w:val="04A0"/>
      </w:tblPr>
      <w:tblGrid>
        <w:gridCol w:w="9360"/>
      </w:tblGrid>
      <w:tr>
        <w:tc>
          <w:tcPr>
            <w:tcW w:type="dxa" w:w="9360"/>
            <w:shd w:val="clear" w:color="auto" w:fill="F0F4F8"/>
            <w:tcBorders>
              <w:top w:val="single" w:sz="4" w:color="BFBFBF"/>
              <w:left w:val="single" w:sz="4" w:color="BFBFBF"/>
              <w:bottom w:val="single" w:sz="4" w:color="BFBFBF"/>
              <w:right w:val="single" w:sz="4" w:color="BFBFBF"/>
            </w:tcBorders>
          </w:tcPr>
          <w:p>
            <w:r/>
            <w:r>
              <w:rPr>
                <w:rFonts w:ascii="Arial" w:hAnsi="Arial" w:cs="Arial"/>
                <w:b/>
                <w:i w:val="0"/>
                <w:color w:val="1B3A5C"/>
                <w:sz w:val="20"/>
              </w:rPr>
              <w:t>How to read these numbers</w:t>
            </w:r>
          </w:p>
          <w:p>
            <w:r>
              <w:rPr>
                <w:rFonts w:ascii="Arial" w:hAnsi="Arial" w:cs="Arial"/>
                <w:b w:val="0"/>
                <w:i w:val="0"/>
                <w:color w:val="2C3E50"/>
                <w:sz w:val="19"/>
              </w:rPr>
              <w:t>Engineering person-days assume two backend engineers full-time, one infra engineer at 50%, and one QA engineer at 50%. If the team composition differs, multiply or divide accordingly. Reviewer time is non-substitutable — Compliance review cannot be back-filled by anyone outside the Compliance function.</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A2  Per-deliverable Acceptance Criteria</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Each of the ten deliverables in Charter §5 is accepted only when the criteria below are demonstrated to the Project Owner. The criteria are written as observable behaviour, not as project milestones — so they survive any later schedule changes.</w:t>
      </w:r>
    </w:p>
    <w:tbl>
      <w:tblPr>
        <w:tblW w:type="dxa" w:w="9360"/>
        <w:jc w:val="left"/>
        <w:tblLayout w:type="fixed"/>
        <w:tblLook w:firstColumn="1" w:firstRow="1" w:lastColumn="0" w:lastRow="0" w:noHBand="0" w:noVBand="1" w:val="04A0"/>
      </w:tblPr>
      <w:tblGrid>
        <w:gridCol w:w="503"/>
        <w:gridCol w:w="3168"/>
        <w:gridCol w:w="5688"/>
      </w:tblGrid>
      <w:tr>
        <w:tc>
          <w:tcPr>
            <w:tcW w:type="dxa" w:w="503"/>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w:t>
            </w:r>
          </w:p>
        </w:tc>
        <w:tc>
          <w:tcPr>
            <w:tcW w:type="dxa" w:w="31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Deliverable</w:t>
            </w:r>
          </w:p>
        </w:tc>
        <w:tc>
          <w:tcPr>
            <w:tcW w:type="dxa" w:w="56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Acceptance criteria</w:t>
            </w:r>
          </w:p>
        </w:tc>
      </w:tr>
      <w:tr>
        <w:tc>
          <w:tcPr>
            <w:tcW w:type="dxa" w:w="50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Self-hosted Novu deployment (Multi-AZ, ap-south-1)</w:t>
            </w:r>
          </w:p>
        </w:tc>
        <w:tc>
          <w:tcPr>
            <w:tcW w:type="dxa" w:w="56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Novu Web reachable via SSO; data tier in Multi-AZ; documented RPO ≤ 24h / RTO ≤ 4h; first PoC workflow execution succeeds end-to-end; IaC checked into repo.</w:t>
            </w:r>
          </w:p>
        </w:tc>
      </w:tr>
      <w:tr>
        <w:tc>
          <w:tcPr>
            <w:tcW w:type="dxa" w:w="50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49 workflow definitions</w:t>
            </w:r>
          </w:p>
        </w:tc>
        <w:tc>
          <w:tcPr>
            <w:tcW w:type="dxa" w:w="56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49 IDs deployed in production environment; each has at least one successful execution against a representative subscriber; trigger ID stable; per-trigger detail (5 axes) documented.</w:t>
            </w:r>
          </w:p>
        </w:tc>
      </w:tr>
      <w:tr>
        <w:tc>
          <w:tcPr>
            <w:tcW w:type="dxa" w:w="50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Custom provider plugins (MSG91, Karix) + Gupshup config</w:t>
            </w:r>
          </w:p>
        </w:tc>
        <w:tc>
          <w:tcPr>
            <w:tcW w:type="dxa" w:w="56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3 providers reachable; failover Gupshup → MSG91 → Karix tested end-to-end; sandbox dry-run produces provider-valid payload; receipt ingestion verified.</w:t>
            </w:r>
          </w:p>
        </w:tc>
      </w:tr>
      <w:tr>
        <w:tc>
          <w:tcPr>
            <w:tcW w:type="dxa" w:w="50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4</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Compliance middleware (≥ 30 rules across 7 regimes)</w:t>
            </w:r>
          </w:p>
        </w:tc>
        <w:tc>
          <w:tcPr>
            <w:tcW w:type="dxa" w:w="56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30 lint rules active; CI gate blocks PR on rule violation; pre-execution gate blocks send on rule violation; rule definitions externalised as YAML; override path logged.</w:t>
            </w:r>
          </w:p>
        </w:tc>
      </w:tr>
      <w:tr>
        <w:tc>
          <w:tcPr>
            <w:tcW w:type="dxa" w:w="50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Multi-tenant insurer registry (11 carriers)</w:t>
            </w:r>
          </w:p>
        </w:tc>
        <w:tc>
          <w:tcPr>
            <w:tcW w:type="dxa" w:w="56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Each carrier has sender identity, MIS template, contact, escalation, brand-voice; tenant resolution at workflow execution; INS-02 reconciles 100% in first month.</w:t>
            </w:r>
          </w:p>
        </w:tc>
      </w:tr>
      <w:tr>
        <w:tc>
          <w:tcPr>
            <w:tcW w:type="dxa" w:w="50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6</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Observability stack: logs + metrics + audit trail</w:t>
            </w:r>
          </w:p>
        </w:tc>
        <w:tc>
          <w:tcPr>
            <w:tcW w:type="dxa" w:w="56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Structured logs queryable; SLA metrics dashboard live; per-message audit row written with PII tokenised; subject-access export under 60 seconds for any subscriber.</w:t>
            </w:r>
          </w:p>
        </w:tc>
      </w:tr>
      <w:tr>
        <w:tc>
          <w:tcPr>
            <w:tcW w:type="dxa" w:w="50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One-time subscriber data sync</w:t>
            </w:r>
          </w:p>
        </w:tc>
        <w:tc>
          <w:tcPr>
            <w:tcW w:type="dxa" w:w="56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in-scope PH and INV subscribers loaded; diff report produced and reconciled; non-conforming rows surfaced with action; idempotent re-run supported.</w:t>
            </w:r>
          </w:p>
        </w:tc>
      </w:tr>
      <w:tr>
        <w:tc>
          <w:tcPr>
            <w:tcW w:type="dxa" w:w="50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Documentation set (5 documents)</w:t>
            </w:r>
          </w:p>
        </w:tc>
        <w:tc>
          <w:tcPr>
            <w:tcW w:type="dxa" w:w="56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Workflow author guide, infra runbook, compliance reference card, provider plugin docs, operations runbook — all in repo, reviewed, and tagged to the release.</w:t>
            </w:r>
          </w:p>
        </w:tc>
      </w:tr>
      <w:tr>
        <w:tc>
          <w:tcPr>
            <w:tcW w:type="dxa" w:w="50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9</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Test pack: schema, lint, render, execution, E2E</w:t>
            </w:r>
          </w:p>
        </w:tc>
        <w:tc>
          <w:tcPr>
            <w:tcW w:type="dxa" w:w="56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30 schema tests; ≥ 30 lint rules covered; render goldens for all (audience × channel × language) pairs; 49 workflow execution tests; 5 E2E tests covering the highest-volume triggers.</w:t>
            </w:r>
          </w:p>
        </w:tc>
      </w:tr>
      <w:tr>
        <w:tc>
          <w:tcPr>
            <w:tcW w:type="dxa" w:w="50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Production cutover plan + 1 week hypercare</w:t>
            </w:r>
          </w:p>
        </w:tc>
        <w:tc>
          <w:tcPr>
            <w:tcW w:type="dxa" w:w="56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Cutover plan signed by Project Owner; staging cutover successful before production; 1 week of named on-call; zero open Sev-1 at hypercare exit.</w:t>
            </w:r>
          </w:p>
        </w:tc>
      </w:tr>
    </w:tbl>
    <w:tbl>
      <w:tblPr>
        <w:tblW w:type="dxa" w:w="9360"/>
        <w:tblLayout w:type="fixed"/>
        <w:tblLook w:firstColumn="1" w:firstRow="1" w:lastColumn="0" w:lastRow="0" w:noHBand="0" w:noVBand="1" w:val="04A0"/>
      </w:tblPr>
      <w:tblGrid>
        <w:gridCol w:w="9360"/>
      </w:tblGrid>
      <w:tr>
        <w:tc>
          <w:tcPr>
            <w:tcW w:type="dxa" w:w="936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20"/>
              </w:rPr>
              <w:t>Acceptance is binary</w:t>
            </w:r>
          </w:p>
          <w:p>
            <w:r>
              <w:rPr>
                <w:rFonts w:ascii="Arial" w:hAnsi="Arial" w:cs="Arial"/>
                <w:b w:val="0"/>
                <w:i w:val="0"/>
                <w:color w:val="2C3E50"/>
                <w:sz w:val="19"/>
              </w:rPr>
              <w:t>A deliverable either meets all of its acceptance criteria or it does not. There is no 'partial accept' — partial work returns to the build team with a documented gap list. The Project Owner has five business days to accept or return after demonstration; silence past five days is implicit acceptance.</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A3  Service Level Agreements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Two SLA sets: operational SLAs the delivered system commits to post-launch, and delivery SLAs the build team commits to during the project. Both are tracked from go-live and during build respectively; breach handling is in §A3.3.</w:t>
      </w:r>
    </w:p>
    <w:p>
      <w:pPr>
        <w:spacing w:before="80" w:after="40"/>
      </w:pPr>
      <w:r>
        <w:rPr>
          <w:rFonts w:ascii="Arial" w:hAnsi="Arial" w:cs="Arial"/>
          <w:b/>
          <w:i w:val="0"/>
          <w:color w:val="1B3A5C"/>
          <w:sz w:val="24"/>
        </w:rPr>
        <w:t>A3.1  Operational SLAs (post go-live)</w:t>
      </w:r>
    </w:p>
    <w:tbl>
      <w:tblPr>
        <w:tblW w:type="dxa" w:w="9360"/>
        <w:jc w:val="left"/>
        <w:tblLayout w:type="fixed"/>
        <w:tblLook w:firstColumn="1" w:firstRow="1" w:lastColumn="0" w:lastRow="0" w:noHBand="0" w:noVBand="1" w:val="04A0"/>
      </w:tblPr>
      <w:tblGrid>
        <w:gridCol w:w="2880"/>
        <w:gridCol w:w="2880"/>
        <w:gridCol w:w="2160"/>
        <w:gridCol w:w="1440"/>
      </w:tblGrid>
      <w:tr>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Service</w:t>
            </w:r>
          </w:p>
        </w:tc>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Metric</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Target</w:t>
            </w:r>
          </w:p>
        </w:tc>
        <w:tc>
          <w:tcPr>
            <w:tcW w:type="dxa" w:w="14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Measurement</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 approval queue</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Time from PR open to merge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24h business day</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GitHub PR metrics</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Lint engine availability</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Uptime (rolling 30 days)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99.5%</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CI metrics</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Render correctness</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Sev-1 incidents per quarter</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Production observation</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OTP delivery</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P95 delivery latency</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10 seconds</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Provider receipts</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Premium-due dispatch</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Send-window adherence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100% within DLT 9–21 IST window</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DLT compliance report</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Audit-trail export</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Time to produce per-template audit</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60 seconds</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Operational test</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Subject-access response</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DPDPA SAR turnaround</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7 calendar days</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Incident log</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Failover (provider)</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Time to switch provider on 5xx</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30 seconds</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 execution log</w:t>
            </w:r>
          </w:p>
        </w:tc>
      </w:tr>
    </w:tbl>
    <w:p>
      <w:pPr>
        <w:spacing w:before="80" w:after="40"/>
      </w:pPr>
      <w:r>
        <w:rPr>
          <w:rFonts w:ascii="Arial" w:hAnsi="Arial" w:cs="Arial"/>
          <w:b/>
          <w:i w:val="0"/>
          <w:color w:val="1B3A5C"/>
          <w:sz w:val="24"/>
        </w:rPr>
        <w:t>A3.2  Delivery SLAs (during build)</w:t>
      </w:r>
    </w:p>
    <w:tbl>
      <w:tblPr>
        <w:tblW w:type="dxa" w:w="9360"/>
        <w:jc w:val="left"/>
        <w:tblLayout w:type="fixed"/>
        <w:tblLook w:firstColumn="1" w:firstRow="1" w:lastColumn="0" w:lastRow="0" w:noHBand="0" w:noVBand="1" w:val="04A0"/>
      </w:tblPr>
      <w:tblGrid>
        <w:gridCol w:w="4104"/>
        <w:gridCol w:w="2951"/>
        <w:gridCol w:w="2304"/>
      </w:tblGrid>
      <w:tr>
        <w:tc>
          <w:tcPr>
            <w:tcW w:type="dxa" w:w="410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Activity</w:t>
            </w:r>
          </w:p>
        </w:tc>
        <w:tc>
          <w:tcPr>
            <w:tcW w:type="dxa" w:w="295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Target SLA</w:t>
            </w:r>
          </w:p>
        </w:tc>
        <w:tc>
          <w:tcPr>
            <w:tcW w:type="dxa" w:w="230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Owner</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Phase-gate review pack ready</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T-2 business days before review</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Lead</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Compliance review of workflow PR</w:t>
            </w:r>
          </w:p>
        </w:tc>
        <w:tc>
          <w:tcPr>
            <w:tcW w:type="dxa" w:w="295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24h business day</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Compliance Lead</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Brand review of workflow content</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24h business day</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CX Lead</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Reviewer-blocked CR triage</w:t>
            </w:r>
          </w:p>
        </w:tc>
        <w:tc>
          <w:tcPr>
            <w:tcW w:type="dxa" w:w="295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Same business day</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Lead</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Sev-1 defect response (in build)</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hour</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Weekly status report publication</w:t>
            </w:r>
          </w:p>
        </w:tc>
        <w:tc>
          <w:tcPr>
            <w:tcW w:type="dxa" w:w="295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Friday 16:00 IST</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Lead</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Change Request decision (Material+)</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Within 5 business days of raised</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Project Owner</w:t>
            </w:r>
          </w:p>
        </w:tc>
      </w:tr>
    </w:tbl>
    <w:p>
      <w:pPr>
        <w:spacing w:before="80" w:after="40"/>
      </w:pPr>
      <w:r>
        <w:rPr>
          <w:rFonts w:ascii="Arial" w:hAnsi="Arial" w:cs="Arial"/>
          <w:b/>
          <w:i w:val="0"/>
          <w:color w:val="1B3A5C"/>
          <w:sz w:val="24"/>
        </w:rPr>
        <w:t>A3.3  Breach handling</w:t>
      </w:r>
    </w:p>
    <w:p>
      <w:pPr>
        <w:pStyle w:val="ListBullet"/>
        <w:spacing w:after="40"/>
        <w:ind w:left="283"/>
      </w:pPr>
      <w:r>
        <w:rPr>
          <w:rFonts w:ascii="Arial" w:hAnsi="Arial" w:cs="Arial"/>
          <w:b w:val="0"/>
          <w:i w:val="0"/>
          <w:color w:val="2C3E50"/>
          <w:sz w:val="20"/>
        </w:rPr>
        <w:t>First breach in a rolling 30-day window: documented in weekly status, root-cause noted, no further escalation.</w:t>
      </w:r>
    </w:p>
    <w:p>
      <w:pPr>
        <w:pStyle w:val="ListBullet"/>
        <w:spacing w:after="40"/>
        <w:ind w:left="283"/>
      </w:pPr>
      <w:r>
        <w:rPr>
          <w:rFonts w:ascii="Arial" w:hAnsi="Arial" w:cs="Arial"/>
          <w:b w:val="0"/>
          <w:i w:val="0"/>
          <w:color w:val="2C3E50"/>
          <w:sz w:val="20"/>
        </w:rPr>
        <w:t>Second breach in 30 days: Engineering Lead escalates to Project Owner; mitigation plan due within 3 business days.</w:t>
      </w:r>
    </w:p>
    <w:p>
      <w:pPr>
        <w:pStyle w:val="ListBullet"/>
        <w:spacing w:after="40"/>
        <w:ind w:left="283"/>
      </w:pPr>
      <w:r>
        <w:rPr>
          <w:rFonts w:ascii="Arial" w:hAnsi="Arial" w:cs="Arial"/>
          <w:b w:val="0"/>
          <w:i w:val="0"/>
          <w:color w:val="2C3E50"/>
          <w:sz w:val="20"/>
        </w:rPr>
        <w:t>Three or more breaches in 30 days: phase plan re-baselined if material; surfaced to Sponsor.</w:t>
      </w:r>
    </w:p>
    <w:p>
      <w:pPr>
        <w:pStyle w:val="ListBullet"/>
        <w:spacing w:after="40"/>
        <w:ind w:left="283"/>
      </w:pPr>
      <w:r>
        <w:rPr>
          <w:rFonts w:ascii="Arial" w:hAnsi="Arial" w:cs="Arial"/>
          <w:b w:val="0"/>
          <w:i w:val="0"/>
          <w:color w:val="2C3E50"/>
          <w:sz w:val="20"/>
        </w:rPr>
        <w:t>Breaches are visible — no breach is concealed by re-defining the metric.</w:t>
      </w:r>
    </w:p>
    <w:p>
      <w:pPr>
        <w:pStyle w:val="ListBullet"/>
        <w:spacing w:after="40"/>
        <w:ind w:left="283"/>
      </w:pPr>
      <w:r>
        <w:rPr>
          <w:rFonts w:ascii="Arial" w:hAnsi="Arial" w:cs="Arial"/>
          <w:b w:val="0"/>
          <w:i w:val="0"/>
          <w:color w:val="2C3E50"/>
          <w:sz w:val="20"/>
        </w:rPr>
        <w:t>SLAs are subject to formal review at each phase gate; revisions follow the Change Management process (Charter §8).</w:t>
      </w:r>
    </w:p>
    <w:p>
      <w:r>
        <w:br w:type="page"/>
      </w:r>
    </w:p>
    <w:p>
      <w:pPr>
        <w:spacing w:after="0"/>
      </w:pPr>
    </w:p>
    <w:p>
      <w:pPr>
        <w:spacing w:before="160" w:after="40"/>
      </w:pPr>
      <w:r>
        <w:rPr>
          <w:rFonts w:ascii="Arial" w:hAnsi="Arial" w:cs="Arial"/>
          <w:b/>
          <w:i w:val="0"/>
          <w:color w:val="2C3E50"/>
          <w:sz w:val="28"/>
        </w:rPr>
        <w:t>A4  Quality Assurance &amp; Testing Strategy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Quality is engineered, not reviewed in. Five test levels each catch a different defect class. The test pack itself (Charter Deliverable #9) is the substrate; the strategy below is how the pack is grown and operated.</w:t>
      </w:r>
    </w:p>
    <w:p>
      <w:pPr>
        <w:spacing w:before="80" w:after="40"/>
      </w:pPr>
      <w:r>
        <w:rPr>
          <w:rFonts w:ascii="Arial" w:hAnsi="Arial" w:cs="Arial"/>
          <w:b/>
          <w:i w:val="0"/>
          <w:color w:val="1B3A5C"/>
          <w:sz w:val="24"/>
        </w:rPr>
        <w:t>A4.1  The five test levels</w:t>
      </w:r>
    </w:p>
    <w:tbl>
      <w:tblPr>
        <w:tblW w:type="dxa" w:w="9360"/>
        <w:jc w:val="left"/>
        <w:tblLayout w:type="fixed"/>
        <w:tblLook w:firstColumn="1" w:firstRow="1" w:lastColumn="0" w:lastRow="0" w:noHBand="0" w:noVBand="1" w:val="04A0"/>
      </w:tblPr>
      <w:tblGrid>
        <w:gridCol w:w="1512"/>
        <w:gridCol w:w="3024"/>
        <w:gridCol w:w="2951"/>
        <w:gridCol w:w="1872"/>
      </w:tblGrid>
      <w:tr>
        <w:tc>
          <w:tcPr>
            <w:tcW w:type="dxa" w:w="151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Level</w:t>
            </w:r>
          </w:p>
        </w:tc>
        <w:tc>
          <w:tcPr>
            <w:tcW w:type="dxa" w:w="302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Catches</w:t>
            </w:r>
          </w:p>
        </w:tc>
        <w:tc>
          <w:tcPr>
            <w:tcW w:type="dxa" w:w="295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Example</w:t>
            </w:r>
          </w:p>
        </w:tc>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Run when</w:t>
            </w:r>
          </w:p>
        </w:tc>
      </w:tr>
      <w:tr>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7"/>
              </w:rPr>
              <w:t>L1  Schema</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Malformed workflow definitions, missing required fields</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Workflow with no audience tag fails parse</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Pre-commit + CI</w:t>
            </w:r>
          </w:p>
        </w:tc>
      </w:tr>
      <w:tr>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7"/>
              </w:rPr>
              <w:t>L2  Lint</w:t>
            </w:r>
          </w:p>
        </w:tc>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Compliance violations — DLT, IRDAI, WA-BSP, DPDPA, brand-voice</w:t>
            </w:r>
          </w:p>
        </w:tc>
        <w:tc>
          <w:tcPr>
            <w:tcW w:type="dxa" w:w="295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WhatsApp Marketing template without opt-out</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Pre-commit + workflow pre-execution</w:t>
            </w:r>
          </w:p>
        </w:tc>
      </w:tr>
      <w:tr>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7"/>
              </w:rPr>
              <w:t>L3  Render</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Channel-renderer regressions: char limits, button schema, encoding</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SMS body that exceeds 160 chars after variable substitution</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CI on every push</w:t>
            </w:r>
          </w:p>
        </w:tc>
      </w:tr>
      <w:tr>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7"/>
              </w:rPr>
              <w:t>L4  Workflow execution</w:t>
            </w:r>
          </w:p>
        </w:tc>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Workflow logic regressions — branches, delays, fan-out</w:t>
            </w:r>
          </w:p>
        </w:tc>
        <w:tc>
          <w:tcPr>
            <w:tcW w:type="dxa" w:w="295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Cadence step skips a tier under specific subscriber data</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CI nightly + before phase-gate</w:t>
            </w:r>
          </w:p>
        </w:tc>
      </w:tr>
      <w:tr>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7"/>
              </w:rPr>
              <w:t>L5  End-to-end</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Full execution: trigger → workflow → lint → render → provider sandbox</w:t>
            </w:r>
          </w:p>
        </w:tc>
        <w:tc>
          <w:tcPr>
            <w:tcW w:type="dxa" w:w="295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PH-03 KYC week-2 produces provider-valid Gupshup payload</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Phase-gate + before any production release</w:t>
            </w:r>
          </w:p>
        </w:tc>
      </w:tr>
    </w:tbl>
    <w:p>
      <w:pPr>
        <w:spacing w:before="80" w:after="40"/>
      </w:pPr>
      <w:r>
        <w:rPr>
          <w:rFonts w:ascii="Arial" w:hAnsi="Arial" w:cs="Arial"/>
          <w:b/>
          <w:i w:val="0"/>
          <w:color w:val="1B3A5C"/>
          <w:sz w:val="24"/>
        </w:rPr>
        <w:t>A4.2  Test pack composition (per phase)</w:t>
      </w:r>
    </w:p>
    <w:tbl>
      <w:tblPr>
        <w:tblW w:type="dxa" w:w="9360"/>
        <w:jc w:val="left"/>
        <w:tblLayout w:type="fixed"/>
        <w:tblLook w:firstColumn="1" w:firstRow="1" w:lastColumn="0" w:lastRow="0" w:noHBand="0" w:noVBand="1" w:val="04A0"/>
      </w:tblPr>
      <w:tblGrid>
        <w:gridCol w:w="792"/>
        <w:gridCol w:w="8568"/>
      </w:tblGrid>
      <w:tr>
        <w:tc>
          <w:tcPr>
            <w:tcW w:type="dxa" w:w="7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Phase</w:t>
            </w:r>
          </w:p>
        </w:tc>
        <w:tc>
          <w:tcPr>
            <w:tcW w:type="dxa" w:w="85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Pack composition target</w:t>
            </w:r>
          </w:p>
        </w:tc>
      </w:tr>
      <w:tr>
        <w:tc>
          <w:tcPr>
            <w:tcW w:type="dxa" w:w="7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8"/>
              </w:rPr>
              <w:t>P1</w:t>
            </w:r>
          </w:p>
        </w:tc>
        <w:tc>
          <w:tcPr>
            <w:tcW w:type="dxa" w:w="85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20 schema tests + 5 lint rules + 2 render goldens + 1 E2E for the PoC trigger</w:t>
            </w:r>
          </w:p>
        </w:tc>
      </w:tr>
      <w:tr>
        <w:tc>
          <w:tcPr>
            <w:tcW w:type="dxa" w:w="7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8"/>
              </w:rPr>
              <w:t>P2</w:t>
            </w:r>
          </w:p>
        </w:tc>
        <w:tc>
          <w:tcPr>
            <w:tcW w:type="dxa" w:w="85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+ 1 workflow execution test per PH trigger; render goldens for Email + WA × all PH active statuses</w:t>
            </w:r>
          </w:p>
        </w:tc>
      </w:tr>
      <w:tr>
        <w:tc>
          <w:tcPr>
            <w:tcW w:type="dxa" w:w="7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8"/>
              </w:rPr>
              <w:t>P3</w:t>
            </w:r>
          </w:p>
        </w:tc>
        <w:tc>
          <w:tcPr>
            <w:tcW w:type="dxa" w:w="85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INV/INS/OPS/REG workflow execution; Hindi-language render goldens; 11-tenant routing test</w:t>
            </w:r>
          </w:p>
        </w:tc>
      </w:tr>
      <w:tr>
        <w:tc>
          <w:tcPr>
            <w:tcW w:type="dxa" w:w="7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8"/>
              </w:rPr>
              <w:t>P4</w:t>
            </w:r>
          </w:p>
        </w:tc>
        <w:tc>
          <w:tcPr>
            <w:tcW w:type="dxa" w:w="85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 30 lint rules across 7 regimes; pre-execution gate enforcement test; audit-trail export test</w:t>
            </w:r>
          </w:p>
        </w:tc>
      </w:tr>
      <w:tr>
        <w:tc>
          <w:tcPr>
            <w:tcW w:type="dxa" w:w="7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Consolas" w:hAnsi="Consolas" w:cs="Consolas"/>
                <w:b w:val="0"/>
                <w:i w:val="0"/>
                <w:color w:val="2C3E50"/>
                <w:sz w:val="18"/>
              </w:rPr>
              <w:t>P5</w:t>
            </w:r>
          </w:p>
        </w:tc>
        <w:tc>
          <w:tcPr>
            <w:tcW w:type="dxa" w:w="85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MSG91 / Karix sandbox E2E goldens; failover test; receipt ingestion test</w:t>
            </w:r>
          </w:p>
        </w:tc>
      </w:tr>
    </w:tbl>
    <w:p>
      <w:pPr>
        <w:spacing w:before="80" w:after="40"/>
      </w:pPr>
      <w:r>
        <w:rPr>
          <w:rFonts w:ascii="Arial" w:hAnsi="Arial" w:cs="Arial"/>
          <w:b/>
          <w:i w:val="0"/>
          <w:color w:val="1B3A5C"/>
          <w:sz w:val="24"/>
        </w:rPr>
        <w:t>A4.3  Defect severity &amp; SLA</w:t>
      </w:r>
    </w:p>
    <w:tbl>
      <w:tblPr>
        <w:tblW w:type="dxa" w:w="9360"/>
        <w:jc w:val="left"/>
        <w:tblLayout w:type="fixed"/>
        <w:tblLook w:firstColumn="1" w:firstRow="1" w:lastColumn="0" w:lastRow="0" w:noHBand="0" w:noVBand="1" w:val="04A0"/>
      </w:tblPr>
      <w:tblGrid>
        <w:gridCol w:w="1224"/>
        <w:gridCol w:w="4320"/>
        <w:gridCol w:w="1872"/>
        <w:gridCol w:w="1944"/>
      </w:tblGrid>
      <w:tr>
        <w:tc>
          <w:tcPr>
            <w:tcW w:type="dxa" w:w="122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Severity</w:t>
            </w:r>
          </w:p>
        </w:tc>
        <w:tc>
          <w:tcPr>
            <w:tcW w:type="dxa" w:w="432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Definition</w:t>
            </w:r>
          </w:p>
        </w:tc>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Response SLA</w:t>
            </w:r>
          </w:p>
        </w:tc>
        <w:tc>
          <w:tcPr>
            <w:tcW w:type="dxa" w:w="194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Resolution SLA</w:t>
            </w:r>
          </w:p>
        </w:tc>
      </w:tr>
      <w:tr>
        <w:tc>
          <w:tcPr>
            <w:tcW w:type="dxa" w:w="12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Sev-1</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Compliance violation in active workflow OR data exposure</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hour</w:t>
            </w:r>
          </w:p>
        </w:tc>
        <w:tc>
          <w:tcPr>
            <w:tcW w:type="dxa" w:w="194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Same business day; rollback if needed</w:t>
            </w:r>
          </w:p>
        </w:tc>
      </w:tr>
      <w:tr>
        <w:tc>
          <w:tcPr>
            <w:tcW w:type="dxa" w:w="12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Sev-2</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Active workflow broken (cannot execute) OR active trigger silent</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4 hours</w:t>
            </w:r>
          </w:p>
        </w:tc>
        <w:tc>
          <w:tcPr>
            <w:tcW w:type="dxa" w:w="19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business day</w:t>
            </w:r>
          </w:p>
        </w:tc>
      </w:tr>
      <w:tr>
        <w:tc>
          <w:tcPr>
            <w:tcW w:type="dxa" w:w="12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Sev-3</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Active workflow flawed but still producing output (typo, mild wording)</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business day</w:t>
            </w:r>
          </w:p>
        </w:tc>
        <w:tc>
          <w:tcPr>
            <w:tcW w:type="dxa" w:w="194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sprint</w:t>
            </w:r>
          </w:p>
        </w:tc>
      </w:tr>
      <w:tr>
        <w:tc>
          <w:tcPr>
            <w:tcW w:type="dxa" w:w="12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Sev-4</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Cosmetic / docs / non-active workflow</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 sprint</w:t>
            </w:r>
          </w:p>
        </w:tc>
        <w:tc>
          <w:tcPr>
            <w:tcW w:type="dxa" w:w="19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Backlog</w:t>
            </w:r>
          </w:p>
        </w:tc>
      </w:tr>
    </w:tbl>
    <w:p>
      <w:r>
        <w:br w:type="page"/>
      </w:r>
    </w:p>
    <w:p>
      <w:pPr>
        <w:spacing w:after="0"/>
      </w:pPr>
    </w:p>
    <w:p>
      <w:pPr>
        <w:spacing w:before="160" w:after="40"/>
      </w:pPr>
      <w:r>
        <w:rPr>
          <w:rFonts w:ascii="Arial" w:hAnsi="Arial" w:cs="Arial"/>
          <w:b/>
          <w:i w:val="0"/>
          <w:color w:val="2C3E50"/>
          <w:sz w:val="28"/>
        </w:rPr>
        <w:t>A5  Security &amp; Privacy Framework</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The Charter calls out DPDPA in passing. This section provides the data classification, controls matrix and DPDPA-principle alignment the Compliance Lead needs for sign-off.</w:t>
      </w:r>
    </w:p>
    <w:p>
      <w:pPr>
        <w:spacing w:before="80" w:after="40"/>
      </w:pPr>
      <w:r>
        <w:rPr>
          <w:rFonts w:ascii="Arial" w:hAnsi="Arial" w:cs="Arial"/>
          <w:b/>
          <w:i w:val="0"/>
          <w:color w:val="1B3A5C"/>
          <w:sz w:val="24"/>
        </w:rPr>
        <w:t>A5.1  Data classification</w:t>
      </w:r>
    </w:p>
    <w:tbl>
      <w:tblPr>
        <w:tblW w:type="dxa" w:w="9360"/>
        <w:jc w:val="left"/>
        <w:tblLayout w:type="fixed"/>
        <w:tblLook w:firstColumn="1" w:firstRow="1" w:lastColumn="0" w:lastRow="0" w:noHBand="0" w:noVBand="1" w:val="04A0"/>
      </w:tblPr>
      <w:tblGrid>
        <w:gridCol w:w="1872"/>
        <w:gridCol w:w="4608"/>
        <w:gridCol w:w="2880"/>
      </w:tblGrid>
      <w:tr>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Class</w:t>
            </w:r>
          </w:p>
        </w:tc>
        <w:tc>
          <w:tcPr>
            <w:tcW w:type="dxa" w:w="460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Examples in this system</w:t>
            </w:r>
          </w:p>
        </w:tc>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Handling rule</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PII — High</w:t>
            </w:r>
          </w:p>
        </w:tc>
        <w:tc>
          <w:tcPr>
            <w:tcW w:type="dxa" w:w="46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ph_name, ph_phone, ph_email, inv_name, PAN, bank_last4</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Tokenise in workflow inputs; never log raw; mask in audit; HTTPS only in transit</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PII — Medium</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policy_no, premium_amount, due_date, surrender_value</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Encrypted at rest; access on least-privilege; redact in screenshots</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Operational</w:t>
            </w:r>
          </w:p>
        </w:tc>
        <w:tc>
          <w:tcPr>
            <w:tcW w:type="dxa" w:w="46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trigger_id, workflow_id, status, cadence</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Public within company; safe to log</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Brand confidential</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Disclaimer text, brand voice rules, insurer-specific cards</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Internal-only; not for external comms</w:t>
            </w:r>
          </w:p>
        </w:tc>
      </w:tr>
    </w:tbl>
    <w:p>
      <w:pPr>
        <w:spacing w:before="80" w:after="40"/>
      </w:pPr>
      <w:r>
        <w:rPr>
          <w:rFonts w:ascii="Arial" w:hAnsi="Arial" w:cs="Arial"/>
          <w:b/>
          <w:i w:val="0"/>
          <w:color w:val="1B3A5C"/>
          <w:sz w:val="24"/>
        </w:rPr>
        <w:t>A5.2  Controls matrix</w:t>
      </w:r>
    </w:p>
    <w:tbl>
      <w:tblPr>
        <w:tblW w:type="dxa" w:w="9360"/>
        <w:jc w:val="left"/>
        <w:tblLayout w:type="fixed"/>
        <w:tblLook w:firstColumn="1" w:firstRow="1" w:lastColumn="0" w:lastRow="0" w:noHBand="0" w:noVBand="1" w:val="04A0"/>
      </w:tblPr>
      <w:tblGrid>
        <w:gridCol w:w="2376"/>
        <w:gridCol w:w="6983"/>
      </w:tblGrid>
      <w:tr>
        <w:tc>
          <w:tcPr>
            <w:tcW w:type="dxa" w:w="237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Control area</w:t>
            </w:r>
          </w:p>
        </w:tc>
        <w:tc>
          <w:tcPr>
            <w:tcW w:type="dxa" w:w="6983"/>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Control</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Access control</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Role-based: author / reviewer / operator / admin; least-privilege; reviewed quarterly</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Authentication</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SSO via TPE identity provider; MFA mandatory for reviewer/admin/infra</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Authorisation gates</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 PR merge requires Compliance + Brand reviewer; no self-merge for active workflows</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Encryption — transit</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TLS 1.2+ for all network calls; certificate-pinned for BSP / SMS gateway</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Encryption — rest</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AES-256 for repository storage; key rotation per TPE security policy</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Secret management</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Provider API keys in vault; never in repo; rotated per provider policy</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Audit log</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Append-only; per-workflow execution + state transitions + sends; PII masked</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PII minimisation</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Subscriber data referenced by ID at workflow runtime, not stored in audit log</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Backup &amp; recovery</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Daily snapshot; documented RPO ≤ 24h / RTO ≤ 4h within ap-south-1</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Vulnerability mgmt</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Quarterly dependency scan; security review at every major version</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Network segmentation</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Novu in private subnets; no direct public ingress; egress allow-listed</w:t>
            </w:r>
          </w:p>
        </w:tc>
      </w:tr>
    </w:tbl>
    <w:p>
      <w:pPr>
        <w:spacing w:before="80" w:after="40"/>
      </w:pPr>
      <w:r>
        <w:rPr>
          <w:rFonts w:ascii="Arial" w:hAnsi="Arial" w:cs="Arial"/>
          <w:b/>
          <w:i w:val="0"/>
          <w:color w:val="1B3A5C"/>
          <w:sz w:val="24"/>
        </w:rPr>
        <w:t>A5.3  DPDPA principle alignment</w:t>
      </w:r>
    </w:p>
    <w:tbl>
      <w:tblPr>
        <w:tblW w:type="dxa" w:w="9360"/>
        <w:jc w:val="left"/>
        <w:tblLayout w:type="fixed"/>
        <w:tblLook w:firstColumn="1" w:firstRow="1" w:lastColumn="0" w:lastRow="0" w:noHBand="0" w:noVBand="1" w:val="04A0"/>
      </w:tblPr>
      <w:tblGrid>
        <w:gridCol w:w="2664"/>
        <w:gridCol w:w="6696"/>
      </w:tblGrid>
      <w:tr>
        <w:tc>
          <w:tcPr>
            <w:tcW w:type="dxa" w:w="26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DPDPA principle</w:t>
            </w:r>
          </w:p>
        </w:tc>
        <w:tc>
          <w:tcPr>
            <w:tcW w:type="dxa" w:w="669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How this system aligns</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Lawful processing</w:t>
            </w:r>
          </w:p>
        </w:tc>
        <w:tc>
          <w:tcPr>
            <w:tcW w:type="dxa" w:w="66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Workflows carry compliance_class; lint blocks promotional sends without consent reference</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Purpose limitation</w:t>
            </w:r>
          </w:p>
        </w:tc>
        <w:tc>
          <w:tcPr>
            <w:tcW w:type="dxa" w:w="66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Trigger taxonomy makes intent explicit; workflows linked to triggers; reuse is auditable</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Data minimisation</w:t>
            </w:r>
          </w:p>
        </w:tc>
        <w:tc>
          <w:tcPr>
            <w:tcW w:type="dxa" w:w="66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Variables declare what is needed; lint flags unused PII variables</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Storage limitation</w:t>
            </w:r>
          </w:p>
        </w:tc>
        <w:tc>
          <w:tcPr>
            <w:tcW w:type="dxa" w:w="66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Audit retains state transitions, not raw PII; backups retained per data-retention policy</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Accuracy</w:t>
            </w:r>
          </w:p>
        </w:tc>
        <w:tc>
          <w:tcPr>
            <w:tcW w:type="dxa" w:w="66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Variables source from system of record; fallbacks prevent broken renders</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Notice &amp; consent</w:t>
            </w:r>
          </w:p>
        </w:tc>
        <w:tc>
          <w:tcPr>
            <w:tcW w:type="dxa" w:w="66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Opt-out wiring on every promotional template; opt-out evidence stored at BSP</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Rights of data principals</w:t>
            </w:r>
          </w:p>
        </w:tc>
        <w:tc>
          <w:tcPr>
            <w:tcW w:type="dxa" w:w="66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Subject-access response supported via audit-trail export; deletion on request</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Breach notification</w:t>
            </w:r>
          </w:p>
        </w:tc>
        <w:tc>
          <w:tcPr>
            <w:tcW w:type="dxa" w:w="66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Incident runbook covers detection, escalation, regulator notification within statutory window</w:t>
            </w:r>
          </w:p>
        </w:tc>
      </w:tr>
    </w:tbl>
    <w:p>
      <w:r>
        <w:br w:type="page"/>
      </w:r>
    </w:p>
    <w:p>
      <w:pPr>
        <w:spacing w:after="0"/>
      </w:pPr>
    </w:p>
    <w:p>
      <w:pPr>
        <w:spacing w:before="160" w:after="40"/>
      </w:pPr>
      <w:r>
        <w:rPr>
          <w:rFonts w:ascii="Arial" w:hAnsi="Arial" w:cs="Arial"/>
          <w:b/>
          <w:i w:val="0"/>
          <w:color w:val="2C3E50"/>
          <w:sz w:val="28"/>
        </w:rPr>
        <w:t>A6  Cost &amp; Budget Estimate</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Indicative budget envelope built up from §A1 effort estimation plus infrastructure plus channel-provider pricing. Numbers are ranges, not commitments; they exist so the Sponsor can validate the engagement is the size that was assumed.</w:t>
      </w:r>
    </w:p>
    <w:p>
      <w:pPr>
        <w:spacing w:before="80" w:after="40"/>
      </w:pPr>
      <w:r>
        <w:rPr>
          <w:rFonts w:ascii="Arial" w:hAnsi="Arial" w:cs="Arial"/>
          <w:b/>
          <w:i w:val="0"/>
          <w:color w:val="1B3A5C"/>
          <w:sz w:val="24"/>
        </w:rPr>
        <w:t>A6.1  Internal effort cost (build + hypercare)</w:t>
      </w:r>
    </w:p>
    <w:tbl>
      <w:tblPr>
        <w:tblW w:type="dxa" w:w="9360"/>
        <w:jc w:val="left"/>
        <w:tblLayout w:type="fixed"/>
        <w:tblLook w:firstColumn="1" w:firstRow="1" w:lastColumn="0" w:lastRow="0" w:noHBand="0" w:noVBand="1" w:val="04A0"/>
      </w:tblPr>
      <w:tblGrid>
        <w:gridCol w:w="4464"/>
        <w:gridCol w:w="2088"/>
        <w:gridCol w:w="2808"/>
      </w:tblGrid>
      <w:tr>
        <w:tc>
          <w:tcPr>
            <w:tcW w:type="dxa" w:w="44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Cost driver</w:t>
            </w:r>
          </w:p>
        </w:tc>
        <w:tc>
          <w:tcPr>
            <w:tcW w:type="dxa" w:w="20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Quantum</w:t>
            </w:r>
          </w:p>
        </w:tc>
        <w:tc>
          <w:tcPr>
            <w:tcW w:type="dxa" w:w="280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Indicative range (₹)</w:t>
            </w:r>
          </w:p>
        </w:tc>
      </w:tr>
      <w:tr>
        <w:tc>
          <w:tcPr>
            <w:tcW w:type="dxa" w:w="44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 backend (×2 FTE × 6 weeks)</w:t>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60 person-days</w:t>
            </w:r>
          </w:p>
        </w:tc>
        <w:tc>
          <w:tcPr>
            <w:tcW w:type="dxa" w:w="28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₹6L – ₹12L (range depends on band)</w:t>
            </w:r>
          </w:p>
        </w:tc>
      </w:tr>
      <w:tr>
        <w:tc>
          <w:tcPr>
            <w:tcW w:type="dxa" w:w="44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 infra/DevOps (×0.5 × 6 weeks)</w:t>
            </w:r>
          </w:p>
        </w:tc>
        <w:tc>
          <w:tcPr>
            <w:tcW w:type="dxa" w:w="20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15 person-days</w:t>
            </w:r>
          </w:p>
        </w:tc>
        <w:tc>
          <w:tcPr>
            <w:tcW w:type="dxa" w:w="28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₹1.5L – ₹3L</w:t>
            </w:r>
          </w:p>
        </w:tc>
      </w:tr>
      <w:tr>
        <w:tc>
          <w:tcPr>
            <w:tcW w:type="dxa" w:w="44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 QA (×0.5 × 6 weeks)</w:t>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15 person-days</w:t>
            </w:r>
          </w:p>
        </w:tc>
        <w:tc>
          <w:tcPr>
            <w:tcW w:type="dxa" w:w="28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₹1.2L – ₹2.5L</w:t>
            </w:r>
          </w:p>
        </w:tc>
      </w:tr>
      <w:tr>
        <w:tc>
          <w:tcPr>
            <w:tcW w:type="dxa" w:w="44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Hypercare (×1 FTE × 1 week)</w:t>
            </w:r>
          </w:p>
        </w:tc>
        <w:tc>
          <w:tcPr>
            <w:tcW w:type="dxa" w:w="20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8.5 person-days</w:t>
            </w:r>
          </w:p>
        </w:tc>
        <w:tc>
          <w:tcPr>
            <w:tcW w:type="dxa" w:w="28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₹0.8L – ₹1.7L</w:t>
            </w:r>
          </w:p>
        </w:tc>
      </w:tr>
      <w:tr>
        <w:tc>
          <w:tcPr>
            <w:tcW w:type="dxa" w:w="44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Reviewer time (CX + Compliance + Brand + Ops)</w:t>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~13 person-days</w:t>
            </w:r>
          </w:p>
        </w:tc>
        <w:tc>
          <w:tcPr>
            <w:tcW w:type="dxa" w:w="28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Internal — embedded cost</w:t>
            </w:r>
          </w:p>
        </w:tc>
      </w:tr>
      <w:tr>
        <w:tc>
          <w:tcPr>
            <w:tcW w:type="dxa" w:w="44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Sponsor / Owner phase-gate time</w:t>
            </w:r>
          </w:p>
        </w:tc>
        <w:tc>
          <w:tcPr>
            <w:tcW w:type="dxa" w:w="20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~2.5 person-days</w:t>
            </w:r>
          </w:p>
        </w:tc>
        <w:tc>
          <w:tcPr>
            <w:tcW w:type="dxa" w:w="28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Internal — embedded cost</w:t>
            </w:r>
          </w:p>
        </w:tc>
      </w:tr>
      <w:tr>
        <w:tc>
          <w:tcPr>
            <w:tcW w:type="dxa" w:w="44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INTERNAL TOTAL</w:t>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112 person-days</w:t>
            </w:r>
          </w:p>
        </w:tc>
        <w:tc>
          <w:tcPr>
            <w:tcW w:type="dxa" w:w="280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 ₹9.5L – ₹19.2L</w:t>
            </w:r>
          </w:p>
        </w:tc>
      </w:tr>
    </w:tbl>
    <w:p>
      <w:pPr>
        <w:spacing w:before="80" w:after="40"/>
      </w:pPr>
      <w:r>
        <w:rPr>
          <w:rFonts w:ascii="Arial" w:hAnsi="Arial" w:cs="Arial"/>
          <w:b/>
          <w:i w:val="0"/>
          <w:color w:val="1B3A5C"/>
          <w:sz w:val="24"/>
        </w:rPr>
        <w:t>A6.2  Infrastructure cost (annualised)</w:t>
      </w:r>
    </w:p>
    <w:tbl>
      <w:tblPr>
        <w:tblW w:type="dxa" w:w="9360"/>
        <w:jc w:val="left"/>
        <w:tblLayout w:type="fixed"/>
        <w:tblLook w:firstColumn="1" w:firstRow="1" w:lastColumn="0" w:lastRow="0" w:noHBand="0" w:noVBand="1" w:val="04A0"/>
      </w:tblPr>
      <w:tblGrid>
        <w:gridCol w:w="4752"/>
        <w:gridCol w:w="2232"/>
        <w:gridCol w:w="2376"/>
      </w:tblGrid>
      <w:tr>
        <w:tc>
          <w:tcPr>
            <w:tcW w:type="dxa" w:w="475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Infrastructure item</w:t>
            </w:r>
          </w:p>
        </w:tc>
        <w:tc>
          <w:tcPr>
            <w:tcW w:type="dxa" w:w="223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Indicative monthly</w:t>
            </w:r>
          </w:p>
        </w:tc>
        <w:tc>
          <w:tcPr>
            <w:tcW w:type="dxa" w:w="237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Annualised</w:t>
            </w:r>
          </w:p>
        </w:tc>
      </w:tr>
      <w:tr>
        <w:tc>
          <w:tcPr>
            <w:tcW w:type="dxa" w:w="47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AWS compute — Novu services (multi-AZ ap-south-1)</w:t>
            </w:r>
          </w:p>
        </w:tc>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₹35K – ₹60K</w:t>
            </w:r>
          </w:p>
        </w:tc>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₹4.2L – ₹7.2L</w:t>
            </w:r>
          </w:p>
        </w:tc>
      </w:tr>
      <w:tr>
        <w:tc>
          <w:tcPr>
            <w:tcW w:type="dxa" w:w="47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AWS managed services — RDS, Redis, S3, CloudWatch</w:t>
            </w:r>
          </w:p>
        </w:tc>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₹25K – ₹45K</w:t>
            </w:r>
          </w:p>
        </w:tc>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₹3.0L – ₹5.4L</w:t>
            </w:r>
          </w:p>
        </w:tc>
      </w:tr>
      <w:tr>
        <w:tc>
          <w:tcPr>
            <w:tcW w:type="dxa" w:w="47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Backup + cross-AZ + observability tooling</w:t>
            </w:r>
          </w:p>
        </w:tc>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₹10K – ₹15K</w:t>
            </w:r>
          </w:p>
        </w:tc>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₹1.2L – ₹1.8L</w:t>
            </w:r>
          </w:p>
        </w:tc>
      </w:tr>
      <w:tr>
        <w:tc>
          <w:tcPr>
            <w:tcW w:type="dxa" w:w="47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INFRA SUBTOTAL (steady state)</w:t>
            </w:r>
          </w:p>
        </w:tc>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₹70K – ₹120K</w:t>
            </w:r>
          </w:p>
        </w:tc>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₹8.4L – ₹14.4L</w:t>
            </w:r>
          </w:p>
        </w:tc>
      </w:tr>
    </w:tbl>
    <w:p>
      <w:pPr>
        <w:spacing w:before="80" w:after="40"/>
      </w:pPr>
      <w:r>
        <w:rPr>
          <w:rFonts w:ascii="Arial" w:hAnsi="Arial" w:cs="Arial"/>
          <w:b/>
          <w:i w:val="0"/>
          <w:color w:val="1B3A5C"/>
          <w:sz w:val="24"/>
        </w:rPr>
        <w:t>A6.3  Channel provider cost (volume-driven)</w:t>
      </w:r>
    </w:p>
    <w:tbl>
      <w:tblPr>
        <w:tblW w:type="dxa" w:w="9360"/>
        <w:jc w:val="left"/>
        <w:tblLayout w:type="fixed"/>
        <w:tblLook w:firstColumn="1" w:firstRow="1" w:lastColumn="0" w:lastRow="0" w:noHBand="0" w:noVBand="1" w:val="04A0"/>
      </w:tblPr>
      <w:tblGrid>
        <w:gridCol w:w="1872"/>
        <w:gridCol w:w="2304"/>
        <w:gridCol w:w="2664"/>
        <w:gridCol w:w="2520"/>
      </w:tblGrid>
      <w:tr>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Provider</w:t>
            </w:r>
          </w:p>
        </w:tc>
        <w:tc>
          <w:tcPr>
            <w:tcW w:type="dxa" w:w="230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Channel</w:t>
            </w:r>
          </w:p>
        </w:tc>
        <w:tc>
          <w:tcPr>
            <w:tcW w:type="dxa" w:w="26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Pricing model</w:t>
            </w:r>
          </w:p>
        </w:tc>
        <w:tc>
          <w:tcPr>
            <w:tcW w:type="dxa" w:w="252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Indicative monthly (steady)</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Gupshup</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WhatsApp + SMS + RCS</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Per-message + monthly minimums</w:t>
            </w:r>
          </w:p>
        </w:tc>
        <w:tc>
          <w:tcPr>
            <w:tcW w:type="dxa" w:w="25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₹1.0L – ₹2.0L</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MSG91</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SMS + WhatsApp + Email</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Per-message</w:t>
            </w:r>
          </w:p>
        </w:tc>
        <w:tc>
          <w:tcPr>
            <w:tcW w:type="dxa" w:w="25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₹0.5L – ₹1.0L (failover)</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Karix</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SMS + WhatsApp</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Per-message</w:t>
            </w:r>
          </w:p>
        </w:tc>
        <w:tc>
          <w:tcPr>
            <w:tcW w:type="dxa" w:w="25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₹0.3L – ₹0.7L (failover)</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AWS SES (Email)</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Email transactional</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Per-1000 emails</w:t>
            </w:r>
          </w:p>
        </w:tc>
        <w:tc>
          <w:tcPr>
            <w:tcW w:type="dxa" w:w="25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₹0.05L – ₹0.15L</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PROVIDER SUBTOTAL</w:t>
            </w:r>
          </w:p>
        </w:tc>
        <w:tc>
          <w:tcPr>
            <w:tcW w:type="dxa" w:w="23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t>
            </w:r>
          </w:p>
        </w:tc>
        <w:tc>
          <w:tcPr>
            <w:tcW w:type="dxa" w:w="25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₹1.85L – ₹3.85L / month</w:t>
            </w:r>
          </w:p>
        </w:tc>
      </w:tr>
    </w:tbl>
    <w:p>
      <w:pPr>
        <w:spacing w:before="80" w:after="40"/>
      </w:pPr>
      <w:r>
        <w:rPr>
          <w:rFonts w:ascii="Arial" w:hAnsi="Arial" w:cs="Arial"/>
          <w:b/>
          <w:i w:val="0"/>
          <w:color w:val="1B3A5C"/>
          <w:sz w:val="24"/>
        </w:rPr>
        <w:t>A6.4  Total cost summary</w:t>
      </w:r>
    </w:p>
    <w:tbl>
      <w:tblPr>
        <w:tblW w:type="dxa" w:w="9360"/>
        <w:jc w:val="left"/>
        <w:tblLayout w:type="fixed"/>
        <w:tblLook w:firstColumn="1" w:firstRow="1" w:lastColumn="0" w:lastRow="0" w:noHBand="0" w:noVBand="1" w:val="04A0"/>
      </w:tblPr>
      <w:tblGrid>
        <w:gridCol w:w="4104"/>
        <w:gridCol w:w="2664"/>
        <w:gridCol w:w="2592"/>
      </w:tblGrid>
      <w:tr>
        <w:tc>
          <w:tcPr>
            <w:tcW w:type="dxa" w:w="410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Bucket</w:t>
            </w:r>
          </w:p>
        </w:tc>
        <w:tc>
          <w:tcPr>
            <w:tcW w:type="dxa" w:w="26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One-time</w:t>
            </w:r>
          </w:p>
        </w:tc>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Annualised steady state</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Internal effort (build + hypercare)</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₹9.5L – ₹19.2L</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Infrastructure (AWS)</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₹8.4L – ₹14.4L</w:t>
            </w:r>
          </w:p>
        </w:tc>
      </w:tr>
      <w:tr>
        <w:tc>
          <w:tcPr>
            <w:tcW w:type="dxa" w:w="410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Channel providers</w:t>
            </w:r>
          </w:p>
        </w:tc>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₹22.2L – ₹46.2L</w:t>
            </w:r>
          </w:p>
        </w:tc>
      </w:tr>
      <w:tr>
        <w:tc>
          <w:tcPr>
            <w:tcW w:type="dxa" w:w="41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TOTAL</w:t>
            </w:r>
          </w:p>
        </w:tc>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₹9.5L – ₹19.2L (one-time)</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₹30.6L – ₹60.6L /year</w:t>
            </w:r>
          </w:p>
        </w:tc>
      </w:tr>
    </w:tbl>
    <w:tbl>
      <w:tblPr>
        <w:tblW w:type="dxa" w:w="9360"/>
        <w:tblLayout w:type="fixed"/>
        <w:tblLook w:firstColumn="1" w:firstRow="1" w:lastColumn="0" w:lastRow="0" w:noHBand="0" w:noVBand="1" w:val="04A0"/>
      </w:tblPr>
      <w:tblGrid>
        <w:gridCol w:w="9360"/>
      </w:tblGrid>
      <w:tr>
        <w:tc>
          <w:tcPr>
            <w:tcW w:type="dxa" w:w="936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20"/>
              </w:rPr>
              <w:t>What these numbers do and do not include</w:t>
            </w:r>
          </w:p>
          <w:p>
            <w:r>
              <w:rPr>
                <w:rFonts w:ascii="Arial" w:hAnsi="Arial" w:cs="Arial"/>
                <w:b w:val="0"/>
                <w:i w:val="0"/>
                <w:color w:val="2C3E50"/>
                <w:sz w:val="19"/>
              </w:rPr>
              <w:t>Included: engineering effort, AWS steady-state, channel-provider transactional pricing at projected steady-state volume. Excluded: vendor procurement legal time, DLT registration fees (one-time, small), WA BSP onboarding fees (vendor-specific), penetration testing or formal security audit (out of scope per Charter §4.12). Volume-sensitive providers should be re-baselined six months post-launch against actual send volume.</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A7  Glossary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Terms that appear in the Charter without definition. Listed alphabetically. Charter Section §1 onwards uses these terms freely — this glossary is the reference any non-technical reader will need.</w:t>
      </w:r>
    </w:p>
    <w:tbl>
      <w:tblPr>
        <w:tblW w:type="dxa" w:w="9360"/>
        <w:jc w:val="left"/>
        <w:tblLayout w:type="fixed"/>
        <w:tblLook w:firstColumn="1" w:firstRow="1" w:lastColumn="0" w:lastRow="0" w:noHBand="0" w:noVBand="1" w:val="04A0"/>
      </w:tblPr>
      <w:tblGrid>
        <w:gridCol w:w="2376"/>
        <w:gridCol w:w="6983"/>
      </w:tblGrid>
      <w:tr>
        <w:tc>
          <w:tcPr>
            <w:tcW w:type="dxa" w:w="237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Term</w:t>
            </w:r>
          </w:p>
        </w:tc>
        <w:tc>
          <w:tcPr>
            <w:tcW w:type="dxa" w:w="6983"/>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Definition</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Assignment</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Legal transfer of policy ownership from policyholder (assignor) to investor (assignee)</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BSP</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Business Solution Provider — Meta-approved partner for WhatsApp Business Cloud API (Gupshup, Karix, etc.)</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Charter</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This document — internal scope and ownership document for the project</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CKYC</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Central KYC Registry — India-wide KYC repository to avoid repeating KYC across financial institutions</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DLT</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Distributed Ledger Technology — TRAI-mandated registry for SMS sender headers and templates in India</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DPDPA</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Digital Personal Data Protection Act, 2023 — India's data-protection law</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DPDPA SAR</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Subject-Access Request under DPDPA — a data principal's right to retrieve their data</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FATCA</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Foreign Account Tax Compliance Act — US-driven; applies to NRI / foreign-asset declarations on investor accounts</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FTE</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Full-Time Equivalent — one person-day of one full-time worker</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Hypercare</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Period of intensified support immediately after go-live, typically 1 week, with named on-call</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IRDAI</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Insurance Regulatory and Development Authority of India</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MIS</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Management Information System — in this Charter: the per-insurer monthly Excel file mapping premium remittances to policies</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MIS Pipeline</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Existing TPE project (TPE-MIS-PLAN-2026-001) for ingesting insurer allocation files</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NOC</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No-Objection Certificate from the insurer for an assignment to proceed</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Novu</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Open-source notification framework (https://novu.co); used self-hosted as the workflow runtime</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Novu Framework</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Novu's TypeScript SDK for defining workflows-as-code</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OTP</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One-Time Passcode — short-lived authentication credential delivered via SMS / WA / Email</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 ID</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Principal Entity ID — DLT registration identifier for TPE on TRAI's registry</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PII</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Personally Identifiable Information — protected under DPDPA</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RCS</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Rich Communication Services — successor to SMS supporting buttons, carousels, branded sender</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RPO / RTO</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Recovery Point Objective / Recovery Time Objective — data-loss tolerance / restoration time targets</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SAR</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Subject-Access Request (see DPDPA SAR)</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Surrender value</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Cash value paid by the insurer if the policyholder discontinues the policy mid-term</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TDS</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Tax Deducted at Source — Indian income-tax withholding mechanism</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TRAI</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Telecom Regulatory Authority of India — owns the DLT regime</w:t>
            </w:r>
          </w:p>
        </w:tc>
      </w:tr>
      <w:tr>
        <w:tc>
          <w:tcPr>
            <w:tcW w:type="dxa" w:w="237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Trigger</w:t>
            </w:r>
          </w:p>
        </w:tc>
        <w:tc>
          <w:tcPr>
            <w:tcW w:type="dxa" w:w="6983"/>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 defined lifecycle event that initiates one or more communications; one trigger maps to one Novu workflow</w:t>
            </w:r>
          </w:p>
        </w:tc>
      </w:tr>
      <w:tr>
        <w:tc>
          <w:tcPr>
            <w:tcW w:type="dxa" w:w="237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w:t>
            </w:r>
          </w:p>
        </w:tc>
        <w:tc>
          <w:tcPr>
            <w:tcW w:type="dxa" w:w="6983"/>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 Novu workflow definition — TypeScript expression of statuses, channels, cadence and content</w:t>
            </w:r>
          </w:p>
        </w:tc>
      </w:tr>
    </w:tbl>
    <w:p>
      <w:r>
        <w:br w:type="page"/>
      </w:r>
    </w:p>
    <w:p>
      <w:pPr>
        <w:spacing w:after="0"/>
      </w:pPr>
    </w:p>
    <w:p>
      <w:pPr>
        <w:spacing w:before="160" w:after="40"/>
      </w:pPr>
      <w:r>
        <w:rPr>
          <w:rFonts w:ascii="Arial" w:hAnsi="Arial" w:cs="Arial"/>
          <w:b/>
          <w:i w:val="0"/>
          <w:color w:val="2C3E50"/>
          <w:sz w:val="28"/>
        </w:rPr>
        <w:t>A8  Document Control &amp; Approval Matrix</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Formal control of the Charter (and of this addendum) as enterprise documents. Closes the gap of 'sign-off block at the end with no front-of-document approval matrix'.</w:t>
      </w:r>
    </w:p>
    <w:p>
      <w:pPr>
        <w:spacing w:before="80" w:after="40"/>
      </w:pPr>
      <w:r>
        <w:rPr>
          <w:rFonts w:ascii="Arial" w:hAnsi="Arial" w:cs="Arial"/>
          <w:b/>
          <w:i w:val="0"/>
          <w:color w:val="1B3A5C"/>
          <w:sz w:val="24"/>
        </w:rPr>
        <w:t>A8.1  Approval matrix</w:t>
      </w:r>
    </w:p>
    <w:tbl>
      <w:tblPr>
        <w:tblW w:type="dxa" w:w="9360"/>
        <w:jc w:val="left"/>
        <w:tblLayout w:type="fixed"/>
        <w:tblLook w:firstColumn="1" w:firstRow="1" w:lastColumn="0" w:lastRow="0" w:noHBand="0" w:noVBand="1" w:val="04A0"/>
      </w:tblPr>
      <w:tblGrid>
        <w:gridCol w:w="2664"/>
        <w:gridCol w:w="4248"/>
        <w:gridCol w:w="2448"/>
      </w:tblGrid>
      <w:tr>
        <w:tc>
          <w:tcPr>
            <w:tcW w:type="dxa" w:w="26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Role</w:t>
            </w:r>
          </w:p>
        </w:tc>
        <w:tc>
          <w:tcPr>
            <w:tcW w:type="dxa" w:w="424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Approval scope</w:t>
            </w:r>
          </w:p>
        </w:tc>
        <w:tc>
          <w:tcPr>
            <w:tcW w:type="dxa" w:w="244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Approval mechanism</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Executive Sponsor</w:t>
            </w:r>
          </w:p>
        </w:tc>
        <w:tc>
          <w:tcPr>
            <w:tcW w:type="dxa" w:w="42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Commercial intent, budget envelope, sign-off</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Wet/electronic signature on Charter §10</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Project Owner (CTO)</w:t>
            </w:r>
          </w:p>
        </w:tc>
        <w:tc>
          <w:tcPr>
            <w:tcW w:type="dxa" w:w="42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Architecture, scope, exit criteria, day-to-day</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Electronic signature; phase-gate review</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Compliance Lead</w:t>
            </w:r>
          </w:p>
        </w:tc>
        <w:tc>
          <w:tcPr>
            <w:tcW w:type="dxa" w:w="42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Regulatory scope (DLT, IRDAI, DPDPA, FATCA, TDS)</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Electronic signature; lint-rule sign-off</w:t>
            </w:r>
          </w:p>
        </w:tc>
      </w:tr>
      <w:tr>
        <w:tc>
          <w:tcPr>
            <w:tcW w:type="dxa" w:w="26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CX Lead</w:t>
            </w:r>
          </w:p>
        </w:tc>
        <w:tc>
          <w:tcPr>
            <w:tcW w:type="dxa" w:w="42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Audience voice, brand sign-off on customer-facing content</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Electronic signature; review queue</w:t>
            </w:r>
          </w:p>
        </w:tc>
      </w:tr>
      <w:tr>
        <w:tc>
          <w:tcPr>
            <w:tcW w:type="dxa" w:w="26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Lead</w:t>
            </w:r>
          </w:p>
        </w:tc>
        <w:tc>
          <w:tcPr>
            <w:tcW w:type="dxa" w:w="42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Plan integrity, weekly status, technical hires</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Owns this document; cuts new versions</w:t>
            </w:r>
          </w:p>
        </w:tc>
      </w:tr>
    </w:tbl>
    <w:p>
      <w:pPr>
        <w:spacing w:before="80" w:after="40"/>
      </w:pPr>
      <w:r>
        <w:rPr>
          <w:rFonts w:ascii="Arial" w:hAnsi="Arial" w:cs="Arial"/>
          <w:b/>
          <w:i w:val="0"/>
          <w:color w:val="1B3A5C"/>
          <w:sz w:val="24"/>
        </w:rPr>
        <w:t>A8.2  Document state machine</w:t>
      </w:r>
    </w:p>
    <w:tbl>
      <w:tblPr>
        <w:tblW w:type="dxa" w:w="9360"/>
        <w:jc w:val="left"/>
        <w:tblLayout w:type="fixed"/>
        <w:tblLook w:firstColumn="1" w:firstRow="1" w:lastColumn="0" w:lastRow="0" w:noHBand="0" w:noVBand="1" w:val="04A0"/>
      </w:tblPr>
      <w:tblGrid>
        <w:gridCol w:w="1584"/>
        <w:gridCol w:w="5040"/>
        <w:gridCol w:w="2736"/>
      </w:tblGrid>
      <w:tr>
        <w:tc>
          <w:tcPr>
            <w:tcW w:type="dxa" w:w="158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State</w:t>
            </w:r>
          </w:p>
        </w:tc>
        <w:tc>
          <w:tcPr>
            <w:tcW w:type="dxa" w:w="50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Meaning</w:t>
            </w:r>
          </w:p>
        </w:tc>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Next states</w:t>
            </w:r>
          </w:p>
        </w:tc>
      </w:tr>
      <w:tr>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draft</w:t>
            </w:r>
          </w:p>
        </w:tc>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Author iterating; not yet circulated</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in_review, archived</w:t>
            </w:r>
          </w:p>
        </w:tc>
      </w:tr>
      <w:tr>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in_review</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Circulated to approvers; comments open</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approved, draft (returned)</w:t>
            </w:r>
          </w:p>
        </w:tc>
      </w:tr>
      <w:tr>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approved</w:t>
            </w:r>
          </w:p>
        </w:tc>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All approvers signed; document is the project bible</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amended (new version), archived</w:t>
            </w:r>
          </w:p>
        </w:tc>
      </w:tr>
      <w:tr>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amended</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Substantive change in flight; previous version retained</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approved, archived</w:t>
            </w:r>
          </w:p>
        </w:tc>
      </w:tr>
      <w:tr>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archived</w:t>
            </w:r>
          </w:p>
        </w:tc>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Superseded; read-only; retained for audit</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(terminal)</w:t>
            </w:r>
          </w:p>
        </w:tc>
      </w:tr>
    </w:tbl>
    <w:p>
      <w:pPr>
        <w:spacing w:before="80" w:after="40"/>
      </w:pPr>
      <w:r>
        <w:rPr>
          <w:rFonts w:ascii="Arial" w:hAnsi="Arial" w:cs="Arial"/>
          <w:b/>
          <w:i w:val="0"/>
          <w:color w:val="1B3A5C"/>
          <w:sz w:val="24"/>
        </w:rPr>
        <w:t>A8.3  Change control on the Charter</w:t>
      </w:r>
    </w:p>
    <w:p>
      <w:pPr>
        <w:pStyle w:val="ListBullet"/>
        <w:spacing w:after="40"/>
        <w:ind w:left="283"/>
      </w:pPr>
      <w:r>
        <w:rPr>
          <w:rFonts w:ascii="Arial" w:hAnsi="Arial" w:cs="Arial"/>
          <w:b w:val="0"/>
          <w:i w:val="0"/>
          <w:color w:val="2C3E50"/>
          <w:sz w:val="20"/>
        </w:rPr>
        <w:t>MAJOR version (x.0) — change in scope, deliverables, effort, budget. Requires re-approval by all roles in the matrix.</w:t>
      </w:r>
    </w:p>
    <w:p>
      <w:pPr>
        <w:pStyle w:val="ListBullet"/>
        <w:spacing w:after="40"/>
        <w:ind w:left="283"/>
      </w:pPr>
      <w:r>
        <w:rPr>
          <w:rFonts w:ascii="Arial" w:hAnsi="Arial" w:cs="Arial"/>
          <w:b w:val="0"/>
          <w:i w:val="0"/>
          <w:color w:val="2C3E50"/>
          <w:sz w:val="20"/>
        </w:rPr>
        <w:t>MINOR version (1.x) — clarification, additional detail, error correction. Approval by Project Owner and one other approver.</w:t>
      </w:r>
    </w:p>
    <w:p>
      <w:pPr>
        <w:pStyle w:val="ListBullet"/>
        <w:spacing w:after="40"/>
        <w:ind w:left="283"/>
      </w:pPr>
      <w:r>
        <w:rPr>
          <w:rFonts w:ascii="Arial" w:hAnsi="Arial" w:cs="Arial"/>
          <w:b w:val="0"/>
          <w:i w:val="0"/>
          <w:color w:val="2C3E50"/>
          <w:sz w:val="20"/>
        </w:rPr>
        <w:t>PATCH version (1.1.x) — typographical or formatting only. Engineering Lead authority alone.</w:t>
      </w:r>
    </w:p>
    <w:p>
      <w:pPr>
        <w:pStyle w:val="ListBullet"/>
        <w:spacing w:after="40"/>
        <w:ind w:left="283"/>
      </w:pPr>
      <w:r>
        <w:rPr>
          <w:rFonts w:ascii="Arial" w:hAnsi="Arial" w:cs="Arial"/>
          <w:b w:val="0"/>
          <w:i w:val="0"/>
          <w:color w:val="2C3E50"/>
          <w:sz w:val="20"/>
        </w:rPr>
        <w:t>On approval of this addendum, the Charter regenerates as v1.1 and this addendum moves to archived.</w:t>
      </w:r>
    </w:p>
    <w:p>
      <w:r>
        <w:br w:type="page"/>
      </w:r>
    </w:p>
    <w:p>
      <w:pPr>
        <w:spacing w:after="0"/>
      </w:pPr>
    </w:p>
    <w:p>
      <w:pPr>
        <w:spacing w:before="160" w:after="40"/>
      </w:pPr>
      <w:r>
        <w:rPr>
          <w:rFonts w:ascii="Arial" w:hAnsi="Arial" w:cs="Arial"/>
          <w:b/>
          <w:i w:val="0"/>
          <w:color w:val="2C3E50"/>
          <w:sz w:val="28"/>
        </w:rPr>
        <w:t>A9  Communication Management Plan</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How the project itself communicates — distinct from the communication system being built. Defined cadence, owners and channels prevent the project from generating its own coordination drag.</w:t>
      </w:r>
    </w:p>
    <w:tbl>
      <w:tblPr>
        <w:tblW w:type="dxa" w:w="9360"/>
        <w:jc w:val="left"/>
        <w:tblLayout w:type="fixed"/>
        <w:tblLook w:firstColumn="1" w:firstRow="1" w:lastColumn="0" w:lastRow="0" w:noHBand="0" w:noVBand="1" w:val="04A0"/>
      </w:tblPr>
      <w:tblGrid>
        <w:gridCol w:w="2232"/>
        <w:gridCol w:w="2160"/>
        <w:gridCol w:w="1584"/>
        <w:gridCol w:w="1728"/>
        <w:gridCol w:w="1655"/>
      </w:tblGrid>
      <w:tr>
        <w:tc>
          <w:tcPr>
            <w:tcW w:type="dxa" w:w="223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Forum</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Frequency</w:t>
            </w:r>
          </w:p>
        </w:tc>
        <w:tc>
          <w:tcPr>
            <w:tcW w:type="dxa" w:w="158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Owner</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Audience</w:t>
            </w:r>
          </w:p>
        </w:tc>
        <w:tc>
          <w:tcPr>
            <w:tcW w:type="dxa" w:w="1655"/>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Output</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Daily standup</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Daily 10:30 IST</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w:t>
            </w:r>
          </w:p>
        </w:tc>
        <w:tc>
          <w:tcPr>
            <w:tcW w:type="dxa" w:w="165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Daily update + blockers</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Weekly status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Friday 16:00 IST</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approvers</w:t>
            </w:r>
          </w:p>
        </w:tc>
        <w:tc>
          <w:tcPr>
            <w:tcW w:type="dxa" w:w="165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1-pager + Slack</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Phase-gate review</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End of P1, P2, P3, P4, P5</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approvers</w:t>
            </w:r>
          </w:p>
        </w:tc>
        <w:tc>
          <w:tcPr>
            <w:tcW w:type="dxa" w:w="165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Live demo + sign-off</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Compliance review queue</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Continuous</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Compliance Lead</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Authors</w:t>
            </w:r>
          </w:p>
        </w:tc>
        <w:tc>
          <w:tcPr>
            <w:tcW w:type="dxa" w:w="165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 approvals</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Brand review queue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Continuous</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CX Lead</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Authors</w:t>
            </w:r>
          </w:p>
        </w:tc>
        <w:tc>
          <w:tcPr>
            <w:tcW w:type="dxa" w:w="165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 approvals</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Risk review</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Bi-weekly</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Project Owner + Sponsor</w:t>
            </w:r>
          </w:p>
        </w:tc>
        <w:tc>
          <w:tcPr>
            <w:tcW w:type="dxa" w:w="165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Updated risk log</w:t>
            </w:r>
          </w:p>
        </w:tc>
      </w:tr>
      <w:tr>
        <w:tc>
          <w:tcPr>
            <w:tcW w:type="dxa" w:w="223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Stakeholder digest</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Monthly</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stakeholders</w:t>
            </w:r>
          </w:p>
        </w:tc>
        <w:tc>
          <w:tcPr>
            <w:tcW w:type="dxa" w:w="165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Email</w:t>
            </w:r>
          </w:p>
        </w:tc>
      </w:tr>
      <w:tr>
        <w:tc>
          <w:tcPr>
            <w:tcW w:type="dxa" w:w="223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Post-mortem</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Per Sev-1/Sev-2</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approvers</w:t>
            </w:r>
          </w:p>
        </w:tc>
        <w:tc>
          <w:tcPr>
            <w:tcW w:type="dxa" w:w="165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Markdown doc</w:t>
            </w:r>
          </w:p>
        </w:tc>
      </w:tr>
    </w:tbl>
    <w:tbl>
      <w:tblPr>
        <w:tblW w:type="dxa" w:w="9360"/>
        <w:tblLayout w:type="fixed"/>
        <w:tblLook w:firstColumn="1" w:firstRow="1" w:lastColumn="0" w:lastRow="0" w:noHBand="0" w:noVBand="1" w:val="04A0"/>
      </w:tblPr>
      <w:tblGrid>
        <w:gridCol w:w="9360"/>
      </w:tblGrid>
      <w:tr>
        <w:tc>
          <w:tcPr>
            <w:tcW w:type="dxa" w:w="9360"/>
            <w:shd w:val="clear" w:color="auto" w:fill="F0F4F8"/>
            <w:tcBorders>
              <w:top w:val="single" w:sz="4" w:color="BFBFBF"/>
              <w:left w:val="single" w:sz="4" w:color="BFBFBF"/>
              <w:bottom w:val="single" w:sz="4" w:color="BFBFBF"/>
              <w:right w:val="single" w:sz="4" w:color="BFBFBF"/>
            </w:tcBorders>
          </w:tcPr>
          <w:p>
            <w:r/>
            <w:r>
              <w:rPr>
                <w:rFonts w:ascii="Arial" w:hAnsi="Arial" w:cs="Arial"/>
                <w:b/>
                <w:i w:val="0"/>
                <w:color w:val="1B3A5C"/>
                <w:sz w:val="20"/>
              </w:rPr>
              <w:t>Information radiator, not push</w:t>
            </w:r>
          </w:p>
          <w:p>
            <w:r>
              <w:rPr>
                <w:rFonts w:ascii="Arial" w:hAnsi="Arial" w:cs="Arial"/>
                <w:b w:val="0"/>
                <w:i w:val="0"/>
                <w:color w:val="2C3E50"/>
                <w:sz w:val="19"/>
              </w:rPr>
              <w:t>Status is published to one place (the Slack channel + the weekly 1-pager). Approvers pull when they need to; the Engineering Lead does not chase or duplicate. Push is reserved for blockers and phase-gate decisions.</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A10  Operational Readiness &amp; Go-Live Checklist</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Production cutover is mentioned in Charter §4.11. This section defines the go/no-go criteria. A phase that does not meet its criteria does not transition; the cause is documented and reset.</w:t>
      </w:r>
    </w:p>
    <w:p>
      <w:pPr>
        <w:spacing w:before="80" w:after="40"/>
      </w:pPr>
      <w:r>
        <w:rPr>
          <w:rFonts w:ascii="Arial" w:hAnsi="Arial" w:cs="Arial"/>
          <w:b/>
          <w:i w:val="0"/>
          <w:color w:val="1B3A5C"/>
          <w:sz w:val="24"/>
        </w:rPr>
        <w:t>A10.1  Per-phase readiness checklist</w:t>
      </w:r>
    </w:p>
    <w:tbl>
      <w:tblPr>
        <w:tblW w:type="dxa" w:w="9360"/>
        <w:jc w:val="left"/>
        <w:tblLayout w:type="fixed"/>
        <w:tblLook w:firstColumn="1" w:firstRow="1" w:lastColumn="0" w:lastRow="0" w:noHBand="0" w:noVBand="1" w:val="04A0"/>
      </w:tblPr>
      <w:tblGrid>
        <w:gridCol w:w="5040"/>
        <w:gridCol w:w="864"/>
        <w:gridCol w:w="864"/>
        <w:gridCol w:w="864"/>
        <w:gridCol w:w="864"/>
        <w:gridCol w:w="864"/>
      </w:tblGrid>
      <w:tr>
        <w:tc>
          <w:tcPr>
            <w:tcW w:type="dxa" w:w="50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Dimension</w:t>
            </w:r>
          </w:p>
        </w:tc>
        <w:tc>
          <w:tcPr>
            <w:tcW w:type="dxa" w:w="8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P1</w:t>
            </w:r>
          </w:p>
        </w:tc>
        <w:tc>
          <w:tcPr>
            <w:tcW w:type="dxa" w:w="8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P2</w:t>
            </w:r>
          </w:p>
        </w:tc>
        <w:tc>
          <w:tcPr>
            <w:tcW w:type="dxa" w:w="8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P3</w:t>
            </w:r>
          </w:p>
        </w:tc>
        <w:tc>
          <w:tcPr>
            <w:tcW w:type="dxa" w:w="8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P4</w:t>
            </w:r>
          </w:p>
        </w:tc>
        <w:tc>
          <w:tcPr>
            <w:tcW w:type="dxa" w:w="86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P5</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Schema validation passes</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Lint coverage adequate</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Partial</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Partial</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Render goldens up-to-date</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Workflow execution tests pass</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E2E for representative trigger</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Audit-trail export tested</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Compliance Lead signed</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CX Lead signed</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Project Owner signed phase gate</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r>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Provider sandbox tests (P5 only)</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86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Required</w:t>
            </w:r>
          </w:p>
        </w:tc>
      </w:tr>
    </w:tbl>
    <w:p>
      <w:pPr>
        <w:spacing w:before="80" w:after="40"/>
      </w:pPr>
      <w:r>
        <w:rPr>
          <w:rFonts w:ascii="Arial" w:hAnsi="Arial" w:cs="Arial"/>
          <w:b/>
          <w:i w:val="0"/>
          <w:color w:val="1B3A5C"/>
          <w:sz w:val="24"/>
        </w:rPr>
        <w:t>A10.2  System-wide go-live criteria</w:t>
      </w:r>
    </w:p>
    <w:p>
      <w:pPr>
        <w:pStyle w:val="ListBullet"/>
        <w:spacing w:after="40"/>
        <w:ind w:left="283"/>
      </w:pPr>
      <w:r>
        <w:rPr>
          <w:rFonts w:ascii="Arial" w:hAnsi="Arial" w:cs="Arial"/>
          <w:b w:val="0"/>
          <w:i w:val="0"/>
          <w:color w:val="2C3E50"/>
          <w:sz w:val="20"/>
        </w:rPr>
        <w:t>All P1–P5 acceptance criteria (§A2) signed by named approvers.</w:t>
      </w:r>
    </w:p>
    <w:p>
      <w:pPr>
        <w:pStyle w:val="ListBullet"/>
        <w:spacing w:after="40"/>
        <w:ind w:left="283"/>
      </w:pPr>
      <w:r>
        <w:rPr>
          <w:rFonts w:ascii="Arial" w:hAnsi="Arial" w:cs="Arial"/>
          <w:b w:val="0"/>
          <w:i w:val="0"/>
          <w:color w:val="2C3E50"/>
          <w:sz w:val="20"/>
        </w:rPr>
        <w:t>Risk register shows zero open Sev-1; Sev-2 risks have documented mitigations.</w:t>
      </w:r>
    </w:p>
    <w:p>
      <w:pPr>
        <w:pStyle w:val="ListBullet"/>
        <w:spacing w:after="40"/>
        <w:ind w:left="283"/>
      </w:pPr>
      <w:r>
        <w:rPr>
          <w:rFonts w:ascii="Arial" w:hAnsi="Arial" w:cs="Arial"/>
          <w:b w:val="0"/>
          <w:i w:val="0"/>
          <w:color w:val="2C3E50"/>
          <w:sz w:val="20"/>
        </w:rPr>
        <w:t>Incident runbook tested in tabletop with engineering + compliance.</w:t>
      </w:r>
    </w:p>
    <w:p>
      <w:pPr>
        <w:pStyle w:val="ListBullet"/>
        <w:spacing w:after="40"/>
        <w:ind w:left="283"/>
      </w:pPr>
      <w:r>
        <w:rPr>
          <w:rFonts w:ascii="Arial" w:hAnsi="Arial" w:cs="Arial"/>
          <w:b w:val="0"/>
          <w:i w:val="0"/>
          <w:color w:val="2C3E50"/>
          <w:sz w:val="20"/>
        </w:rPr>
        <w:t>Rollback procedure documented and tested for the most-recently-changed workflow family.</w:t>
      </w:r>
    </w:p>
    <w:p>
      <w:pPr>
        <w:pStyle w:val="ListBullet"/>
        <w:spacing w:after="40"/>
        <w:ind w:left="283"/>
      </w:pPr>
      <w:r>
        <w:rPr>
          <w:rFonts w:ascii="Arial" w:hAnsi="Arial" w:cs="Arial"/>
          <w:b w:val="0"/>
          <w:i w:val="0"/>
          <w:color w:val="2C3E50"/>
          <w:sz w:val="20"/>
        </w:rPr>
        <w:t>Subject-access request (DPDPA SAR) end-to-end tested for at least one investor and one policyholder.</w:t>
      </w:r>
    </w:p>
    <w:p>
      <w:pPr>
        <w:pStyle w:val="ListBullet"/>
        <w:spacing w:after="40"/>
        <w:ind w:left="283"/>
      </w:pPr>
      <w:r>
        <w:rPr>
          <w:rFonts w:ascii="Arial" w:hAnsi="Arial" w:cs="Arial"/>
          <w:b w:val="0"/>
          <w:i w:val="0"/>
          <w:color w:val="2C3E50"/>
          <w:sz w:val="20"/>
        </w:rPr>
        <w:t>DLT registration, WhatsApp BSP template approval and channel-provider sandbox all green.</w:t>
      </w:r>
    </w:p>
    <w:p>
      <w:pPr>
        <w:pStyle w:val="ListBullet"/>
        <w:spacing w:after="40"/>
        <w:ind w:left="283"/>
      </w:pPr>
      <w:r>
        <w:rPr>
          <w:rFonts w:ascii="Arial" w:hAnsi="Arial" w:cs="Arial"/>
          <w:b w:val="0"/>
          <w:i w:val="0"/>
          <w:color w:val="2C3E50"/>
          <w:sz w:val="20"/>
        </w:rPr>
        <w:t>Communication Management Plan transitions to BAU operations cadence.</w:t>
      </w:r>
    </w:p>
    <w:p>
      <w:pPr>
        <w:pStyle w:val="ListBullet"/>
        <w:spacing w:after="40"/>
        <w:ind w:left="283"/>
      </w:pPr>
      <w:r>
        <w:rPr>
          <w:rFonts w:ascii="Arial" w:hAnsi="Arial" w:cs="Arial"/>
          <w:b w:val="0"/>
          <w:i w:val="0"/>
          <w:color w:val="2C3E50"/>
          <w:sz w:val="20"/>
        </w:rPr>
        <w:t>On-call rota agreed for the 1-week hypercare period; named primary + secondary.</w:t>
      </w:r>
    </w:p>
    <w:tbl>
      <w:tblPr>
        <w:tblW w:type="dxa" w:w="9360"/>
        <w:tblLayout w:type="fixed"/>
        <w:tblLook w:firstColumn="1" w:firstRow="1" w:lastColumn="0" w:lastRow="0" w:noHBand="0" w:noVBand="1" w:val="04A0"/>
      </w:tblPr>
      <w:tblGrid>
        <w:gridCol w:w="9360"/>
      </w:tblGrid>
      <w:tr>
        <w:tc>
          <w:tcPr>
            <w:tcW w:type="dxa" w:w="936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20"/>
              </w:rPr>
              <w:t>What 'go-live' means here</w:t>
            </w:r>
          </w:p>
          <w:p>
            <w:r>
              <w:rPr>
                <w:rFonts w:ascii="Arial" w:hAnsi="Arial" w:cs="Arial"/>
                <w:b w:val="0"/>
                <w:i w:val="0"/>
                <w:color w:val="2C3E50"/>
                <w:sz w:val="19"/>
              </w:rPr>
              <w:t>The Charter's value is realised at production cutover — the moment the team stops drafting in spreadsheets and starts authoring in Novu. Hypercare is one week of named on-call; after hypercare exit with zero open Sev-1, the project closes and ownership transitions to BAU.</w:t>
            </w:r>
          </w:p>
        </w:tc>
      </w:tr>
    </w:tbl>
    <w:p>
      <w:pPr>
        <w:spacing w:after="40" w:line="300" w:lineRule="auto"/>
        <w:jc w:val="left"/>
      </w:pPr>
    </w:p>
    <w:p>
      <w:r>
        <w:br w:type="page"/>
      </w:r>
    </w:p>
    <w:p>
      <w:pPr>
        <w:spacing w:after="0"/>
      </w:pPr>
    </w:p>
    <w:p>
      <w:pPr>
        <w:spacing w:before="160" w:after="40"/>
      </w:pPr>
      <w:r>
        <w:rPr>
          <w:rFonts w:ascii="Arial" w:hAnsi="Arial" w:cs="Arial"/>
          <w:b/>
          <w:i w:val="0"/>
          <w:color w:val="2C3E50"/>
          <w:sz w:val="28"/>
        </w:rPr>
        <w:t>A11  Addendum Sign-off</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60" w:line="300" w:lineRule="auto"/>
        <w:jc w:val="left"/>
      </w:pPr>
      <w:r>
        <w:rPr>
          <w:rFonts w:ascii="Arial" w:hAnsi="Arial" w:cs="Arial"/>
          <w:b w:val="0"/>
          <w:i w:val="0"/>
          <w:color w:val="2C3E50"/>
          <w:sz w:val="20"/>
        </w:rPr>
        <w:t>Signature below brings sections A1–A10 into force as supplements to the v1.0 Charter. On Sponsor approval, the Charter is regenerated as v1.1 with these sections folded in, and this addendum moves to archived.</w:t>
      </w:r>
    </w:p>
    <w:tbl>
      <w:tblPr>
        <w:tblW w:type="dxa" w:w="9360"/>
        <w:jc w:val="left"/>
        <w:tblLayout w:type="fixed"/>
        <w:tblLook w:firstColumn="1" w:firstRow="1" w:lastColumn="0" w:lastRow="0" w:noHBand="0" w:noVBand="1" w:val="04A0"/>
      </w:tblPr>
      <w:tblGrid>
        <w:gridCol w:w="2736"/>
        <w:gridCol w:w="3024"/>
        <w:gridCol w:w="2088"/>
        <w:gridCol w:w="1512"/>
      </w:tblGrid>
      <w:tr>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Role</w:t>
            </w:r>
          </w:p>
        </w:tc>
        <w:tc>
          <w:tcPr>
            <w:tcW w:type="dxa" w:w="302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Name</w:t>
            </w:r>
          </w:p>
        </w:tc>
        <w:tc>
          <w:tcPr>
            <w:tcW w:type="dxa" w:w="20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Signature</w:t>
            </w:r>
          </w:p>
        </w:tc>
        <w:tc>
          <w:tcPr>
            <w:tcW w:type="dxa" w:w="151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9"/>
              </w:rPr>
              <w:t>Date</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Executive Sponsor</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Project Owner (CTO)</w:t>
            </w:r>
          </w:p>
        </w:tc>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20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Compliance Lead</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CX Lead</w:t>
            </w:r>
          </w:p>
        </w:tc>
        <w:tc>
          <w:tcPr>
            <w:tcW w:type="dxa" w:w="302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20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151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Engineering Lead (Author)</w:t>
            </w:r>
          </w:p>
        </w:tc>
        <w:tc>
          <w:tcPr>
            <w:tcW w:type="dxa" w:w="302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Ashish Kumar Satyam</w:t>
            </w:r>
          </w:p>
        </w:tc>
        <w:tc>
          <w:tcPr>
            <w:tcW w:type="dxa" w:w="20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r>
          </w:p>
        </w:tc>
        <w:tc>
          <w:tcPr>
            <w:tcW w:type="dxa" w:w="151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9"/>
              </w:rPr>
              <w:t>27 Apr 2026</w:t>
            </w:r>
          </w:p>
        </w:tc>
      </w:tr>
    </w:tbl>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7F8C8D"/>
        <w:sz w:val="16"/>
      </w:rPr>
      <w:t xml:space="preserve">TPE-COMMS-CHARTER-ADDENDUM-2026-001  |  Internal &amp; Confidential  |  Page </w:t>
    </w:r>
    <w:r>
      <w:rPr>
        <w:rFonts w:ascii="Arial" w:hAnsi="Arial" w:cs="Arial"/>
        <w:b/>
        <w:i w:val="0"/>
        <w:color w:val="7F8C8D"/>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color w:val="7F8C8D"/>
        <w:sz w:val="16"/>
      </w:rPr>
      <w:t>Charter Addendum v1.1  |  Companion to TPE_Communication_System_Charter_v1.0.docx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