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caps/>
          <w:color w:val="808080"/>
          <w:sz w:val="36"/>
          <w:szCs w:val="36"/>
        </w:rPr>
        <w:t xml:space="preserve">INTERNAL PROJECT CHARTER</w:t>
      </w:r>
    </w:p>
    <w:p>
      <w:pPr>
        <w:spacing w:after="800"/>
        <w:jc w:val="center"/>
      </w:pPr>
      <w:r>
        <w:rPr>
          <w:rFonts w:ascii="Calibri" w:cs="Calibri" w:eastAsia="Calibri" w:hAnsi="Calibri"/>
          <w:i/>
          <w:iCs/>
          <w:color w:val="808080"/>
          <w:sz w:val="18"/>
          <w:szCs w:val="18"/>
        </w:rPr>
        <w:t xml:space="preserve">Confidential — Internal Distribution Only</w:t>
      </w:r>
    </w:p>
    <w:p>
      <w:pPr>
        <w:spacing w:after="200"/>
        <w:jc w:val="center"/>
      </w:pPr>
      <w:r>
        <w:rPr>
          <w:rFonts w:ascii="Calibri" w:cs="Calibri" w:eastAsia="Calibri" w:hAnsi="Calibri"/>
          <w:b/>
          <w:bCs/>
          <w:color w:val="1F3864"/>
          <w:sz w:val="44"/>
          <w:szCs w:val="44"/>
        </w:rPr>
        <w:t xml:space="preserve">TPE Communication System</w:t>
      </w:r>
    </w:p>
    <w:p>
      <w:pPr>
        <w:spacing w:after="1400"/>
        <w:jc w:val="center"/>
      </w:pPr>
      <w:r>
        <w:rPr>
          <w:rFonts w:ascii="Calibri" w:cs="Calibri" w:eastAsia="Calibri" w:hAnsi="Calibri"/>
          <w:b/>
          <w:bCs/>
          <w:color w:val="8FAADC"/>
          <w:sz w:val="28"/>
          <w:szCs w:val="28"/>
        </w:rPr>
        <w:t xml:space="preserve">Built on Self-hosted Novu</w:t>
      </w:r>
    </w:p>
    <w:p>
      <w:pPr>
        <w:spacing w:after="100" w:before="200"/>
        <w:jc w:val="center"/>
      </w:pPr>
      <w:r>
        <w:rPr>
          <w:rFonts w:ascii="Calibri" w:cs="Calibri" w:eastAsia="Calibri" w:hAnsi="Calibri"/>
          <w:b/>
          <w:bCs/>
          <w:caps/>
          <w:color w:val="808080"/>
          <w:sz w:val="16"/>
          <w:szCs w:val="16"/>
        </w:rPr>
        <w:t xml:space="preserve">PREPARED BY</w:t>
      </w:r>
    </w:p>
    <w:p>
      <w:pPr>
        <w:spacing w:after="80"/>
        <w:jc w:val="center"/>
      </w:pPr>
      <w:r>
        <w:rPr>
          <w:rFonts w:ascii="Calibri" w:cs="Calibri" w:eastAsia="Calibri" w:hAnsi="Calibri"/>
          <w:b/>
          <w:bCs/>
          <w:color w:val="1F3864"/>
          <w:sz w:val="22"/>
          <w:szCs w:val="22"/>
        </w:rPr>
        <w:t xml:space="preserve">Engineering, The Policy Exchange</w:t>
      </w:r>
    </w:p>
    <w:p>
      <w:pPr>
        <w:spacing w:after="60"/>
        <w:jc w:val="center"/>
      </w:pPr>
      <w:r>
        <w:rPr>
          <w:rFonts w:ascii="Calibri" w:cs="Calibri" w:eastAsia="Calibri" w:hAnsi="Calibri"/>
          <w:i/>
          <w:iCs/>
          <w:color w:val="1A1A1A"/>
          <w:sz w:val="16"/>
          <w:szCs w:val="16"/>
        </w:rPr>
        <w:t xml:space="preserve">(Fairvalue Insuretech Pvt. Ltd.)</w:t>
      </w:r>
    </w:p>
    <w:p>
      <w:pPr>
        <w:spacing w:after="100"/>
      </w:pPr>
      <w:r>
        <w:t xml:space="preserve"/>
      </w:r>
    </w:p>
    <w:p>
      <w:pPr>
        <w:spacing w:after="60" w:before="600"/>
        <w:jc w:val="center"/>
      </w:pPr>
      <w:r>
        <w:rPr>
          <w:rFonts w:ascii="Calibri" w:cs="Calibri" w:eastAsia="Calibri" w:hAnsi="Calibri"/>
          <w:color w:val="808080"/>
          <w:sz w:val="16"/>
          <w:szCs w:val="16"/>
        </w:rPr>
        <w:t xml:space="preserve">Document ID: TPE-COMMS-CHARTER-2026-001  |  Version 1.0  |  Effective Date: 26 April 2026</w:t>
      </w:r>
    </w:p>
    <w:p>
      <w:pPr>
        <w:spacing w:after="0"/>
        <w:jc w:val="center"/>
      </w:pPr>
      <w:r>
        <w:rPr>
          <w:rFonts w:ascii="Calibri" w:cs="Calibri" w:eastAsia="Calibri" w:hAnsi="Calibri"/>
          <w:i/>
          <w:iCs/>
          <w:color w:val="808080"/>
          <w:sz w:val="16"/>
          <w:szCs w:val="16"/>
        </w:rPr>
        <w:t xml:space="preserve">Classification: Internal &amp; Confidential</w:t>
      </w:r>
    </w:p>
    <w:p>
      <w:pPr>
        <w:pStyle w:val="Heading1"/>
        <w:pageBreakBefore/>
        <w:spacing w:after="240" w:before="0"/>
      </w:pPr>
      <w:r>
        <w:rPr>
          <w:rFonts w:ascii="Calibri" w:cs="Calibri" w:eastAsia="Calibri" w:hAnsi="Calibri"/>
          <w:b/>
          <w:bCs/>
          <w:color w:val="1F3864"/>
          <w:sz w:val="36"/>
          <w:szCs w:val="36"/>
        </w:rPr>
        <w:t xml:space="preserve">Table of Contents</w:t>
      </w:r>
    </w:p>
    <w:p>
      <w:pPr>
        <w:spacing w:after="120" w:before="0"/>
      </w:pPr>
      <w:r>
        <w:rPr>
          <w:rFonts w:ascii="Calibri" w:cs="Calibri" w:eastAsia="Calibri" w:hAnsi="Calibri"/>
          <w:color w:val="1A1A1A"/>
          <w:sz w:val="20"/>
          <w:szCs w:val="20"/>
        </w:rPr>
        <w:t xml:space="preserve">This Charter is organised into sixteen sections. Section 4 (Scope of Work) is the longest, including a detailed per-trigger specification for all forty-nine triggers. Sections 11–15 cover quality, security, operational SLAs, effort estimation, and definitions.</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Project Overview</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Sponsor, Owner and Team</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Objectives and Success Metrics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Scope of Work</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4.1</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Solution Approach</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4.2</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Audiences in Scope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4.3</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Trigger Inventory (49 Triggers, summary + detail)</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4.4</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Channel Coverage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4.5</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Channel Provider Integration</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4.6</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Compliance Middleware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4.7</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Multi-tenant Insurer Routing</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4.8</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Observability and Audit</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4.9</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Subscriber Data Sync</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4.10</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Documentation</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4.11</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Production Cutover and Hypercare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4.12</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Out of Scope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4.13</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Cross-team Dependencies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Deliverables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6</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Timeline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7</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Phase Exit Criteria and Per-deliverable Acceptance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8</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Change Management</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9</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Risks and Mitigations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10</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Quality Assurance and Testing Strategy</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11</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Security and Privacy Framework</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12</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Service Level Agreements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13</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Effort Estimation and Indicative Budget</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14</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Glossary</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15</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Charter Approval</w:t>
            </w:r>
          </w:p>
        </w:tc>
      </w:tr>
    </w:tbl>
    <w:p>
      <w:pPr>
        <w:pStyle w:val="Heading1"/>
        <w:pageBreakBefore/>
        <w:spacing w:after="240" w:before="0"/>
      </w:pPr>
      <w:r>
        <w:rPr>
          <w:rFonts w:ascii="Calibri" w:cs="Calibri" w:eastAsia="Calibri" w:hAnsi="Calibri"/>
          <w:b/>
          <w:bCs/>
          <w:color w:val="1F3864"/>
          <w:sz w:val="36"/>
          <w:szCs w:val="36"/>
        </w:rPr>
        <w:t xml:space="preserve">1. Project Overview</w:t>
      </w:r>
    </w:p>
    <w:p>
      <w:pPr>
        <w:spacing w:after="120" w:before="0"/>
      </w:pPr>
      <w:r>
        <w:rPr>
          <w:rFonts w:ascii="Calibri" w:cs="Calibri" w:eastAsia="Calibri" w:hAnsi="Calibri"/>
          <w:color w:val="1A1A1A"/>
          <w:sz w:val="20"/>
          <w:szCs w:val="20"/>
        </w:rPr>
        <w:t xml:space="preserve">This Internal Project Charter sets out the scope, approach, deliverables, timeline and ownership for the TPE Communication System initiative. It is an internal alignment document for the engineering, compliance, customer-experience and operations teams at The Policy Exchange (TPE), a brand of Fairvalue Insuretech Pvt. Ltd. It is not a contract and does not bind any party commercially or legally.</w:t>
      </w:r>
    </w:p>
    <w:p>
      <w:pPr>
        <w:spacing w:after="120" w:before="0"/>
      </w:pPr>
      <w:r>
        <w:rPr>
          <w:rFonts w:ascii="Calibri" w:cs="Calibri" w:eastAsia="Calibri" w:hAnsi="Calibri"/>
          <w:color w:val="1A1A1A"/>
          <w:sz w:val="20"/>
          <w:szCs w:val="20"/>
        </w:rPr>
        <w:t xml:space="preserve">We are building a unified communication platform on the open-source Novu notification framework, self-hosted on our own AWS Mumbai infrastructure. The platform will route forty-nine lifecycle communications across five audiences and four customer-facing channels, in English and Hindi, with India-resident data and audit-grade evidence per dispatched message. The platform replaces our current spreadsheet-and-inbox approach to lifecycle communication and gives us the foundation we need to scale to multiple insurance partners and a multi-decade investor base without proportional headcount growth in operations.</w:t>
      </w:r>
    </w:p>
    <w:p>
      <w:pPr>
        <w:spacing w:after="120" w:before="0"/>
      </w:pPr>
      <w:r>
        <w:rPr>
          <w:rFonts w:ascii="Calibri" w:cs="Calibri" w:eastAsia="Calibri" w:hAnsi="Calibri"/>
          <w:color w:val="1A1A1A"/>
          <w:sz w:val="20"/>
          <w:szCs w:val="20"/>
        </w:rPr>
        <w:t xml:space="preserve">This charter supersedes any prior internal scope notes circulated for this initiative.</w:t>
      </w:r>
    </w:p>
    <w:p>
      <w:pPr>
        <w:pStyle w:val="Heading1"/>
        <w:pageBreakBefore/>
        <w:spacing w:after="240" w:before="0"/>
      </w:pPr>
      <w:r>
        <w:rPr>
          <w:rFonts w:ascii="Calibri" w:cs="Calibri" w:eastAsia="Calibri" w:hAnsi="Calibri"/>
          <w:b/>
          <w:bCs/>
          <w:color w:val="1F3864"/>
          <w:sz w:val="36"/>
          <w:szCs w:val="36"/>
        </w:rPr>
        <w:t xml:space="preserve">2. Sponsor, Owner and Team</w:t>
      </w:r>
    </w:p>
    <w:p>
      <w:pPr>
        <w:spacing w:after="120" w:before="0"/>
      </w:pPr>
      <w:r>
        <w:rPr>
          <w:rFonts w:ascii="Calibri" w:cs="Calibri" w:eastAsia="Calibri" w:hAnsi="Calibri"/>
          <w:color w:val="1A1A1A"/>
          <w:sz w:val="20"/>
          <w:szCs w:val="20"/>
        </w:rPr>
        <w:t xml:space="preserve">Project ownership and decision-rights are held as below. Names are populated by the Project Sponsor at kick-off; the role definitions are fixed by this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3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5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Responsibility</w:t>
            </w:r>
          </w:p>
        </w:tc>
        <w:tc>
          <w:tcPr>
            <w:tcW w:type="dxa" w:w="2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Holder</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Executive Sponsor</w:t>
            </w:r>
          </w:p>
        </w:tc>
        <w:tc>
          <w:tcPr>
            <w:tcW w:type="dxa" w:w="5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Final budget approval, escalation point, conflict resolution</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[Founder / CEO]</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Project Owner</w:t>
            </w:r>
          </w:p>
        </w:tc>
        <w:tc>
          <w:tcPr>
            <w:tcW w:type="dxa" w:w="5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Day-to-day decision-making, scope owner, accountable for outcomes</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w:t>
            </w:r>
          </w:p>
        </w:tc>
        <w:tc>
          <w:tcPr>
            <w:tcW w:type="dxa" w:w="5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build, code review, technical hiring decisions for this build</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[Principal Engineer]</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c>
          <w:tcPr>
            <w:tcW w:type="dxa" w:w="5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Sign-off on regulatory rules, disclaimer set, audit posture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Compliance]</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Lead</w:t>
            </w:r>
          </w:p>
        </w:tc>
        <w:tc>
          <w:tcPr>
            <w:tcW w:type="dxa" w:w="5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Audience voice, content review, brand sign-off on customer-facing copy</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CX]</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5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Insurer-partner inputs, cadence rules, day-two operations ownership post-launch</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Operations]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Lead</w:t>
            </w:r>
          </w:p>
        </w:tc>
        <w:tc>
          <w:tcPr>
            <w:tcW w:type="dxa" w:w="5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account, VPC, IAM, observability stack, deployment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Infrastructure / DevOps]</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Quality Lead</w:t>
            </w:r>
          </w:p>
        </w:tc>
        <w:tc>
          <w:tcPr>
            <w:tcW w:type="dxa" w:w="5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Test coverage, acceptance pack, defect triage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[QA Lead]</w:t>
            </w:r>
          </w:p>
        </w:tc>
      </w:tr>
    </w:tbl>
    <w:p>
      <w:pPr>
        <w:pStyle w:val="Heading2"/>
        <w:spacing w:after="140" w:before="280"/>
      </w:pPr>
      <w:r>
        <w:rPr>
          <w:rFonts w:ascii="Calibri" w:cs="Calibri" w:eastAsia="Calibri" w:hAnsi="Calibri"/>
          <w:b/>
          <w:bCs/>
          <w:color w:val="1F3864"/>
          <w:sz w:val="28"/>
          <w:szCs w:val="28"/>
        </w:rPr>
        <w:t xml:space="preserve">2.1  Working Team</w:t>
      </w:r>
    </w:p>
    <w:p>
      <w:pPr>
        <w:spacing w:after="120" w:before="0"/>
      </w:pPr>
      <w:r>
        <w:rPr>
          <w:rFonts w:ascii="Calibri" w:cs="Calibri" w:eastAsia="Calibri" w:hAnsi="Calibri"/>
          <w:color w:val="1A1A1A"/>
          <w:sz w:val="20"/>
          <w:szCs w:val="20"/>
        </w:rPr>
        <w:t xml:space="preserve">Indicative engineering composition for the build phase. Final team allocation is the Engineering Lead’s decision and is recorded separately in the resourcing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40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Function</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Indicative allocation</w:t>
            </w:r>
          </w:p>
        </w:tc>
        <w:tc>
          <w:tcPr>
            <w:tcW w:type="dxa" w:w="4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Where they spend time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Backend Engineering</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engineers, full-time</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authoring, custom Novu provider plugins, compliance middleware</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 DevOps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engineer, ~50%</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deployment, CI/CD, observability, secrets management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Quality Engineering</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engineer, ~50%</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Schema, lint, render goldens, workflow execution and end-to-end tests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 Compliance / Brand reviewers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Standing weekly slot, ~4h each</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 review on workflow content, lint-rule definition, disclaimer maintenance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Operations input</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days total across the project</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Eleven-carrier registry inputs: sender identity, MIS template, escalation contacts</w:t>
            </w:r>
          </w:p>
        </w:tc>
      </w:tr>
    </w:tbl>
    <w:p>
      <w:pPr>
        <w:pStyle w:val="Heading1"/>
        <w:pageBreakBefore/>
        <w:spacing w:after="240" w:before="0"/>
      </w:pPr>
      <w:r>
        <w:rPr>
          <w:rFonts w:ascii="Calibri" w:cs="Calibri" w:eastAsia="Calibri" w:hAnsi="Calibri"/>
          <w:b/>
          <w:bCs/>
          <w:color w:val="1F3864"/>
          <w:sz w:val="36"/>
          <w:szCs w:val="36"/>
        </w:rPr>
        <w:t xml:space="preserve">3. Objectives and Success Metrics</w:t>
      </w:r>
    </w:p>
    <w:p>
      <w:pPr>
        <w:spacing w:after="120" w:before="0"/>
      </w:pPr>
      <w:r>
        <w:rPr>
          <w:rFonts w:ascii="Calibri" w:cs="Calibri" w:eastAsia="Calibri" w:hAnsi="Calibri"/>
          <w:color w:val="1A1A1A"/>
          <w:sz w:val="20"/>
          <w:szCs w:val="20"/>
        </w:rPr>
        <w:t xml:space="preserve">The project succeeds if it delivers the engineering capability and the business outcomes below. Engineering metrics are confirmed at phase acceptance; business metrics are measured at the six-month review post-go-live.</w:t>
      </w:r>
    </w:p>
    <w:p>
      <w:pPr>
        <w:pStyle w:val="Heading2"/>
        <w:spacing w:after="140" w:before="280"/>
      </w:pPr>
      <w:r>
        <w:rPr>
          <w:rFonts w:ascii="Calibri" w:cs="Calibri" w:eastAsia="Calibri" w:hAnsi="Calibri"/>
          <w:b/>
          <w:bCs/>
          <w:color w:val="1F3864"/>
          <w:sz w:val="28"/>
          <w:szCs w:val="28"/>
        </w:rPr>
        <w:t xml:space="preserve">3.1  Engineering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33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5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Objective</w:t>
            </w:r>
          </w:p>
        </w:tc>
        <w:tc>
          <w:tcPr>
            <w:tcW w:type="dxa" w:w="3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Measure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E1</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forty-nine lifecycle triggers live as Novu workflows in production</w:t>
            </w:r>
          </w:p>
        </w:tc>
        <w:tc>
          <w:tcPr>
            <w:tcW w:type="dxa" w:w="3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49 workflows in prod environment, each with at least one successful end-to-end dispatch</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E2</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Indian regulatory rules enforced at workflow execution and at code review</w:t>
            </w:r>
          </w:p>
        </w:tc>
        <w:tc>
          <w:tcPr>
            <w:tcW w:type="dxa" w:w="3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30 lint rules across DLT, IRDAI, WA-BSP, DPDPA, FATCA, TDS, brand-voice, blocking both PR merge and runtime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E3</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Per-message audit trail with PII tokenised</w:t>
            </w:r>
          </w:p>
        </w:tc>
        <w:tc>
          <w:tcPr>
            <w:tcW w:type="dxa" w:w="3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row written for every dispatched message; subject-access export endpoint returns within 60 seconds</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E4</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Three Indian channel providers integrated with failover</w:t>
            </w:r>
          </w:p>
        </w:tc>
        <w:tc>
          <w:tcPr>
            <w:tcW w:type="dxa" w:w="3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 MSG91, Karix all live; failover Gupshup → MSG91 → Karix verified on a contrived 5xx</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E5</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India-resident data end-to-end</w:t>
            </w:r>
          </w:p>
        </w:tc>
        <w:tc>
          <w:tcPr>
            <w:tcW w:type="dxa" w:w="3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persistent stores in ap-south-1; egress to providers carries message and DLT IDs only, never resident PII batches</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E6</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Self-service workflow authoring by CX / Compliance team</w:t>
            </w:r>
          </w:p>
        </w:tc>
        <w:tc>
          <w:tcPr>
            <w:tcW w:type="dxa" w:w="3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At least one team member outside engineering merges a workflow change to production within first 30 days post-launch</w:t>
            </w:r>
          </w:p>
        </w:tc>
      </w:tr>
    </w:tbl>
    <w:p>
      <w:pPr>
        <w:pStyle w:val="Heading2"/>
        <w:spacing w:after="140" w:before="280"/>
      </w:pPr>
      <w:r>
        <w:rPr>
          <w:rFonts w:ascii="Calibri" w:cs="Calibri" w:eastAsia="Calibri" w:hAnsi="Calibri"/>
          <w:b/>
          <w:bCs/>
          <w:color w:val="1F3864"/>
          <w:sz w:val="28"/>
          <w:szCs w:val="28"/>
        </w:rPr>
        <w:t xml:space="preserve">3.2  Business Outcomes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300"/>
        <w:gridCol w:w="23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Outcome</w:t>
            </w:r>
          </w:p>
        </w:tc>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w:t>
            </w:r>
          </w:p>
        </w:tc>
        <w:tc>
          <w:tcPr>
            <w:tcW w:type="dxa" w:w="2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Measured at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B1</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premium-default-rate reduction</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− 20% from baseline</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 months post-launch</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B2</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time on routine drafting</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− 50% from baseline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months post-launch</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B3</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Compliance-incident exposure (open issues, regulator queries, blocked dispatches)</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Trending down quarter-over-quarter</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review</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B4</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Time-to-launch a new audience or channel</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Days, not weeks</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First post-launch addition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B5</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Per-insurer dispatch reconciliation</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reconcilable monthly with no manual intervention</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First month-end post-launch</w:t>
            </w:r>
          </w:p>
        </w:tc>
      </w:tr>
    </w:tbl>
    <w:p>
      <w:pPr>
        <w:pStyle w:val="Heading1"/>
        <w:pageBreakBefore/>
        <w:spacing w:after="240" w:before="0"/>
      </w:pPr>
      <w:r>
        <w:rPr>
          <w:rFonts w:ascii="Calibri" w:cs="Calibri" w:eastAsia="Calibri" w:hAnsi="Calibri"/>
          <w:b/>
          <w:bCs/>
          <w:color w:val="1F3864"/>
          <w:sz w:val="36"/>
          <w:szCs w:val="36"/>
        </w:rPr>
        <w:t xml:space="preserve">4. Scope of Work</w:t>
      </w:r>
    </w:p>
    <w:p>
      <w:pPr>
        <w:spacing w:after="120" w:before="0"/>
      </w:pPr>
      <w:r>
        <w:rPr>
          <w:rFonts w:ascii="Calibri" w:cs="Calibri" w:eastAsia="Calibri" w:hAnsi="Calibri"/>
          <w:color w:val="1A1A1A"/>
          <w:sz w:val="20"/>
          <w:szCs w:val="20"/>
        </w:rPr>
        <w:t xml:space="preserve">This Section 4 sets out, in detail, what we will build. It is the primary scoping clause of this charter and prevails over any other description of scope in this document. Anything not listed here is, by default, out of scope; additions are handled through Section 8 (Change Management).</w:t>
      </w:r>
    </w:p>
    <w:p>
      <w:pPr>
        <w:pStyle w:val="Heading2"/>
        <w:spacing w:after="140" w:before="280"/>
      </w:pPr>
      <w:r>
        <w:rPr>
          <w:rFonts w:ascii="Calibri" w:cs="Calibri" w:eastAsia="Calibri" w:hAnsi="Calibri"/>
          <w:b/>
          <w:bCs/>
          <w:color w:val="1F3864"/>
          <w:sz w:val="28"/>
          <w:szCs w:val="28"/>
        </w:rPr>
        <w:t xml:space="preserve">4.1  Solution Approach</w:t>
      </w:r>
    </w:p>
    <w:p>
      <w:pPr>
        <w:spacing w:after="120" w:before="0"/>
      </w:pPr>
      <w:r>
        <w:rPr>
          <w:rFonts w:ascii="Calibri" w:cs="Calibri" w:eastAsia="Calibri" w:hAnsi="Calibri"/>
          <w:color w:val="1A1A1A"/>
          <w:sz w:val="20"/>
          <w:szCs w:val="20"/>
        </w:rPr>
        <w:t xml:space="preserve">We will build a unified, multi-audience, multi-channel, workflow-driven communication system on the open-source Novu notification platform, self-hosted on our own AWS Mumbai infrastructure. Forty-nine lifecycle communication triggers will be delivered as Novu workflows authored in TypeScript using Novu Framework. The system will enforce Indian regulatory and brand-voice rules at workflow execution and at code-review time, support our eleven insurance partners as multi-tenant sender identities, and produce audit-grade evidence per dispatched message. The deployment will be Multi-AZ within ap-south-1. Personal data of data principals will reside within India in normal operation. We are explicitly choosing self-hosted over Novu Cloud because Cloud regions sit outside India and would put cross-border PII transfers in scope under DPDPA — a regulator-readable risk we are not willing to carry for an insurance marketplace.</w:t>
      </w:r>
    </w:p>
    <w:p>
      <w:pPr>
        <w:pStyle w:val="Heading2"/>
        <w:spacing w:after="140" w:before="280"/>
      </w:pPr>
      <w:r>
        <w:rPr>
          <w:rFonts w:ascii="Calibri" w:cs="Calibri" w:eastAsia="Calibri" w:hAnsi="Calibri"/>
          <w:b/>
          <w:bCs/>
          <w:color w:val="1F3864"/>
          <w:sz w:val="28"/>
          <w:szCs w:val="28"/>
        </w:rPr>
        <w:t xml:space="preserve">4.2  Audiences in Scope</w:t>
      </w:r>
    </w:p>
    <w:p>
      <w:pPr>
        <w:spacing w:after="120" w:before="0"/>
      </w:pPr>
      <w:r>
        <w:rPr>
          <w:rFonts w:ascii="Calibri" w:cs="Calibri" w:eastAsia="Calibri" w:hAnsi="Calibri"/>
          <w:color w:val="1A1A1A"/>
          <w:sz w:val="20"/>
          <w:szCs w:val="20"/>
        </w:rPr>
        <w:t xml:space="preserve">Five audiences. Each has a distinct sender identity, voice profile, channel mix and compliance regime.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00"/>
        <w:gridCol w:w="22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Audience</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Description</w:t>
            </w:r>
          </w:p>
        </w:tc>
        <w:tc>
          <w:tcPr>
            <w:tcW w:type="dxa" w:w="2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Sender identity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 (Seller)</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or prospective seller of an in-force policy on our secondary marketplace</w:t>
            </w:r>
          </w:p>
        </w:tc>
        <w:tc>
          <w:tcPr>
            <w:tcW w:type="dxa" w:w="2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Customer Care</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(Buyer)</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Buyer of assigned policies; multi-decade relationship because premium continues post-assignment</w:t>
            </w:r>
          </w:p>
        </w:tc>
        <w:tc>
          <w:tcPr>
            <w:tcW w:type="dxa" w:w="2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Investments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Partner</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One of our eleven carrier partners with whom we have bilateral assignment / remittance arrangements</w:t>
            </w:r>
          </w:p>
        </w:tc>
        <w:tc>
          <w:tcPr>
            <w:tcW w:type="dxa" w:w="2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Operations + per-carrier identity</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Operations</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Our internal sales, ops, agents and on-call personnel receiving operational alerts</w:t>
            </w:r>
          </w:p>
        </w:tc>
        <w:tc>
          <w:tcPr>
            <w:tcW w:type="dxa" w:w="2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System Bot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 / Statutory</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Regulators and statutory authorities receiving filings and statutory documentation</w:t>
            </w:r>
          </w:p>
        </w:tc>
        <w:tc>
          <w:tcPr>
            <w:tcW w:type="dxa" w:w="2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Compliance</w:t>
            </w:r>
          </w:p>
        </w:tc>
      </w:tr>
    </w:tbl>
    <w:p>
      <w:pPr>
        <w:pStyle w:val="Heading2"/>
        <w:spacing w:after="140" w:before="280"/>
      </w:pPr>
      <w:r>
        <w:rPr>
          <w:rFonts w:ascii="Calibri" w:cs="Calibri" w:eastAsia="Calibri" w:hAnsi="Calibri"/>
          <w:b/>
          <w:bCs/>
          <w:color w:val="1F3864"/>
          <w:sz w:val="28"/>
          <w:szCs w:val="28"/>
        </w:rPr>
        <w:t xml:space="preserve">4.3  Trigger Inventory (49 Triggers)</w:t>
      </w:r>
    </w:p>
    <w:p>
      <w:pPr>
        <w:spacing w:after="120" w:before="0"/>
      </w:pPr>
      <w:r>
        <w:rPr>
          <w:rFonts w:ascii="Calibri" w:cs="Calibri" w:eastAsia="Calibri" w:hAnsi="Calibri"/>
          <w:color w:val="1A1A1A"/>
          <w:sz w:val="20"/>
          <w:szCs w:val="20"/>
        </w:rPr>
        <w:t xml:space="preserve">Each Trigger below maps to one Novu workflow. The Trigger ID is the contractual reference internally; per-trigger statuses, channel selection, cadence rules and content variables are documented in the workflow author guide produced under Section 5. Adding, removing or replacing a Trigger requires Project Owner approval under Section 8.</w:t>
      </w:r>
    </w:p>
    <w:p>
      <w:pPr>
        <w:pStyle w:val="Heading3"/>
        <w:spacing w:after="100" w:before="200"/>
      </w:pPr>
      <w:r>
        <w:rPr>
          <w:rFonts w:ascii="Calibri" w:cs="Calibri" w:eastAsia="Calibri" w:hAnsi="Calibri"/>
          <w:b/>
          <w:bCs/>
          <w:color w:val="1A1A1A"/>
          <w:sz w:val="24"/>
          <w:szCs w:val="24"/>
        </w:rPr>
        <w:t xml:space="preserve">4.3.1  Group A — Policyholder Lifecycle (18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800"/>
        <w:gridCol w:w="24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4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 (primary)</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 pattern</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Captured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T+0,1,3,7 drip</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Registration</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 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Abandoned: 1h, 24h, 72h</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KYC</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four</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Pending: weekly × 4, monthly × 4, then close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 Document Upload</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status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 Verification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Email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Update every 48 hours</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Surrender Value Quote</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 T+2, T+5, T-1 pre-expiry</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PH-07</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Offer Decision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Silent: 3d, 7d</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PH-08</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Assignment Paperwork</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 SMS</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e-Sign: T+1, T+3</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PH-09</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Matched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Email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PH-10</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Disbursement</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 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status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Post-Assignment Welcome</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Welcome + quarterly newsletter</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Application</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four</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Approval</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 SMS</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Disbursement</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EMI Reminder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 Email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T-7, T-3, T-day, +1, +7, +15, +30</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Closure</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event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PH-17</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Re-engagement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Decay drip at 30d, 90d, 6m, 1y</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PH-18</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Referral Program</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event</w:t>
            </w:r>
          </w:p>
        </w:tc>
      </w:tr>
    </w:tbl>
    <w:p>
      <w:pPr>
        <w:pStyle w:val="Heading3"/>
        <w:spacing w:after="100" w:before="200"/>
      </w:pPr>
      <w:r>
        <w:rPr>
          <w:rFonts w:ascii="Calibri" w:cs="Calibri" w:eastAsia="Calibri" w:hAnsi="Calibri"/>
          <w:b/>
          <w:bCs/>
          <w:color w:val="1A1A1A"/>
          <w:sz w:val="24"/>
          <w:szCs w:val="24"/>
        </w:rPr>
        <w:t xml:space="preserve">4.3.2  Group B — Investor Lifecycle (16 Triggers, highest message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800"/>
        <w:gridCol w:w="24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4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 (primary)</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 pattern</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Captured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T+0,1,3,7,14 drip</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Registration</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SMS, WhatsApp</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KYC + Risk Profile</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Investment Opportunity Push</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 RCS</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digest plus alerts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Investment Soft-Commit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Funds Collection</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Email, WhatsApp</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Pending: 24h, 48h</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INV-07</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Investment Confirmed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INV-08</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Due (10–25 yr stream)</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four</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T-30, T-15, T-7, T-3, T-day, +1, +7, +15 — highest volume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INV-09</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Payment Confirmation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INV-10</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Default → Lapse Risk</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four plus call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Aggressive escalation</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Maturity Approaching</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T-12mo, T-6mo, T-3mo, T-1mo, T-7d</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Maturity Received</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Email, WhatsApp</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Portfolio Statement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 quarterly / annual</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Tax Documents (TDS / 80C / 80D)</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Statutory cadence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Re-investment Opportunity</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WhatsApp, RCS</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Triggered</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Account Notices</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 as needed</w:t>
            </w:r>
          </w:p>
        </w:tc>
      </w:tr>
    </w:tbl>
    <w:p>
      <w:pPr>
        <w:pStyle w:val="Heading3"/>
        <w:spacing w:after="100" w:before="200"/>
      </w:pPr>
      <w:r>
        <w:rPr>
          <w:rFonts w:ascii="Calibri" w:cs="Calibri" w:eastAsia="Calibri" w:hAnsi="Calibri"/>
          <w:b/>
          <w:bCs/>
          <w:color w:val="1A1A1A"/>
          <w:sz w:val="24"/>
          <w:szCs w:val="24"/>
        </w:rPr>
        <w:t xml:space="preserve">4.3.3  Group C — Insurance Partner / B2B (6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800"/>
        <w:gridCol w:w="24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4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Assignment Intimation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carrier portal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case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Remittance + Allocation MIS</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Excel attachment</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batch — reuses existing MIS Pipeline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 Reconciliation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Excel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Query Resolution</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case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Maturity / Claim Coordination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case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Regulatory / KYC Refresh</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cadence</w:t>
            </w:r>
          </w:p>
        </w:tc>
      </w:tr>
    </w:tbl>
    <w:p>
      <w:pPr>
        <w:pStyle w:val="Heading3"/>
        <w:spacing w:after="100" w:before="200"/>
      </w:pPr>
      <w:r>
        <w:rPr>
          <w:rFonts w:ascii="Calibri" w:cs="Calibri" w:eastAsia="Calibri" w:hAnsi="Calibri"/>
          <w:b/>
          <w:bCs/>
          <w:color w:val="1A1A1A"/>
          <w:sz w:val="24"/>
          <w:szCs w:val="24"/>
        </w:rPr>
        <w:t xml:space="preserve">4.3.4  Group D — Internal Operations (6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800"/>
        <w:gridCol w:w="24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4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Lead Allocated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Teams + Email</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Standup Briefing</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09:00 IST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High-Value Escalation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SMS</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Default Alert</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Email</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KYC Stuck (&gt;7 days)</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digest</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Deadline (IRDAI / GST / TDS)</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Calendar</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Pre-deadline</w:t>
            </w:r>
          </w:p>
        </w:tc>
      </w:tr>
    </w:tbl>
    <w:p>
      <w:pPr>
        <w:pStyle w:val="Heading3"/>
        <w:spacing w:after="100" w:before="200"/>
      </w:pPr>
      <w:r>
        <w:rPr>
          <w:rFonts w:ascii="Calibri" w:cs="Calibri" w:eastAsia="Calibri" w:hAnsi="Calibri"/>
          <w:b/>
          <w:bCs/>
          <w:color w:val="1A1A1A"/>
          <w:sz w:val="24"/>
          <w:szCs w:val="24"/>
        </w:rPr>
        <w:t xml:space="preserve">4.3.5  Group E — Regulatory / Statutory (3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800"/>
        <w:gridCol w:w="28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5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REG-01</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Filing — quarterly + annual</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regulator schedule</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REG-02</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 Certificates to Investors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REG-03</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GST Invoices</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transaction</w:t>
            </w:r>
          </w:p>
        </w:tc>
      </w:tr>
    </w:tbl>
    <w:p>
      <w:pPr>
        <w:pStyle w:val="Heading2"/>
        <w:spacing w:after="140" w:before="280"/>
      </w:pPr>
      <w:r>
        <w:rPr>
          <w:rFonts w:ascii="Calibri" w:cs="Calibri" w:eastAsia="Calibri" w:hAnsi="Calibri"/>
          <w:b/>
          <w:bCs/>
          <w:color w:val="1F3864"/>
          <w:sz w:val="28"/>
          <w:szCs w:val="28"/>
        </w:rPr>
        <w:t xml:space="preserve">4.3.6  Detailed Trigger Specification (per-trigger edge cases)</w:t>
      </w:r>
    </w:p>
    <w:p>
      <w:pPr>
        <w:spacing w:after="120" w:before="0"/>
      </w:pPr>
      <w:r>
        <w:rPr>
          <w:rFonts w:ascii="Calibri" w:cs="Calibri" w:eastAsia="Calibri" w:hAnsi="Calibri"/>
          <w:color w:val="1A1A1A"/>
          <w:sz w:val="20"/>
          <w:szCs w:val="20"/>
        </w:rPr>
        <w:t xml:space="preserve">Each of the forty-nine triggers in scope is expanded below across five axes: statuses (states the trigger fires on), channel sequencing (which channel in what order with what fallback), cadence with exceptions (schedule plus quiet hours / weekend / holiday / opt-out), data-quality fallbacks (what happens when required data is missing or malformed), and failure handling (provider failure, BSP rejection, opt-out mid-cadence, status changes mid-cadence). The detail level here is internal-team operational guidance; it informs but does not replace the workflow author guide deliverable.</w:t>
      </w:r>
    </w:p>
    <w:p>
      <w:pPr>
        <w:spacing w:after="120" w:before="0"/>
      </w:pPr>
      <w:r>
        <w:rPr>
          <w:rFonts w:ascii="Calibri" w:cs="Calibri" w:eastAsia="Calibri" w:hAnsi="Calibri"/>
          <w:i/>
          <w:iCs/>
          <w:color w:val="808080"/>
          <w:sz w:val="18"/>
          <w:szCs w:val="18"/>
        </w:rPr>
        <w:t xml:space="preserve">Validation note: each trigger’s detail below reflects standard Indian insurance / secondary-market practice as drafted by Engineering. Operations and Compliance Leads must review and confirm or correct each entry before this charter is approved — the entries below are starting points, not adjudicated rules.</w:t>
      </w:r>
    </w:p>
    <w:p>
      <w:pPr>
        <w:pStyle w:val="Heading3"/>
        <w:spacing w:after="100" w:before="200"/>
      </w:pPr>
      <w:r>
        <w:rPr>
          <w:rFonts w:ascii="Calibri" w:cs="Calibri" w:eastAsia="Calibri" w:hAnsi="Calibri"/>
          <w:b/>
          <w:bCs/>
          <w:color w:val="1A1A1A"/>
          <w:sz w:val="24"/>
          <w:szCs w:val="24"/>
        </w:rPr>
        <w:t xml:space="preserve">Group A — Policyholder Lifecycle (18 triggers)</w:t>
      </w:r>
    </w:p>
    <w:p>
      <w:pPr>
        <w:keepNext/>
        <w:spacing w:after="80" w:before="280"/>
      </w:pPr>
      <w:r>
        <w:rPr>
          <w:rFonts w:ascii="Calibri" w:cs="Calibri" w:eastAsia="Calibri" w:hAnsi="Calibri"/>
          <w:b/>
          <w:bCs/>
          <w:color w:val="1F3864"/>
          <w:sz w:val="24"/>
          <w:szCs w:val="24"/>
        </w:rPr>
        <w:t xml:space="preserve">PH-01  </w:t>
      </w:r>
      <w:r>
        <w:rPr>
          <w:rFonts w:ascii="Calibri" w:cs="Calibri" w:eastAsia="Calibri" w:hAnsi="Calibri"/>
          <w:b/>
          <w:bCs/>
          <w:color w:val="1A1A1A"/>
          <w:sz w:val="24"/>
          <w:szCs w:val="24"/>
        </w:rPr>
        <w:t xml:space="preserve">Lead Captured</w:t>
      </w:r>
    </w:p>
    <w:p>
      <w:pPr>
        <w:spacing w:after="120"/>
      </w:pPr>
      <w:r>
        <w:rPr>
          <w:rFonts w:ascii="Calibri" w:cs="Calibri" w:eastAsia="Calibri" w:hAnsi="Calibri"/>
          <w:i/>
          <w:iCs/>
          <w:color w:val="808080"/>
          <w:sz w:val="18"/>
          <w:szCs w:val="18"/>
        </w:rPr>
        <w:t xml:space="preserve">Engage a new policyholder lead from website / referral / inbound; move them toward Registration.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(just captured, not contacted) | Contacted (first nudge sent) | Qualified (engagement signals: opened, clicked, replied) | Disqualified (hard bounce, opt-out, do-not-contact list, duplicate). Status transitions are recorded in subscriber.data.lead_state and drive cadence branching.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full-content) and WhatsApp Utility template (concise nudge with link). SMS not used to avoid DLT registration overhead on top-of-funnel where intent is unconfirmed. RCS not used at this stage.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 (immediate welcome), T+1 day, T+3 days, T+7 days. Quiet hours: 21:00–09:00 IST suppressed; weekend SMS suppressed (Email and WA Utility allowed). Holidays: gazetted holidays suppress promotional category, transactional content allowed. If the lead transitions to Qualified mid-cadence, drip stops and the workflow hands off to PH-02 Registration.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lead_id, primary contact (one of phone or email). If only phone present, run Email channel as suppressed. If name missing, fall back to "Hello there" salutation; do not block dispatch. If phone is malformed, log and skip phone channels for this lead until Operations corrects. Stale leads (&gt;90 days, no engagement) auto-route to PH-17 Re-engagement.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5xx: failover to next provider in chain. Hard bounce on Email: mark email as invalid and skip Email for future workflows. WhatsApp opt-out: persist to subscriber.preferences and skip WA in future workflows. If all channels fail or are suppressed for two consecutive scheduled sends, mark lead as Disqualified.unreachable and notify Operations via OPS-01.</w:t>
            </w:r>
          </w:p>
        </w:tc>
      </w:tr>
    </w:tbl>
    <w:p>
      <w:pPr>
        <w:keepNext/>
        <w:spacing w:after="80" w:before="280"/>
      </w:pPr>
      <w:r>
        <w:rPr>
          <w:rFonts w:ascii="Calibri" w:cs="Calibri" w:eastAsia="Calibri" w:hAnsi="Calibri"/>
          <w:b/>
          <w:bCs/>
          <w:color w:val="1F3864"/>
          <w:sz w:val="24"/>
          <w:szCs w:val="24"/>
        </w:rPr>
        <w:t xml:space="preserve">PH-02  </w:t>
      </w:r>
      <w:r>
        <w:rPr>
          <w:rFonts w:ascii="Calibri" w:cs="Calibri" w:eastAsia="Calibri" w:hAnsi="Calibri"/>
          <w:b/>
          <w:bCs/>
          <w:color w:val="1A1A1A"/>
          <w:sz w:val="24"/>
          <w:szCs w:val="24"/>
        </w:rPr>
        <w:t xml:space="preserve">Registration</w:t>
      </w:r>
    </w:p>
    <w:p>
      <w:pPr>
        <w:spacing w:after="120"/>
      </w:pPr>
      <w:r>
        <w:rPr>
          <w:rFonts w:ascii="Calibri" w:cs="Calibri" w:eastAsia="Calibri" w:hAnsi="Calibri"/>
          <w:i/>
          <w:iCs/>
          <w:color w:val="808080"/>
          <w:sz w:val="18"/>
          <w:szCs w:val="18"/>
        </w:rPr>
        <w:t xml:space="preserve">Move a qualified lead through account registration and OTP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Started (registration initiated) | OTP Sent | Verified (OTP entered correctly) | Abandoned (started but did not verify within window). Subscriber moves from lead_state to ph_state on Verified.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(primary for OTP — fastest, transactional DLT category) | WhatsApp (for richer abandoned-flow nudge with deep link) | Email (for confirmation and abandoned reminder).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OTP send: immediate, valid for 10 minutes. Resend OTP: on user request, max 3 attempts in 30 minutes, then 30-minute cooldown. Abandoned reminder: 1 hour, 24 hours, 72 hours after OTP Sent without Verified. Quiet hours apply to abandoned reminders only — OTP itself is delivered on user trigger regardless of time.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Phone is required for OTP (no fallback). If phone is malformed at registration, surface error to UI immediately; do not invoke this workflow. Email is preferred but optional for the abandoned drip; if missing, abandoned drip is WhatsApp-only.</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OTP delivery failure (provider 5xx): immediately failover to next SMS provider; surface a generic "please retry" to the UI without exposing provider details. If OTP fails on all three providers, log Sev-2 incident and surface a fallback path (in-app or call-back). If user reports OTP not received: re-trigger with the same OTP code (do not regenerate within the 10-minute window). Abandoned reminders stop on Verified or on user opt-out.</w:t>
            </w:r>
          </w:p>
        </w:tc>
      </w:tr>
    </w:tbl>
    <w:p>
      <w:pPr>
        <w:keepNext/>
        <w:spacing w:after="80" w:before="280"/>
      </w:pPr>
      <w:r>
        <w:rPr>
          <w:rFonts w:ascii="Calibri" w:cs="Calibri" w:eastAsia="Calibri" w:hAnsi="Calibri"/>
          <w:b/>
          <w:bCs/>
          <w:color w:val="1F3864"/>
          <w:sz w:val="24"/>
          <w:szCs w:val="24"/>
        </w:rPr>
        <w:t xml:space="preserve">PH-03  </w:t>
      </w:r>
      <w:r>
        <w:rPr>
          <w:rFonts w:ascii="Calibri" w:cs="Calibri" w:eastAsia="Calibri" w:hAnsi="Calibri"/>
          <w:b/>
          <w:bCs/>
          <w:color w:val="1A1A1A"/>
          <w:sz w:val="24"/>
          <w:szCs w:val="24"/>
        </w:rPr>
        <w:t xml:space="preserve">KYC</w:t>
      </w:r>
    </w:p>
    <w:p>
      <w:pPr>
        <w:spacing w:after="120"/>
      </w:pPr>
      <w:r>
        <w:rPr>
          <w:rFonts w:ascii="Calibri" w:cs="Calibri" w:eastAsia="Calibri" w:hAnsi="Calibri"/>
          <w:i/>
          <w:iCs/>
          <w:color w:val="808080"/>
          <w:sz w:val="18"/>
          <w:szCs w:val="18"/>
        </w:rPr>
        <w:t xml:space="preserve">Drive policyholder through KYC submission to enable surrender quote (PH-06) downstream.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Done (no comms required) | In-progress (docs uploaded, under review) | Failed (document rejected with reason) | Pending (KYC requested but no submission). Workflow fires on transitions into Pending or Failed.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 includes the upload link and document checklist), WhatsApp Utility (nudge with deep-link to upload page), SMS (final-resort week-2+ for Pending), in-app push (out of scope but reserved for v2).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Pending: weekly × 4 weeks (first month, business hours), then monthly × 4 (months 2–5), then close-out at month 6 with notification to Operations (OPS-05) and lead_state revert. Failed: immediate notification with rejection reason; re-prompt at T+2 days, T+5 days, T+10 days. Quiet hours: 20:00–10:00 IST suppressed for KYC reminders; weekends suppressed for SMS and WA Marketing category, allowed for Email.</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ph_name, primary contact, kyc_link. If kyc_link is null (system error in upstream KYC service), abort the workflow and emit Sev-2 to Operations — do not send a chase without a link. If rejection reason is missing on Failed status, default to a generic "please re-upload" wording and emit Sev-3 (the upstream service should always provide a reason).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template rejected by Meta mid-cadence: failover to Email-only path; alert CX Lead via OPS-06 to refresh the BSP-approved template. If status changes from Pending to In-progress or Done mid-cadence, the cadence is cancelled at the next scheduled fire. Opt-out from WhatsApp does not stop the cadence — KYC reminders are service-class transactional, not promotional, but the channel changes to Email + SMS only.</w:t>
            </w:r>
          </w:p>
        </w:tc>
      </w:tr>
    </w:tbl>
    <w:p>
      <w:pPr>
        <w:keepNext/>
        <w:spacing w:after="80" w:before="280"/>
      </w:pPr>
      <w:r>
        <w:rPr>
          <w:rFonts w:ascii="Calibri" w:cs="Calibri" w:eastAsia="Calibri" w:hAnsi="Calibri"/>
          <w:b/>
          <w:bCs/>
          <w:color w:val="1F3864"/>
          <w:sz w:val="24"/>
          <w:szCs w:val="24"/>
        </w:rPr>
        <w:t xml:space="preserve">PH-04  </w:t>
      </w:r>
      <w:r>
        <w:rPr>
          <w:rFonts w:ascii="Calibri" w:cs="Calibri" w:eastAsia="Calibri" w:hAnsi="Calibri"/>
          <w:b/>
          <w:bCs/>
          <w:color w:val="1A1A1A"/>
          <w:sz w:val="24"/>
          <w:szCs w:val="24"/>
        </w:rPr>
        <w:t xml:space="preserve">Policy Document Upload</w:t>
      </w:r>
    </w:p>
    <w:p>
      <w:pPr>
        <w:spacing w:after="120"/>
      </w:pPr>
      <w:r>
        <w:rPr>
          <w:rFonts w:ascii="Calibri" w:cs="Calibri" w:eastAsia="Calibri" w:hAnsi="Calibri"/>
          <w:i/>
          <w:iCs/>
          <w:color w:val="808080"/>
          <w:sz w:val="18"/>
          <w:szCs w:val="18"/>
        </w:rPr>
        <w:t xml:space="preserve">Acknowledge document receipt and update the policyholder on review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Uploaded | Reviewing (TPE Operations is checking) | Verified | Rejected (with reason). One workflow execution per status transition.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with attachment summary or rejection detail) and WhatsApp Utility (concise status update with deep link to next action). SMS only on Rejected (to ensure visibility).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status: immediate notification on each transition. No recurring drip — this is event-driven only. Quiet hours: 21:00–09:00 IST suppressed except for Verified (transactional confirmation; allowed). Operations targets: Reviewing within 24h of Uploaded; Verified or Rejected within 48h of Reviewing.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document_type. Rejection requires rejection_reason — if missing, default to "document does not meet our requirements; please re-upload" and emit Sev-3. If Operations leaves a document in Reviewing &gt;72h, emit OPS-05 (KYC stuck pattern reused for documents).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failure: standard failover. If Verified notification fails on all channels, emit Sev-3; the policyholder will discover Verified state through the next workflow (PH-05) so this is recoverable. If Rejected notification fails on all channels, emit Sev-2 — this blocks the policyholder’s next action and is high-impact.</w:t>
            </w:r>
          </w:p>
        </w:tc>
      </w:tr>
    </w:tbl>
    <w:p>
      <w:pPr>
        <w:keepNext/>
        <w:spacing w:after="80" w:before="280"/>
      </w:pPr>
      <w:r>
        <w:rPr>
          <w:rFonts w:ascii="Calibri" w:cs="Calibri" w:eastAsia="Calibri" w:hAnsi="Calibri"/>
          <w:b/>
          <w:bCs/>
          <w:color w:val="1F3864"/>
          <w:sz w:val="24"/>
          <w:szCs w:val="24"/>
        </w:rPr>
        <w:t xml:space="preserve">PH-05  </w:t>
      </w:r>
      <w:r>
        <w:rPr>
          <w:rFonts w:ascii="Calibri" w:cs="Calibri" w:eastAsia="Calibri" w:hAnsi="Calibri"/>
          <w:b/>
          <w:bCs/>
          <w:color w:val="1A1A1A"/>
          <w:sz w:val="24"/>
          <w:szCs w:val="24"/>
        </w:rPr>
        <w:t xml:space="preserve">Policy Verification</w:t>
      </w:r>
    </w:p>
    <w:p>
      <w:pPr>
        <w:spacing w:after="120"/>
      </w:pPr>
      <w:r>
        <w:rPr>
          <w:rFonts w:ascii="Calibri" w:cs="Calibri" w:eastAsia="Calibri" w:hAnsi="Calibri"/>
          <w:i/>
          <w:iCs/>
          <w:color w:val="808080"/>
          <w:sz w:val="18"/>
          <w:szCs w:val="18"/>
        </w:rPr>
        <w:t xml:space="preserve">Keep policyholder informed during the policy-with-insurer verification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In-progress | Verified | Discrepancy (insurer reports a mismatch) | Insurer non-response (insurer has not responded within SLA — internal-only, surfaces externally only after 14 days).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Utility (primary — conversational status updates), Email (full-content for Verified and Discrepancy). SMS not used.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Update every 48 hours while In-progress, capped at 14 days then escalate to Insurer non-response. On Verified: immediate single notification. On Discrepancy: immediate notification with specifics and required action. Quiet hours: 21:00–09:00 IST suppressed (this is informational, not urgent).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policy_id, insurer_id. If insurer_id missing, the multi-tenant routing (Section 4.7) cannot resolve sender identity; abort and emit Sev-2. Discrepancy must include discrepancy_field and discrepancy_value; if either missing, default to a generic message and emit Sev-3 to Operations.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If 48h heartbeat fires while a status change is in flight (race condition with backend), the workflow checks the current status at fire time and sends only if still In-progress. If insurer non-response state lasts &gt;21 days, escalate to OPS-03 high-value escalation regardless of policy value (verification deadlock is procedurally serious).</w:t>
            </w:r>
          </w:p>
        </w:tc>
      </w:tr>
    </w:tbl>
    <w:p>
      <w:pPr>
        <w:keepNext/>
        <w:spacing w:after="80" w:before="280"/>
      </w:pPr>
      <w:r>
        <w:rPr>
          <w:rFonts w:ascii="Calibri" w:cs="Calibri" w:eastAsia="Calibri" w:hAnsi="Calibri"/>
          <w:b/>
          <w:bCs/>
          <w:color w:val="1F3864"/>
          <w:sz w:val="24"/>
          <w:szCs w:val="24"/>
        </w:rPr>
        <w:t xml:space="preserve">PH-06  </w:t>
      </w:r>
      <w:r>
        <w:rPr>
          <w:rFonts w:ascii="Calibri" w:cs="Calibri" w:eastAsia="Calibri" w:hAnsi="Calibri"/>
          <w:b/>
          <w:bCs/>
          <w:color w:val="1A1A1A"/>
          <w:sz w:val="24"/>
          <w:szCs w:val="24"/>
        </w:rPr>
        <w:t xml:space="preserve">Surrender Value Quote</w:t>
      </w:r>
    </w:p>
    <w:p>
      <w:pPr>
        <w:spacing w:after="120"/>
      </w:pPr>
      <w:r>
        <w:rPr>
          <w:rFonts w:ascii="Calibri" w:cs="Calibri" w:eastAsia="Calibri" w:hAnsi="Calibri"/>
          <w:i/>
          <w:iCs/>
          <w:color w:val="808080"/>
          <w:sz w:val="18"/>
          <w:szCs w:val="18"/>
        </w:rPr>
        <w:t xml:space="preserve">Deliver a generated surrender-value quote and drive a decision before quote expiry.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Generated (quote produced, not yet sent) | Sent | Viewed (deep-link clicked) | Expired (7-day validity elapsed) | Counter-offer (policyholder negotiated; new quote follows).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 quote document attached as PDF), WhatsApp Utility (notification with deep link to the same quote). SMS only on T-1 pre-expiry. RCS not used in v1.</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 (Sent immediately on Generated), T+2 days (nudge if not Viewed), T+5 days (urgency nudge), T-1 day before Expired (final urgency, includes SMS). Quiet hours respected for all sends except T-1 SMS which fires at 10:00 IST. On Counter-offer: cadence resets and new quote follows the same pattern.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quote_id, surrender_amount, quote_pdf_url, expiry_timestamp. If quote_pdf_url is null, abort and emit Sev-2 — a quote without a document is not deliverable. If surrender_amount is INR 0 or negative, abort and emit Sev-1 — indicates upstream pricing failure.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bounce: failover to WhatsApp + SMS dual path so the policyholder sees the deep link. Quote document fails to render in WhatsApp preview: send link-only message and emit Sev-3 to engineering. If T-1 SMS fails on all providers and the policyholder has not viewed, emit OPS-03 high-value escalation — they will be unaware of expiry.</w:t>
            </w:r>
          </w:p>
        </w:tc>
      </w:tr>
    </w:tbl>
    <w:p>
      <w:pPr>
        <w:keepNext/>
        <w:spacing w:after="80" w:before="280"/>
      </w:pPr>
      <w:r>
        <w:rPr>
          <w:rFonts w:ascii="Calibri" w:cs="Calibri" w:eastAsia="Calibri" w:hAnsi="Calibri"/>
          <w:b/>
          <w:bCs/>
          <w:color w:val="1F3864"/>
          <w:sz w:val="24"/>
          <w:szCs w:val="24"/>
        </w:rPr>
        <w:t xml:space="preserve">PH-07  </w:t>
      </w:r>
      <w:r>
        <w:rPr>
          <w:rFonts w:ascii="Calibri" w:cs="Calibri" w:eastAsia="Calibri" w:hAnsi="Calibri"/>
          <w:b/>
          <w:bCs/>
          <w:color w:val="1A1A1A"/>
          <w:sz w:val="24"/>
          <w:szCs w:val="24"/>
        </w:rPr>
        <w:t xml:space="preserve">Offer Decision</w:t>
      </w:r>
    </w:p>
    <w:p>
      <w:pPr>
        <w:spacing w:after="120"/>
      </w:pPr>
      <w:r>
        <w:rPr>
          <w:rFonts w:ascii="Calibri" w:cs="Calibri" w:eastAsia="Calibri" w:hAnsi="Calibri"/>
          <w:i/>
          <w:iCs/>
          <w:color w:val="808080"/>
          <w:sz w:val="18"/>
          <w:szCs w:val="18"/>
        </w:rPr>
        <w:t xml:space="preserve">Close the loop after the policyholder accepts, rejects, or goes silent on a quote.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Accepted | Rejected | Negotiating | Silent (no response within 7 days of Sent).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WhatsApp Utility (status confirmation). SMS not used.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 Accepted: immediate confirmation with next-step link to PH-08 Assignment Paperwork. On Rejected: immediate acknowledgement and route to PH-17 Re-engagement at 30-day mark. On Negotiating: immediate acknowledgement; further communication is human-driven by Operations, not workflow-driven. Silent: nudge at T+3 days and T+7 days, then transition to Rejected.unresponsive.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quote_id, decision. If decision is Negotiating, counter_proposal text is preferred but not required; if missing, send a generic "we received your message, our team will reach out". If decision is Rejected, rejection_reason is optional; do not chase the policyholder for a reason.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If the Accepted confirmation fails on all channels, emit Sev-2 — the policyholder may have second thoughts because they didn’t receive confirmation. Operations is notified via OPS-04 to make a call-back.</w:t>
            </w:r>
          </w:p>
        </w:tc>
      </w:tr>
    </w:tbl>
    <w:p>
      <w:pPr>
        <w:keepNext/>
        <w:spacing w:after="80" w:before="280"/>
      </w:pPr>
      <w:r>
        <w:rPr>
          <w:rFonts w:ascii="Calibri" w:cs="Calibri" w:eastAsia="Calibri" w:hAnsi="Calibri"/>
          <w:b/>
          <w:bCs/>
          <w:color w:val="1F3864"/>
          <w:sz w:val="24"/>
          <w:szCs w:val="24"/>
        </w:rPr>
        <w:t xml:space="preserve">PH-08  </w:t>
      </w:r>
      <w:r>
        <w:rPr>
          <w:rFonts w:ascii="Calibri" w:cs="Calibri" w:eastAsia="Calibri" w:hAnsi="Calibri"/>
          <w:b/>
          <w:bCs/>
          <w:color w:val="1A1A1A"/>
          <w:sz w:val="24"/>
          <w:szCs w:val="24"/>
        </w:rPr>
        <w:t xml:space="preserve">Assignment Paperwork</w:t>
      </w:r>
    </w:p>
    <w:p>
      <w:pPr>
        <w:spacing w:after="120"/>
      </w:pPr>
      <w:r>
        <w:rPr>
          <w:rFonts w:ascii="Calibri" w:cs="Calibri" w:eastAsia="Calibri" w:hAnsi="Calibri"/>
          <w:i/>
          <w:iCs/>
          <w:color w:val="808080"/>
          <w:sz w:val="18"/>
          <w:szCs w:val="18"/>
        </w:rPr>
        <w:t xml:space="preserve">Drive the policyholder through e-Sign of assignment documents (or physical paperwork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Form Generated | e-Sign Initiated | e-Sign Done | Physical (e-Sign declined or technically not feasible; courier path) | NOC (no-objection certificate received from insurer).</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 carries the e-Sign link and instructions), WhatsApp Utility (deep link), SMS on e-Sign nudge to ensure the deep link reaches the user.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 (Form Generated → e-Sign link sent), T+1 day (nudge if not e-Sign Initiated), T+3 days (urgency + Physical fallback option offered), T+7 days (escalation to Operations OPS-03). On Physical path: courier dispatched, weekly status update for up to 21 days. On NOC: immediate notification — this is procedurally significant and unlocks PH-10.</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document_set_id, esign_url (or null if Physical path). If esign_url is null but path is e-Sign, emit Sev-2 and abort. NOC requires noc_pdf_url; if missing on NOC status, emit Sev-2.</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e-Sign provider failure (e.g. Aadhaar e-Sign downtime): the workflow does not detect this; if T+3 nudge fires and status is still Form Generated, the workflow offers Physical path proactively. Provider 5xx on the e-Sign delivery message: standard failover. If all channels fail at T+0, emit Sev-2; this is a deadlock point.</w:t>
            </w:r>
          </w:p>
        </w:tc>
      </w:tr>
    </w:tbl>
    <w:p>
      <w:pPr>
        <w:keepNext/>
        <w:spacing w:after="80" w:before="280"/>
      </w:pPr>
      <w:r>
        <w:rPr>
          <w:rFonts w:ascii="Calibri" w:cs="Calibri" w:eastAsia="Calibri" w:hAnsi="Calibri"/>
          <w:b/>
          <w:bCs/>
          <w:color w:val="1F3864"/>
          <w:sz w:val="24"/>
          <w:szCs w:val="24"/>
        </w:rPr>
        <w:t xml:space="preserve">PH-09  </w:t>
      </w:r>
      <w:r>
        <w:rPr>
          <w:rFonts w:ascii="Calibri" w:cs="Calibri" w:eastAsia="Calibri" w:hAnsi="Calibri"/>
          <w:b/>
          <w:bCs/>
          <w:color w:val="1A1A1A"/>
          <w:sz w:val="24"/>
          <w:szCs w:val="24"/>
        </w:rPr>
        <w:t xml:space="preserve">Investor Matched</w:t>
      </w:r>
    </w:p>
    <w:p>
      <w:pPr>
        <w:spacing w:after="120"/>
      </w:pPr>
      <w:r>
        <w:rPr>
          <w:rFonts w:ascii="Calibri" w:cs="Calibri" w:eastAsia="Calibri" w:hAnsi="Calibri"/>
          <w:i/>
          <w:iCs/>
          <w:color w:val="808080"/>
          <w:sz w:val="18"/>
          <w:szCs w:val="18"/>
        </w:rPr>
        <w:t xml:space="preserve">Notify the policyholder that a buyer has been found / confirmed for their 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Found (system or manual match identified, not yet confirmed) | Confirmed (investor has soft-committed via INV-05).</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Utility (primary — high-emotion moment, conversational tone), Email (full-content with next steps). SMS not used.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Confirmed. Found is internal-only by default — no policyholder notification — to avoid raising expectations on a match that may not convert.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match_id, expected_disbursement_amount, expected_timeline. If expected fields are null, send a generic "a buyer has been confirmed; details to follow" and emit Sev-3.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This is a high-emotion message; opt-out should be respected even if technically transactional. If all channels are opted-out or unreachable, emit OPS-03 escalation for human follow-up — we want this message to land.</w:t>
            </w:r>
          </w:p>
        </w:tc>
      </w:tr>
    </w:tbl>
    <w:p>
      <w:pPr>
        <w:keepNext/>
        <w:spacing w:after="80" w:before="280"/>
      </w:pPr>
      <w:r>
        <w:rPr>
          <w:rFonts w:ascii="Calibri" w:cs="Calibri" w:eastAsia="Calibri" w:hAnsi="Calibri"/>
          <w:b/>
          <w:bCs/>
          <w:color w:val="1F3864"/>
          <w:sz w:val="24"/>
          <w:szCs w:val="24"/>
        </w:rPr>
        <w:t xml:space="preserve">PH-10  </w:t>
      </w:r>
      <w:r>
        <w:rPr>
          <w:rFonts w:ascii="Calibri" w:cs="Calibri" w:eastAsia="Calibri" w:hAnsi="Calibri"/>
          <w:b/>
          <w:bCs/>
          <w:color w:val="1A1A1A"/>
          <w:sz w:val="24"/>
          <w:szCs w:val="24"/>
        </w:rPr>
        <w:t xml:space="preserve">Disbursement</w:t>
      </w:r>
    </w:p>
    <w:p>
      <w:pPr>
        <w:spacing w:after="120"/>
      </w:pPr>
      <w:r>
        <w:rPr>
          <w:rFonts w:ascii="Calibri" w:cs="Calibri" w:eastAsia="Calibri" w:hAnsi="Calibri"/>
          <w:i/>
          <w:iCs/>
          <w:color w:val="808080"/>
          <w:sz w:val="18"/>
          <w:szCs w:val="18"/>
        </w:rPr>
        <w:t xml:space="preserve">Track disbursement of assignment proceeds to the policyholder’s bank account.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Initiated (payment file submitted to bank) | In-process (bank acknowledgement received) | Success (UTR confirmed) | Failed (bank reports failure).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(primary on Success and Failed — financial transactional, DLT-registered, immediate), WhatsApp Utility (richer message with UTR), Email (confirmation with formal letter).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every transition. No drip. On Failed, an automatic retry attempt is scheduled by Operations — the workflow does not retry; it notifies and waits.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payment_id, amount, account_last4. On Success: utr is required — if missing, emit Sev-2 and hold the SMS. On Failed: failure_reason and retry_eta are required.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If Success notification fails on all channels, emit Sev-1 — the policyholder is awaiting confirmation of money they expect; absence of message is reputationally severe. Operations is paged via OPS-03 to make a call-back within 1 hour.</w:t>
            </w:r>
          </w:p>
        </w:tc>
      </w:tr>
    </w:tbl>
    <w:p>
      <w:pPr>
        <w:keepNext/>
        <w:spacing w:after="80" w:before="280"/>
      </w:pPr>
      <w:r>
        <w:rPr>
          <w:rFonts w:ascii="Calibri" w:cs="Calibri" w:eastAsia="Calibri" w:hAnsi="Calibri"/>
          <w:b/>
          <w:bCs/>
          <w:color w:val="1F3864"/>
          <w:sz w:val="24"/>
          <w:szCs w:val="24"/>
        </w:rPr>
        <w:t xml:space="preserve">PH-11  </w:t>
      </w:r>
      <w:r>
        <w:rPr>
          <w:rFonts w:ascii="Calibri" w:cs="Calibri" w:eastAsia="Calibri" w:hAnsi="Calibri"/>
          <w:b/>
          <w:bCs/>
          <w:color w:val="1A1A1A"/>
          <w:sz w:val="24"/>
          <w:szCs w:val="24"/>
        </w:rPr>
        <w:t xml:space="preserve">Post-Assignment Welcome</w:t>
      </w:r>
    </w:p>
    <w:p>
      <w:pPr>
        <w:spacing w:after="120"/>
      </w:pPr>
      <w:r>
        <w:rPr>
          <w:rFonts w:ascii="Calibri" w:cs="Calibri" w:eastAsia="Calibri" w:hAnsi="Calibri"/>
          <w:i/>
          <w:iCs/>
          <w:color w:val="808080"/>
          <w:sz w:val="18"/>
          <w:szCs w:val="18"/>
        </w:rPr>
        <w:t xml:space="preserve">Welcome the policyholder into the post-assignment relationship and set expectations.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Recorded (assignment fully complete) | Welcome (welcome message sent). One-time transition.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 long-form welcome), WhatsApp Utility (concise welcome with portal link). SMS not used.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Recorded. Quarterly newsletter follows — separately controlled by Operations, not by this workflow.</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assignment_date. All others optional. Newsletter opt-out is honoured separately.</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Low-impact failure mode — if Welcome fails, no chase is sent. The relationship continues through subsequent workflows.</w:t>
            </w:r>
          </w:p>
        </w:tc>
      </w:tr>
    </w:tbl>
    <w:p>
      <w:pPr>
        <w:keepNext/>
        <w:spacing w:after="80" w:before="280"/>
      </w:pPr>
      <w:r>
        <w:rPr>
          <w:rFonts w:ascii="Calibri" w:cs="Calibri" w:eastAsia="Calibri" w:hAnsi="Calibri"/>
          <w:b/>
          <w:bCs/>
          <w:color w:val="1F3864"/>
          <w:sz w:val="24"/>
          <w:szCs w:val="24"/>
        </w:rPr>
        <w:t xml:space="preserve">PH-12  </w:t>
      </w:r>
      <w:r>
        <w:rPr>
          <w:rFonts w:ascii="Calibri" w:cs="Calibri" w:eastAsia="Calibri" w:hAnsi="Calibri"/>
          <w:b/>
          <w:bCs/>
          <w:color w:val="1A1A1A"/>
          <w:sz w:val="24"/>
          <w:szCs w:val="24"/>
        </w:rPr>
        <w:t xml:space="preserve">Loan Application</w:t>
      </w:r>
    </w:p>
    <w:p>
      <w:pPr>
        <w:spacing w:after="120"/>
      </w:pPr>
      <w:r>
        <w:rPr>
          <w:rFonts w:ascii="Calibri" w:cs="Calibri" w:eastAsia="Calibri" w:hAnsi="Calibri"/>
          <w:i/>
          <w:iCs/>
          <w:color w:val="808080"/>
          <w:sz w:val="18"/>
          <w:szCs w:val="18"/>
        </w:rPr>
        <w:t xml:space="preserve">Drive the policyholder through a policy-loan 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Started | Documents Pending | Submitted | Under Review.</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WhatsApp Utility, SMS on Submitted confirmation, RCS optional for richer Documents Pending checklist (deferred to v1.1 if RCS adoption is low).</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event-driven on each status transition. Documents Pending: nudge at T+1 day, T+3 days, T+7 days, then escalate to Operations.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loan_application_id, requested_amount. Documents Pending requires documents_pending_list; if missing, send generic "documents pending" and emit Sev-3.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Under Review messages older than 5 business days without resolution emit OPS-05 (Operations to chase the underwriting team).</w:t>
            </w:r>
          </w:p>
        </w:tc>
      </w:tr>
    </w:tbl>
    <w:p>
      <w:pPr>
        <w:keepNext/>
        <w:spacing w:after="80" w:before="280"/>
      </w:pPr>
      <w:r>
        <w:rPr>
          <w:rFonts w:ascii="Calibri" w:cs="Calibri" w:eastAsia="Calibri" w:hAnsi="Calibri"/>
          <w:b/>
          <w:bCs/>
          <w:color w:val="1F3864"/>
          <w:sz w:val="24"/>
          <w:szCs w:val="24"/>
        </w:rPr>
        <w:t xml:space="preserve">PH-13  </w:t>
      </w:r>
      <w:r>
        <w:rPr>
          <w:rFonts w:ascii="Calibri" w:cs="Calibri" w:eastAsia="Calibri" w:hAnsi="Calibri"/>
          <w:b/>
          <w:bCs/>
          <w:color w:val="1A1A1A"/>
          <w:sz w:val="24"/>
          <w:szCs w:val="24"/>
        </w:rPr>
        <w:t xml:space="preserve">Loan Approval</w:t>
      </w:r>
    </w:p>
    <w:p>
      <w:pPr>
        <w:spacing w:after="120"/>
      </w:pPr>
      <w:r>
        <w:rPr>
          <w:rFonts w:ascii="Calibri" w:cs="Calibri" w:eastAsia="Calibri" w:hAnsi="Calibri"/>
          <w:i/>
          <w:iCs/>
          <w:color w:val="808080"/>
          <w:sz w:val="18"/>
          <w:szCs w:val="18"/>
        </w:rPr>
        <w:t xml:space="preserve">Communicate loan approval, conditional approval, or rejection.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Approved | Conditional (approved subject to additional documents) | Rejected.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with formal letter), WhatsApp Utility, SMS for immediate notification on Approved.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every transition. On Conditional, follow-up nudges at T+2 days, T+5 days for the conditional documents.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loan_id, decision. On Approved: approved_amount, interest_rate, tenure required. On Conditional: conditions_list required. On Rejected: rejection_reason required — if missing, default to generic and emit Sev-3.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If Approved notification fails on all channels, emit Sev-2.</w:t>
            </w:r>
          </w:p>
        </w:tc>
      </w:tr>
    </w:tbl>
    <w:p>
      <w:pPr>
        <w:keepNext/>
        <w:spacing w:after="80" w:before="280"/>
      </w:pPr>
      <w:r>
        <w:rPr>
          <w:rFonts w:ascii="Calibri" w:cs="Calibri" w:eastAsia="Calibri" w:hAnsi="Calibri"/>
          <w:b/>
          <w:bCs/>
          <w:color w:val="1F3864"/>
          <w:sz w:val="24"/>
          <w:szCs w:val="24"/>
        </w:rPr>
        <w:t xml:space="preserve">PH-14  </w:t>
      </w:r>
      <w:r>
        <w:rPr>
          <w:rFonts w:ascii="Calibri" w:cs="Calibri" w:eastAsia="Calibri" w:hAnsi="Calibri"/>
          <w:b/>
          <w:bCs/>
          <w:color w:val="1A1A1A"/>
          <w:sz w:val="24"/>
          <w:szCs w:val="24"/>
        </w:rPr>
        <w:t xml:space="preserve">Loan Disbursement</w:t>
      </w:r>
    </w:p>
    <w:p>
      <w:pPr>
        <w:spacing w:after="120"/>
      </w:pPr>
      <w:r>
        <w:rPr>
          <w:rFonts w:ascii="Calibri" w:cs="Calibri" w:eastAsia="Calibri" w:hAnsi="Calibri"/>
          <w:i/>
          <w:iCs/>
          <w:color w:val="808080"/>
          <w:sz w:val="18"/>
          <w:szCs w:val="18"/>
        </w:rPr>
        <w:t xml:space="preserve">Confirm loan-amount disbursement to bank account.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Initiated | Disbursed (UTR confirmed) | Failed.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(primary, financial transactional), WhatsApp Utility with UTR. Email confirmation.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every transition. No drip.</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loan_id, amount, account_last4, utr (on Disbursed), failure_reason (on Failed).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as PH-10. Failed disbursement notifications must reach the policyholder — Sev-1 escalation if all channels fail.</w:t>
            </w:r>
          </w:p>
        </w:tc>
      </w:tr>
    </w:tbl>
    <w:p>
      <w:pPr>
        <w:keepNext/>
        <w:spacing w:after="80" w:before="280"/>
      </w:pPr>
      <w:r>
        <w:rPr>
          <w:rFonts w:ascii="Calibri" w:cs="Calibri" w:eastAsia="Calibri" w:hAnsi="Calibri"/>
          <w:b/>
          <w:bCs/>
          <w:color w:val="1F3864"/>
          <w:sz w:val="24"/>
          <w:szCs w:val="24"/>
        </w:rPr>
        <w:t xml:space="preserve">PH-15  </w:t>
      </w:r>
      <w:r>
        <w:rPr>
          <w:rFonts w:ascii="Calibri" w:cs="Calibri" w:eastAsia="Calibri" w:hAnsi="Calibri"/>
          <w:b/>
          <w:bCs/>
          <w:color w:val="1A1A1A"/>
          <w:sz w:val="24"/>
          <w:szCs w:val="24"/>
        </w:rPr>
        <w:t xml:space="preserve">Loan EMI Reminder</w:t>
      </w:r>
    </w:p>
    <w:p>
      <w:pPr>
        <w:spacing w:after="120"/>
      </w:pPr>
      <w:r>
        <w:rPr>
          <w:rFonts w:ascii="Calibri" w:cs="Calibri" w:eastAsia="Calibri" w:hAnsi="Calibri"/>
          <w:i/>
          <w:iCs/>
          <w:color w:val="808080"/>
          <w:sz w:val="18"/>
          <w:szCs w:val="18"/>
        </w:rPr>
        <w:t xml:space="preserve">Drive timely EMI payment across the EMI lifecycle, including grace and overdue.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Pre-due (T-7, T-3) | Due day | Overdue (+1, +7, +15, +30 days). Grace period: handled per loan terms; overdue messaging respects grace.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(primary for due-day and overdue — short, urgent, transactional), WhatsApp Utility (richer pre-due reminders with payment link), Email for overdue formal notices.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T-7 (pre-due heads-up), T-3 (closer reminder), T-day (due-day SMS), +1 (just-overdue gentle), +7 (overdue with late-fee reference), +15 (formal overdue notice via Email), +30 (escalation to Operations and credit-bureau warning text). Quiet hours for promotional category, but EMI is service — fires across day with respect to 21:00–09:00 IST. Weekend allowed for Email and WA Utility, suppressed for SMS.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loan_id, emi_amount, due_date, payment_link. If payment_link is null, emit Sev-2 — reminder without action path is unhelpful. Late-fee amount is required from +7 onwards; if upstream service does not provide it, default to "as per loan terms" and emit Sev-3.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If +30 escalation message fails on all channels, emit Sev-1 — we are about to report to credit bureau and the policyholder should know. Mid-cadence resolution: if EMI is paid mid-cadence, all subsequent reminders are cancelled. Partial payment: continue cadence with adjusted balance.</w:t>
            </w:r>
          </w:p>
        </w:tc>
      </w:tr>
    </w:tbl>
    <w:p>
      <w:pPr>
        <w:keepNext/>
        <w:spacing w:after="80" w:before="280"/>
      </w:pPr>
      <w:r>
        <w:rPr>
          <w:rFonts w:ascii="Calibri" w:cs="Calibri" w:eastAsia="Calibri" w:hAnsi="Calibri"/>
          <w:b/>
          <w:bCs/>
          <w:color w:val="1F3864"/>
          <w:sz w:val="24"/>
          <w:szCs w:val="24"/>
        </w:rPr>
        <w:t xml:space="preserve">PH-16  </w:t>
      </w:r>
      <w:r>
        <w:rPr>
          <w:rFonts w:ascii="Calibri" w:cs="Calibri" w:eastAsia="Calibri" w:hAnsi="Calibri"/>
          <w:b/>
          <w:bCs/>
          <w:color w:val="1A1A1A"/>
          <w:sz w:val="24"/>
          <w:szCs w:val="24"/>
        </w:rPr>
        <w:t xml:space="preserve">Loan Closure</w:t>
      </w:r>
    </w:p>
    <w:p>
      <w:pPr>
        <w:spacing w:after="120"/>
      </w:pPr>
      <w:r>
        <w:rPr>
          <w:rFonts w:ascii="Calibri" w:cs="Calibri" w:eastAsia="Calibri" w:hAnsi="Calibri"/>
          <w:i/>
          <w:iCs/>
          <w:color w:val="808080"/>
          <w:sz w:val="18"/>
          <w:szCs w:val="18"/>
        </w:rPr>
        <w:t xml:space="preserve">Provide pre-closure quotes and confirm foreclosure or maturity-based closure.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Pre-close Quote (policyholder requested foreclosure quote) | Foreclosed (early closure complete) | Paid (loan paid off in normal course of EMI tenure).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with closure letter), WhatsApp Utility for status confirmation. SMS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Pre-close Quote: immediate generation, valid for 7 days; nudge at T+5 if no action. Foreclosed and Paid: immediate confirmation.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loan_id. Pre-close Quote: foreclosure_amount, validity_date. Foreclosed and Paid: closure_letter_url required.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Closure letter delivery failure on all channels: emit Sev-2; the formal letter is required for the policyholder’s records.</w:t>
            </w:r>
          </w:p>
        </w:tc>
      </w:tr>
    </w:tbl>
    <w:p>
      <w:pPr>
        <w:keepNext/>
        <w:spacing w:after="80" w:before="280"/>
      </w:pPr>
      <w:r>
        <w:rPr>
          <w:rFonts w:ascii="Calibri" w:cs="Calibri" w:eastAsia="Calibri" w:hAnsi="Calibri"/>
          <w:b/>
          <w:bCs/>
          <w:color w:val="1F3864"/>
          <w:sz w:val="24"/>
          <w:szCs w:val="24"/>
        </w:rPr>
        <w:t xml:space="preserve">PH-17  </w:t>
      </w:r>
      <w:r>
        <w:rPr>
          <w:rFonts w:ascii="Calibri" w:cs="Calibri" w:eastAsia="Calibri" w:hAnsi="Calibri"/>
          <w:b/>
          <w:bCs/>
          <w:color w:val="1A1A1A"/>
          <w:sz w:val="24"/>
          <w:szCs w:val="24"/>
        </w:rPr>
        <w:t xml:space="preserve">Re-engagement</w:t>
      </w:r>
    </w:p>
    <w:p>
      <w:pPr>
        <w:spacing w:after="120"/>
      </w:pPr>
      <w:r>
        <w:rPr>
          <w:rFonts w:ascii="Calibri" w:cs="Calibri" w:eastAsia="Calibri" w:hAnsi="Calibri"/>
          <w:i/>
          <w:iCs/>
          <w:color w:val="808080"/>
          <w:sz w:val="18"/>
          <w:szCs w:val="18"/>
        </w:rPr>
        <w:t xml:space="preserve">Reach out to silent policyholders at decay intervals to surface dormant interest.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 days silent | 90 days silent | 6 months silent | 1 year silent. After 1 year, route to dormant_lead state and stop.</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WhatsApp Marketing (subject to opt-in). SMS not used. RCS not used in v1.</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Drip at the four intervals above. Each message is content-different — the 30-day message is conversational, 1-year is a final “we’re here when you’re ready”. Quiet hours and weekend rules respected — this is promotional category and can be deferred.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last_activity_timestamp. WhatsApp Marketing requires explicit consent; if consent is missing or revoked, channel is suppressed.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Failures here are low-impact and not escalated — silent users by definition are not engaging.</w:t>
            </w:r>
          </w:p>
        </w:tc>
      </w:tr>
    </w:tbl>
    <w:p>
      <w:pPr>
        <w:keepNext/>
        <w:spacing w:after="80" w:before="280"/>
      </w:pPr>
      <w:r>
        <w:rPr>
          <w:rFonts w:ascii="Calibri" w:cs="Calibri" w:eastAsia="Calibri" w:hAnsi="Calibri"/>
          <w:b/>
          <w:bCs/>
          <w:color w:val="1F3864"/>
          <w:sz w:val="24"/>
          <w:szCs w:val="24"/>
        </w:rPr>
        <w:t xml:space="preserve">PH-18  </w:t>
      </w:r>
      <w:r>
        <w:rPr>
          <w:rFonts w:ascii="Calibri" w:cs="Calibri" w:eastAsia="Calibri" w:hAnsi="Calibri"/>
          <w:b/>
          <w:bCs/>
          <w:color w:val="1A1A1A"/>
          <w:sz w:val="24"/>
          <w:szCs w:val="24"/>
        </w:rPr>
        <w:t xml:space="preserve">Referral Program</w:t>
      </w:r>
    </w:p>
    <w:p>
      <w:pPr>
        <w:spacing w:after="120"/>
      </w:pPr>
      <w:r>
        <w:rPr>
          <w:rFonts w:ascii="Calibri" w:cs="Calibri" w:eastAsia="Calibri" w:hAnsi="Calibri"/>
          <w:i/>
          <w:iCs/>
          <w:color w:val="808080"/>
          <w:sz w:val="18"/>
          <w:szCs w:val="18"/>
        </w:rPr>
        <w:t xml:space="preserve">Communicate referral status and credit events to policyholders enrolled in the referral program.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Earned (referral converted) | Credited (credit applied to account) | Expiring (credit nearing expiry).</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Utility (primary, celebratory tone), Email. SMS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Earned and Credited. Expiring: T-30, T-7, T-1.</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ph_id, referral_id, credit_amount. Expiring requires expiry_date.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Failures here are low-impact — the credit is on the account regardless of message delivery.</w:t>
            </w:r>
          </w:p>
        </w:tc>
      </w:tr>
    </w:tbl>
    <w:p>
      <w:pPr>
        <w:pStyle w:val="Heading3"/>
        <w:spacing w:after="100" w:before="200"/>
      </w:pPr>
      <w:r>
        <w:rPr>
          <w:rFonts w:ascii="Calibri" w:cs="Calibri" w:eastAsia="Calibri" w:hAnsi="Calibri"/>
          <w:b/>
          <w:bCs/>
          <w:color w:val="1A1A1A"/>
          <w:sz w:val="24"/>
          <w:szCs w:val="24"/>
        </w:rPr>
        <w:t xml:space="preserve">Group B — Investor Lifecycle (16 triggers)</w:t>
      </w:r>
    </w:p>
    <w:p>
      <w:pPr>
        <w:keepNext/>
        <w:spacing w:after="80" w:before="280"/>
      </w:pPr>
      <w:r>
        <w:rPr>
          <w:rFonts w:ascii="Calibri" w:cs="Calibri" w:eastAsia="Calibri" w:hAnsi="Calibri"/>
          <w:b/>
          <w:bCs/>
          <w:color w:val="1F3864"/>
          <w:sz w:val="24"/>
          <w:szCs w:val="24"/>
        </w:rPr>
        <w:t xml:space="preserve">INV-01  </w:t>
      </w:r>
      <w:r>
        <w:rPr>
          <w:rFonts w:ascii="Calibri" w:cs="Calibri" w:eastAsia="Calibri" w:hAnsi="Calibri"/>
          <w:b/>
          <w:bCs/>
          <w:color w:val="1A1A1A"/>
          <w:sz w:val="24"/>
          <w:szCs w:val="24"/>
        </w:rPr>
        <w:t xml:space="preserve">Lead Captured</w:t>
      </w:r>
    </w:p>
    <w:p>
      <w:pPr>
        <w:spacing w:after="120"/>
      </w:pPr>
      <w:r>
        <w:rPr>
          <w:rFonts w:ascii="Calibri" w:cs="Calibri" w:eastAsia="Calibri" w:hAnsi="Calibri"/>
          <w:i/>
          <w:iCs/>
          <w:color w:val="808080"/>
          <w:sz w:val="18"/>
          <w:szCs w:val="18"/>
        </w:rPr>
        <w:t xml:space="preserve">Engage a new investor lead through the discovery and education funnel.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 Webinar Registered | Webinar Attended | Brochure Downloaded | Disqualified (do-not-contact, duplicate).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WhatsApp Marketing (subject to opt-in). SMS not used — investor leads are educated via long-form content, not nudges.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 T+1, T+3, T+7, T+14 drip with content tailored to engagement signals. Webinar Registered and Webinar Attended branch into separate post-event flows. Quiet hours respected; promotional category suppressed weekends.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lead_id, email. Phone optional. Investor leads with FATCA self-declaration as US person flag a separate path (out of scope for v1, deferred).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Email bounce skips Email for future workflows. WhatsApp not opted-in suppresses WA — do not chase consent here, that’s a separate consent-capture flow.</w:t>
            </w:r>
          </w:p>
        </w:tc>
      </w:tr>
    </w:tbl>
    <w:p>
      <w:pPr>
        <w:keepNext/>
        <w:spacing w:after="80" w:before="280"/>
      </w:pPr>
      <w:r>
        <w:rPr>
          <w:rFonts w:ascii="Calibri" w:cs="Calibri" w:eastAsia="Calibri" w:hAnsi="Calibri"/>
          <w:b/>
          <w:bCs/>
          <w:color w:val="1F3864"/>
          <w:sz w:val="24"/>
          <w:szCs w:val="24"/>
        </w:rPr>
        <w:t xml:space="preserve">INV-02  </w:t>
      </w:r>
      <w:r>
        <w:rPr>
          <w:rFonts w:ascii="Calibri" w:cs="Calibri" w:eastAsia="Calibri" w:hAnsi="Calibri"/>
          <w:b/>
          <w:bCs/>
          <w:color w:val="1A1A1A"/>
          <w:sz w:val="24"/>
          <w:szCs w:val="24"/>
        </w:rPr>
        <w:t xml:space="preserve">Registration</w:t>
      </w:r>
    </w:p>
    <w:p>
      <w:pPr>
        <w:spacing w:after="120"/>
      </w:pPr>
      <w:r>
        <w:rPr>
          <w:rFonts w:ascii="Calibri" w:cs="Calibri" w:eastAsia="Calibri" w:hAnsi="Calibri"/>
          <w:i/>
          <w:iCs/>
          <w:color w:val="808080"/>
          <w:sz w:val="18"/>
          <w:szCs w:val="18"/>
        </w:rPr>
        <w:t xml:space="preserve">Drive investor through registration and account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Started | Verified (basic registration complete) | KYC Pending | Active (KYC + risk profile complete, ready to invest).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SMS for OTP, WhatsApp Utility for status updates.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transactional cadence. KYC Pending nudges at T+1 day, T+3 days, T+7 days, then weekly to a 30-day cap. On Active, the welcome message handles handoff.</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email, phone. KYC Pending fires only after basic registration (Verified). Missing PAN at this stage is acceptable; missing PAN at KYC Pending blocks progression.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OTP failure path same as PH-02. KYC Pending nudge failures are low-impact — the investor sees status in their account.</w:t>
            </w:r>
          </w:p>
        </w:tc>
      </w:tr>
    </w:tbl>
    <w:p>
      <w:pPr>
        <w:keepNext/>
        <w:spacing w:after="80" w:before="280"/>
      </w:pPr>
      <w:r>
        <w:rPr>
          <w:rFonts w:ascii="Calibri" w:cs="Calibri" w:eastAsia="Calibri" w:hAnsi="Calibri"/>
          <w:b/>
          <w:bCs/>
          <w:color w:val="1F3864"/>
          <w:sz w:val="24"/>
          <w:szCs w:val="24"/>
        </w:rPr>
        <w:t xml:space="preserve">INV-03  </w:t>
      </w:r>
      <w:r>
        <w:rPr>
          <w:rFonts w:ascii="Calibri" w:cs="Calibri" w:eastAsia="Calibri" w:hAnsi="Calibri"/>
          <w:b/>
          <w:bCs/>
          <w:color w:val="1A1A1A"/>
          <w:sz w:val="24"/>
          <w:szCs w:val="24"/>
        </w:rPr>
        <w:t xml:space="preserve">KYC + Risk Profile</w:t>
      </w:r>
    </w:p>
    <w:p>
      <w:pPr>
        <w:spacing w:after="120"/>
      </w:pPr>
      <w:r>
        <w:rPr>
          <w:rFonts w:ascii="Calibri" w:cs="Calibri" w:eastAsia="Calibri" w:hAnsi="Calibri"/>
          <w:i/>
          <w:iCs/>
          <w:color w:val="808080"/>
          <w:sz w:val="18"/>
          <w:szCs w:val="18"/>
        </w:rPr>
        <w:t xml:space="preserve">Complete CKYC, FATCA self-declaration, risk profile and bank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CKYC (CKYC submission and verification) | FATCA (US-person declaration captured) | Risk Profile (questionnaire complete) | Bank Verified (penny-drop or similar). Each is a sub-status; investor must complete all four to reach Active.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with checklists), WhatsApp Utility (concise status updates with deep links).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sub-status: nudge at T+2 days, T+5 days, T+10 days. Cap at 21 days then escalate to OPS-05.</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sub_status. Risk Profile requires risk_band on completion; if missing, hold the Active transition and emit Sev-3.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Penny-drop bank verification failure: notify investor with reason and provide an alternative path (cancelled cheque upload). FATCA-related failures are compliance-sensitive; emit Sev-2 to Compliance Lead for review before further action.</w:t>
            </w:r>
          </w:p>
        </w:tc>
      </w:tr>
    </w:tbl>
    <w:p>
      <w:pPr>
        <w:keepNext/>
        <w:spacing w:after="80" w:before="280"/>
      </w:pPr>
      <w:r>
        <w:rPr>
          <w:rFonts w:ascii="Calibri" w:cs="Calibri" w:eastAsia="Calibri" w:hAnsi="Calibri"/>
          <w:b/>
          <w:bCs/>
          <w:color w:val="1F3864"/>
          <w:sz w:val="24"/>
          <w:szCs w:val="24"/>
        </w:rPr>
        <w:t xml:space="preserve">INV-04  </w:t>
      </w:r>
      <w:r>
        <w:rPr>
          <w:rFonts w:ascii="Calibri" w:cs="Calibri" w:eastAsia="Calibri" w:hAnsi="Calibri"/>
          <w:b/>
          <w:bCs/>
          <w:color w:val="1A1A1A"/>
          <w:sz w:val="24"/>
          <w:szCs w:val="24"/>
        </w:rPr>
        <w:t xml:space="preserve">Investment Opportunity Push</w:t>
      </w:r>
    </w:p>
    <w:p>
      <w:pPr>
        <w:spacing w:after="120"/>
      </w:pPr>
      <w:r>
        <w:rPr>
          <w:rFonts w:ascii="Calibri" w:cs="Calibri" w:eastAsia="Calibri" w:hAnsi="Calibri"/>
          <w:i/>
          <w:iCs/>
          <w:color w:val="808080"/>
          <w:sz w:val="18"/>
          <w:szCs w:val="18"/>
        </w:rPr>
        <w:t xml:space="preserve">Push curated investment opportunities to investors based on risk profile and engagement.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Match (opportunity matches investor’s profile) | Weekly Curated (regular digest) | Premium Yield (high-yield opportunity flagged for the investor’s tier).</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full-detail), WhatsApp Marketing (concise alert with deep link), RCS for richer carousels for Weekly Curated (where supported).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Match: immediate, max 2 per week per investor to avoid alert fatigue. Weekly Curated: every Saturday 10:00 IST. Premium Yield: ad-hoc, max 1 per week. Quiet hours: 21:00–09:00 IST suppressed; weekend allowed for Marketing category by design (this is when investors engage).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opportunity_id, opportunity_amount, expected_yield, risk_band. Risk-band mismatch (opportunity outside investor’s declared risk band) blocks dispatch and emits Sev-2 to Compliance — selling outside risk profile is regulatory exposure.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Opt-out from Marketing category suppresses this trigger entirely. Subscriber preference “only weekly digest” suppresses New Match and Premium Yield pushes.</w:t>
            </w:r>
          </w:p>
        </w:tc>
      </w:tr>
    </w:tbl>
    <w:p>
      <w:pPr>
        <w:keepNext/>
        <w:spacing w:after="80" w:before="280"/>
      </w:pPr>
      <w:r>
        <w:rPr>
          <w:rFonts w:ascii="Calibri" w:cs="Calibri" w:eastAsia="Calibri" w:hAnsi="Calibri"/>
          <w:b/>
          <w:bCs/>
          <w:color w:val="1F3864"/>
          <w:sz w:val="24"/>
          <w:szCs w:val="24"/>
        </w:rPr>
        <w:t xml:space="preserve">INV-05  </w:t>
      </w:r>
      <w:r>
        <w:rPr>
          <w:rFonts w:ascii="Calibri" w:cs="Calibri" w:eastAsia="Calibri" w:hAnsi="Calibri"/>
          <w:b/>
          <w:bCs/>
          <w:color w:val="1A1A1A"/>
          <w:sz w:val="24"/>
          <w:szCs w:val="24"/>
        </w:rPr>
        <w:t xml:space="preserve">Investment Soft-Commit</w:t>
      </w:r>
    </w:p>
    <w:p>
      <w:pPr>
        <w:spacing w:after="120"/>
      </w:pPr>
      <w:r>
        <w:rPr>
          <w:rFonts w:ascii="Calibri" w:cs="Calibri" w:eastAsia="Calibri" w:hAnsi="Calibri"/>
          <w:i/>
          <w:iCs/>
          <w:color w:val="808080"/>
          <w:sz w:val="18"/>
          <w:szCs w:val="18"/>
        </w:rPr>
        <w:t xml:space="preserve">Acknowledge investor’s expression of interest and surface next 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Interest (expressed interest in an opportunity) | Document Review (investor is reviewing documents) | Clarifications (investor has questions; human follow-up).</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WhatsApp Utility (status updates).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every transition. Document Review aging beyond 5 business days emits OPS-05.</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opportunity_id, interest_timestamp.</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Failures are low-impact — the next workflow (INV-06) handles the live moment.</w:t>
            </w:r>
          </w:p>
        </w:tc>
      </w:tr>
    </w:tbl>
    <w:p>
      <w:pPr>
        <w:keepNext/>
        <w:spacing w:after="80" w:before="280"/>
      </w:pPr>
      <w:r>
        <w:rPr>
          <w:rFonts w:ascii="Calibri" w:cs="Calibri" w:eastAsia="Calibri" w:hAnsi="Calibri"/>
          <w:b/>
          <w:bCs/>
          <w:color w:val="1F3864"/>
          <w:sz w:val="24"/>
          <w:szCs w:val="24"/>
        </w:rPr>
        <w:t xml:space="preserve">INV-06  </w:t>
      </w:r>
      <w:r>
        <w:rPr>
          <w:rFonts w:ascii="Calibri" w:cs="Calibri" w:eastAsia="Calibri" w:hAnsi="Calibri"/>
          <w:b/>
          <w:bCs/>
          <w:color w:val="1A1A1A"/>
          <w:sz w:val="24"/>
          <w:szCs w:val="24"/>
        </w:rPr>
        <w:t xml:space="preserve">Funds Collection</w:t>
      </w:r>
    </w:p>
    <w:p>
      <w:pPr>
        <w:spacing w:after="120"/>
      </w:pPr>
      <w:r>
        <w:rPr>
          <w:rFonts w:ascii="Calibri" w:cs="Calibri" w:eastAsia="Calibri" w:hAnsi="Calibri"/>
          <w:i/>
          <w:iCs/>
          <w:color w:val="808080"/>
          <w:sz w:val="18"/>
          <w:szCs w:val="18"/>
        </w:rPr>
        <w:t xml:space="preserve">Drive funds collection from the investor for a committed investment.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Pay Link Sent | Received | Failed (bank decline, reversal).</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(primary for Pay Link — short, urgent, transactional with link), Email (formal record), WhatsApp Utility (richer message with link).</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 (Pay Link Sent), T+24h (nudge if not Received), T+48h (urgency, with cancellation warning at T+72h). On Received: immediate confirmation. On Failed: immediate notification with reason and retry instructions.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opportunity_id, amount, pay_link, expiry_timestamp. Pay link with expiry &lt;24h is suspicious — emit Sev-3.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Pay-link provider failure: failover to alternative payment method documented in the message. If Received confirmation fails on all channels, emit Sev-1 — investor will believe their funds didn’t go through. Failed on bank decline: do not auto-retry; require investor action.</w:t>
            </w:r>
          </w:p>
        </w:tc>
      </w:tr>
    </w:tbl>
    <w:p>
      <w:pPr>
        <w:keepNext/>
        <w:spacing w:after="80" w:before="280"/>
      </w:pPr>
      <w:r>
        <w:rPr>
          <w:rFonts w:ascii="Calibri" w:cs="Calibri" w:eastAsia="Calibri" w:hAnsi="Calibri"/>
          <w:b/>
          <w:bCs/>
          <w:color w:val="1F3864"/>
          <w:sz w:val="24"/>
          <w:szCs w:val="24"/>
        </w:rPr>
        <w:t xml:space="preserve">INV-07  </w:t>
      </w:r>
      <w:r>
        <w:rPr>
          <w:rFonts w:ascii="Calibri" w:cs="Calibri" w:eastAsia="Calibri" w:hAnsi="Calibri"/>
          <w:b/>
          <w:bCs/>
          <w:color w:val="1A1A1A"/>
          <w:sz w:val="24"/>
          <w:szCs w:val="24"/>
        </w:rPr>
        <w:t xml:space="preserve">Investment Confirmed</w:t>
      </w:r>
    </w:p>
    <w:p>
      <w:pPr>
        <w:spacing w:after="120"/>
      </w:pPr>
      <w:r>
        <w:rPr>
          <w:rFonts w:ascii="Calibri" w:cs="Calibri" w:eastAsia="Calibri" w:hAnsi="Calibri"/>
          <w:i/>
          <w:iCs/>
          <w:color w:val="808080"/>
          <w:sz w:val="18"/>
          <w:szCs w:val="18"/>
        </w:rPr>
        <w:t xml:space="preserve">Confirm assignment is in progress and then confirm completion with certificate issuance.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Assignment In-progress | Confirmed | Certificate Issued.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with certificate attached on Certificate Issued), WhatsApp Utility (status confirmation).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every transition. Assignment In-progress aging beyond 14 days emits OPS-03.</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opportunity_id, investment_amount. Certificate Issued requires certificate_pdf_url; if missing, hold the message and emit Sev-2.</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Certificate Issued message failure on all channels: emit Sev-2. Investor expects a formal certificate; its absence undermines trust.</w:t>
            </w:r>
          </w:p>
        </w:tc>
      </w:tr>
    </w:tbl>
    <w:p>
      <w:pPr>
        <w:keepNext/>
        <w:spacing w:after="80" w:before="280"/>
      </w:pPr>
      <w:r>
        <w:rPr>
          <w:rFonts w:ascii="Calibri" w:cs="Calibri" w:eastAsia="Calibri" w:hAnsi="Calibri"/>
          <w:b/>
          <w:bCs/>
          <w:color w:val="1F3864"/>
          <w:sz w:val="24"/>
          <w:szCs w:val="24"/>
        </w:rPr>
        <w:t xml:space="preserve">INV-08  </w:t>
      </w:r>
      <w:r>
        <w:rPr>
          <w:rFonts w:ascii="Calibri" w:cs="Calibri" w:eastAsia="Calibri" w:hAnsi="Calibri"/>
          <w:b/>
          <w:bCs/>
          <w:color w:val="1A1A1A"/>
          <w:sz w:val="24"/>
          <w:szCs w:val="24"/>
        </w:rPr>
        <w:t xml:space="preserve">Premium Due (10–25 yr stream)</w:t>
      </w:r>
    </w:p>
    <w:p>
      <w:pPr>
        <w:spacing w:after="120"/>
      </w:pPr>
      <w:r>
        <w:rPr>
          <w:rFonts w:ascii="Calibri" w:cs="Calibri" w:eastAsia="Calibri" w:hAnsi="Calibri"/>
          <w:i/>
          <w:iCs/>
          <w:color w:val="808080"/>
          <w:sz w:val="18"/>
          <w:szCs w:val="18"/>
        </w:rPr>
        <w:t xml:space="preserve">The flagship lifecycle trigger — driving premium payment on assigned policies across a multi-decade horizon. Highest message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T-30 | T-15 | T-7 | T-3 | T-day | +1 (overdue grace) | +7 (formal overdue) | +15 (lapse warning). Lapse handled separately by INV-10. Multi-policy investors receive a consolidated message per cadence point if multiple policies fall on the same day; otherwise per-policy.</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four channels in use across the cadence. SMS for T-day, +1, +7 (urgent and short). WhatsApp Utility for T-30 to T-3 (richer with payment link). Email for full record at T-30, T-day, and overdue formal at +7. RCS for T-30 carousel where adoption supports.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T-30, T-15, T-7, T-3, T-day, +1, +7, +15. Quiet hours respected on all sends. Holidays: T-day and +1 shift to next business day for Email; SMS and WA fire on schedule because the underlying due date does not move. Investor opt-out: cannot opt out of T-day, +1, +7 (these are service-class essential); promotional pre-due nudges (T-30, T-15) are subject to opt-out.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policy_id, premium_amount, due_date, payment_link. If payment_link is null at any send point, emit Sev-2 and hold. Multi-policy investors require policies_due array; if a policy is added mid-cadence, the next scheduled message recomputes consolidation.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failure on T-day SMS: failover within seconds; if all three fail, emit Sev-1 (this is the moment of truth). Investor pays mid-cadence: cancel all subsequent reminders for that policy. Investor partial-pays: continue cadence with adjusted balance and updated due. Status changes to Lapse Warning at +15 trigger handoff to INV-10 with elevated handling.</w:t>
            </w:r>
          </w:p>
        </w:tc>
      </w:tr>
    </w:tbl>
    <w:p>
      <w:pPr>
        <w:keepNext/>
        <w:spacing w:after="80" w:before="280"/>
      </w:pPr>
      <w:r>
        <w:rPr>
          <w:rFonts w:ascii="Calibri" w:cs="Calibri" w:eastAsia="Calibri" w:hAnsi="Calibri"/>
          <w:b/>
          <w:bCs/>
          <w:color w:val="1F3864"/>
          <w:sz w:val="24"/>
          <w:szCs w:val="24"/>
        </w:rPr>
        <w:t xml:space="preserve">INV-09  </w:t>
      </w:r>
      <w:r>
        <w:rPr>
          <w:rFonts w:ascii="Calibri" w:cs="Calibri" w:eastAsia="Calibri" w:hAnsi="Calibri"/>
          <w:b/>
          <w:bCs/>
          <w:color w:val="1A1A1A"/>
          <w:sz w:val="24"/>
          <w:szCs w:val="24"/>
        </w:rPr>
        <w:t xml:space="preserve">Premium Payment Confirmation</w:t>
      </w:r>
    </w:p>
    <w:p>
      <w:pPr>
        <w:spacing w:after="120"/>
      </w:pPr>
      <w:r>
        <w:rPr>
          <w:rFonts w:ascii="Calibri" w:cs="Calibri" w:eastAsia="Calibri" w:hAnsi="Calibri"/>
          <w:i/>
          <w:iCs/>
          <w:color w:val="808080"/>
          <w:sz w:val="18"/>
          <w:szCs w:val="18"/>
        </w:rPr>
        <w:t xml:space="preserve">Confirm a premium payment was processed to the underlying insurer.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Paid to Insurer (TPE has remitted to insurer) | Receipt Available (insurer-issued receipt is back, attached).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with insurer receipt PDF when available), WhatsApp Utility (confirmation with deep link to receipt).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Paid to Insurer: immediate on remittance. Receipt Available: immediate on insurer receipt back, typically T+5 to T+15 days from payment.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policy_id, payment_id, amount, paid_to_insurer_timestamp. Receipt requires receipt_pdf_url.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Receipt Available delay beyond 30 days emits OPS-05 (chase the insurer). Failure on receipt delivery: emit Sev-3; investor sees receipt in account.</w:t>
            </w:r>
          </w:p>
        </w:tc>
      </w:tr>
    </w:tbl>
    <w:p>
      <w:pPr>
        <w:keepNext/>
        <w:spacing w:after="80" w:before="280"/>
      </w:pPr>
      <w:r>
        <w:rPr>
          <w:rFonts w:ascii="Calibri" w:cs="Calibri" w:eastAsia="Calibri" w:hAnsi="Calibri"/>
          <w:b/>
          <w:bCs/>
          <w:color w:val="1F3864"/>
          <w:sz w:val="24"/>
          <w:szCs w:val="24"/>
        </w:rPr>
        <w:t xml:space="preserve">INV-10  </w:t>
      </w:r>
      <w:r>
        <w:rPr>
          <w:rFonts w:ascii="Calibri" w:cs="Calibri" w:eastAsia="Calibri" w:hAnsi="Calibri"/>
          <w:b/>
          <w:bCs/>
          <w:color w:val="1A1A1A"/>
          <w:sz w:val="24"/>
          <w:szCs w:val="24"/>
        </w:rPr>
        <w:t xml:space="preserve">Premium Default → Lapse Risk</w:t>
      </w:r>
    </w:p>
    <w:p>
      <w:pPr>
        <w:spacing w:after="120"/>
      </w:pPr>
      <w:r>
        <w:rPr>
          <w:rFonts w:ascii="Calibri" w:cs="Calibri" w:eastAsia="Calibri" w:hAnsi="Calibri"/>
          <w:i/>
          <w:iCs/>
          <w:color w:val="808080"/>
          <w:sz w:val="18"/>
          <w:szCs w:val="18"/>
        </w:rPr>
        <w:t xml:space="preserve">Aggressive escalation when investor has missed premium and policy is at lapse risk.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Grace Started (insurer’s grace period commenced) | Lapse Warning (last few days of grace) | Lapsed (policy has lapsed; recovery path via insurer reinstatement).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four channels at peak escalation. Voice call (out of v1 workflow scope; Operations OPS-04 picks up).</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Grace Started: immediate, then daily nudges. Lapse Warning: T-3, T-1, T-day relative to grace expiry. Lapsed: immediate, then T+3 days with reinstatement path. Quiet hours respected on SMS only.</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policy_id, grace_end_date, premium_amount. Reinstatement instructions on Lapsed are required from upstream insurer-management service; if missing, default and emit Sev-2.</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Failures here are high-impact — emit Sev-1 if Lapse Warning at T-1 fails on all channels; Operations is paged via OPS-04. Reinstatement messaging may be insurer-specific; multi-tenant routing (Section 4.7) selects the right wording per insurer.</w:t>
            </w:r>
          </w:p>
        </w:tc>
      </w:tr>
    </w:tbl>
    <w:p>
      <w:pPr>
        <w:keepNext/>
        <w:spacing w:after="80" w:before="280"/>
      </w:pPr>
      <w:r>
        <w:rPr>
          <w:rFonts w:ascii="Calibri" w:cs="Calibri" w:eastAsia="Calibri" w:hAnsi="Calibri"/>
          <w:b/>
          <w:bCs/>
          <w:color w:val="1F3864"/>
          <w:sz w:val="24"/>
          <w:szCs w:val="24"/>
        </w:rPr>
        <w:t xml:space="preserve">INV-11  </w:t>
      </w:r>
      <w:r>
        <w:rPr>
          <w:rFonts w:ascii="Calibri" w:cs="Calibri" w:eastAsia="Calibri" w:hAnsi="Calibri"/>
          <w:b/>
          <w:bCs/>
          <w:color w:val="1A1A1A"/>
          <w:sz w:val="24"/>
          <w:szCs w:val="24"/>
        </w:rPr>
        <w:t xml:space="preserve">Maturity Approaching</w:t>
      </w:r>
    </w:p>
    <w:p>
      <w:pPr>
        <w:spacing w:after="120"/>
      </w:pPr>
      <w:r>
        <w:rPr>
          <w:rFonts w:ascii="Calibri" w:cs="Calibri" w:eastAsia="Calibri" w:hAnsi="Calibri"/>
          <w:i/>
          <w:iCs/>
          <w:color w:val="808080"/>
          <w:sz w:val="18"/>
          <w:szCs w:val="18"/>
        </w:rPr>
        <w:t xml:space="preserve">Long-runway maturity reminders for policies approaching their maturity date.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T-12mo | T-6mo | T-3mo | T-1mo | T-7d.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WhatsApp Utility for T-3mo onwards. SMS at T-7d only.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status, single sends at the listed runways.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policy_id, maturity_date, expected_maturity_amount. Expected amount may be range-bound; show as ‘approximately’ if range_low and range_high present.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Low-impact failure mode. Investor sees maturity status in account; missed reminder does not block any action.</w:t>
            </w:r>
          </w:p>
        </w:tc>
      </w:tr>
    </w:tbl>
    <w:p>
      <w:pPr>
        <w:keepNext/>
        <w:spacing w:after="80" w:before="280"/>
      </w:pPr>
      <w:r>
        <w:rPr>
          <w:rFonts w:ascii="Calibri" w:cs="Calibri" w:eastAsia="Calibri" w:hAnsi="Calibri"/>
          <w:b/>
          <w:bCs/>
          <w:color w:val="1F3864"/>
          <w:sz w:val="24"/>
          <w:szCs w:val="24"/>
        </w:rPr>
        <w:t xml:space="preserve">INV-12  </w:t>
      </w:r>
      <w:r>
        <w:rPr>
          <w:rFonts w:ascii="Calibri" w:cs="Calibri" w:eastAsia="Calibri" w:hAnsi="Calibri"/>
          <w:b/>
          <w:bCs/>
          <w:color w:val="1A1A1A"/>
          <w:sz w:val="24"/>
          <w:szCs w:val="24"/>
        </w:rPr>
        <w:t xml:space="preserve">Maturity Received</w:t>
      </w:r>
    </w:p>
    <w:p>
      <w:pPr>
        <w:spacing w:after="120"/>
      </w:pPr>
      <w:r>
        <w:rPr>
          <w:rFonts w:ascii="Calibri" w:cs="Calibri" w:eastAsia="Calibri" w:hAnsi="Calibri"/>
          <w:i/>
          <w:iCs/>
          <w:color w:val="808080"/>
          <w:sz w:val="18"/>
          <w:szCs w:val="18"/>
        </w:rPr>
        <w:t xml:space="preserve">Confirm maturity proceeds received from insurer and settlement to investor.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Paid TPE | Settled to Investor (UTR confirmed).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(primary on Settled, financial transactional), WhatsApp Utility, Email with formal letter.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 on every transition.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policy_id, settlement_amount, account_last4, utr (on Settled).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Settled notification failure on all channels: Sev-1; investor expects funds confirmation. OPS-03 escalation for human follow-up.</w:t>
            </w:r>
          </w:p>
        </w:tc>
      </w:tr>
    </w:tbl>
    <w:p>
      <w:pPr>
        <w:keepNext/>
        <w:spacing w:after="80" w:before="280"/>
      </w:pPr>
      <w:r>
        <w:rPr>
          <w:rFonts w:ascii="Calibri" w:cs="Calibri" w:eastAsia="Calibri" w:hAnsi="Calibri"/>
          <w:b/>
          <w:bCs/>
          <w:color w:val="1F3864"/>
          <w:sz w:val="24"/>
          <w:szCs w:val="24"/>
        </w:rPr>
        <w:t xml:space="preserve">INV-13  </w:t>
      </w:r>
      <w:r>
        <w:rPr>
          <w:rFonts w:ascii="Calibri" w:cs="Calibri" w:eastAsia="Calibri" w:hAnsi="Calibri"/>
          <w:b/>
          <w:bCs/>
          <w:color w:val="1A1A1A"/>
          <w:sz w:val="24"/>
          <w:szCs w:val="24"/>
        </w:rPr>
        <w:t xml:space="preserve">Portfolio Statement</w:t>
      </w:r>
    </w:p>
    <w:p>
      <w:pPr>
        <w:spacing w:after="120"/>
      </w:pPr>
      <w:r>
        <w:rPr>
          <w:rFonts w:ascii="Calibri" w:cs="Calibri" w:eastAsia="Calibri" w:hAnsi="Calibri"/>
          <w:i/>
          <w:iCs/>
          <w:color w:val="808080"/>
          <w:sz w:val="18"/>
          <w:szCs w:val="18"/>
        </w:rPr>
        <w:t xml:space="preserve">Send periodic portfolio statements summarising investor holdings and performance.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 Quarterly | Annual (consolidated).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only — statements are PDF-attached and not suitable for SMS/WA.</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5th of following month. Quarterly: 10th of month following quarter-end. Annual: 30 April for prior FY (aligned to FY-end).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statement_pdf_url, period. If statement generation upstream fails, hold the workflow until ready (do not send a partial); emit Sev-3 if delay &gt;5 business days.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within Email path. If Email fails for an investor, the next month’s statement attempts re-delivery.</w:t>
            </w:r>
          </w:p>
        </w:tc>
      </w:tr>
    </w:tbl>
    <w:p>
      <w:pPr>
        <w:keepNext/>
        <w:spacing w:after="80" w:before="280"/>
      </w:pPr>
      <w:r>
        <w:rPr>
          <w:rFonts w:ascii="Calibri" w:cs="Calibri" w:eastAsia="Calibri" w:hAnsi="Calibri"/>
          <w:b/>
          <w:bCs/>
          <w:color w:val="1F3864"/>
          <w:sz w:val="24"/>
          <w:szCs w:val="24"/>
        </w:rPr>
        <w:t xml:space="preserve">INV-14  </w:t>
      </w:r>
      <w:r>
        <w:rPr>
          <w:rFonts w:ascii="Calibri" w:cs="Calibri" w:eastAsia="Calibri" w:hAnsi="Calibri"/>
          <w:b/>
          <w:bCs/>
          <w:color w:val="1A1A1A"/>
          <w:sz w:val="24"/>
          <w:szCs w:val="24"/>
        </w:rPr>
        <w:t xml:space="preserve">Tax Documents (TDS / 80C / 80D)</w:t>
      </w:r>
    </w:p>
    <w:p>
      <w:pPr>
        <w:spacing w:after="120"/>
      </w:pPr>
      <w:r>
        <w:rPr>
          <w:rFonts w:ascii="Calibri" w:cs="Calibri" w:eastAsia="Calibri" w:hAnsi="Calibri"/>
          <w:i/>
          <w:iCs/>
          <w:color w:val="808080"/>
          <w:sz w:val="18"/>
          <w:szCs w:val="18"/>
        </w:rPr>
        <w:t xml:space="preserve">Statutory tax documentation — quarterly TDS certificates and annual tax summaries.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 Q1 | TDS Q2 | TDS Q3 | TDS Q4 | 80C Annual | 80D Annual | Annual Tax Summary.</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only — these are statutory PDFs.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 15 of month following quarter-end (Indian Income Tax timeline). 80C, 80D, Annual Tax Summary: 30 April for prior FY.</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document_type, period, document_pdf_url. PAN must be present and validated against subscriber.data.pan; mismatch emits Sev-2 — the document is statutory and PAN is the legal anchor.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within Email. Statutory deadlines are non-negotiable; if an investor’s document fails delivery for &gt;5 days, emit Sev-2 and Operations contacts directly.</w:t>
            </w:r>
          </w:p>
        </w:tc>
      </w:tr>
    </w:tbl>
    <w:p>
      <w:pPr>
        <w:keepNext/>
        <w:spacing w:after="80" w:before="280"/>
      </w:pPr>
      <w:r>
        <w:rPr>
          <w:rFonts w:ascii="Calibri" w:cs="Calibri" w:eastAsia="Calibri" w:hAnsi="Calibri"/>
          <w:b/>
          <w:bCs/>
          <w:color w:val="1F3864"/>
          <w:sz w:val="24"/>
          <w:szCs w:val="24"/>
        </w:rPr>
        <w:t xml:space="preserve">INV-15  </w:t>
      </w:r>
      <w:r>
        <w:rPr>
          <w:rFonts w:ascii="Calibri" w:cs="Calibri" w:eastAsia="Calibri" w:hAnsi="Calibri"/>
          <w:b/>
          <w:bCs/>
          <w:color w:val="1A1A1A"/>
          <w:sz w:val="24"/>
          <w:szCs w:val="24"/>
        </w:rPr>
        <w:t xml:space="preserve">Re-investment Opportunity</w:t>
      </w:r>
    </w:p>
    <w:p>
      <w:pPr>
        <w:spacing w:after="120"/>
      </w:pPr>
      <w:r>
        <w:rPr>
          <w:rFonts w:ascii="Calibri" w:cs="Calibri" w:eastAsia="Calibri" w:hAnsi="Calibri"/>
          <w:i/>
          <w:iCs/>
          <w:color w:val="808080"/>
          <w:sz w:val="18"/>
          <w:szCs w:val="18"/>
        </w:rPr>
        <w:t xml:space="preserve">Surface re-investment opportunities to investors at maturity or with surplus.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Maturity-to-Reinvest (matured proceeds available) | New High-Yield (special opportunity flagged for investor tier).</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WhatsApp Marketing, RCS for richer carousels.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Triggered at maturity event or upon special opportunity availability. Max 1 per week per investor in the absence of explicit interest.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opportunity_id, expected_yield, risk_band. Risk-band mismatch handled as in INV-04.</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Marketing opt-out suppresses this trigger.</w:t>
            </w:r>
          </w:p>
        </w:tc>
      </w:tr>
    </w:tbl>
    <w:p>
      <w:pPr>
        <w:keepNext/>
        <w:spacing w:after="80" w:before="280"/>
      </w:pPr>
      <w:r>
        <w:rPr>
          <w:rFonts w:ascii="Calibri" w:cs="Calibri" w:eastAsia="Calibri" w:hAnsi="Calibri"/>
          <w:b/>
          <w:bCs/>
          <w:color w:val="1F3864"/>
          <w:sz w:val="24"/>
          <w:szCs w:val="24"/>
        </w:rPr>
        <w:t xml:space="preserve">INV-16  </w:t>
      </w:r>
      <w:r>
        <w:rPr>
          <w:rFonts w:ascii="Calibri" w:cs="Calibri" w:eastAsia="Calibri" w:hAnsi="Calibri"/>
          <w:b/>
          <w:bCs/>
          <w:color w:val="1A1A1A"/>
          <w:sz w:val="24"/>
          <w:szCs w:val="24"/>
        </w:rPr>
        <w:t xml:space="preserve">Account Notices</w:t>
      </w:r>
    </w:p>
    <w:p>
      <w:pPr>
        <w:spacing w:after="120"/>
      </w:pPr>
      <w:r>
        <w:rPr>
          <w:rFonts w:ascii="Calibri" w:cs="Calibri" w:eastAsia="Calibri" w:hAnsi="Calibri"/>
          <w:i/>
          <w:iCs/>
          <w:color w:val="808080"/>
          <w:sz w:val="18"/>
          <w:szCs w:val="18"/>
        </w:rPr>
        <w:t xml:space="preserve">Account-level notices (T&amp;C changes, fee schedule changes, system updates).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Notice | T&amp;C Change.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only.</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1st of month. T&amp;C Change: at minimum 30 days before effective date (regulatory requirement for material changes).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notice_type, effective_date (for T&amp;C). Notice content is reviewed by Compliance before scheduling.</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failover. Failure on T&amp;C Change emit Sev-2 — investors must receive material-change notices for the change to be enforceable.</w:t>
            </w:r>
          </w:p>
        </w:tc>
      </w:tr>
    </w:tbl>
    <w:p>
      <w:pPr>
        <w:pStyle w:val="Heading3"/>
        <w:spacing w:after="100" w:before="200"/>
      </w:pPr>
      <w:r>
        <w:rPr>
          <w:rFonts w:ascii="Calibri" w:cs="Calibri" w:eastAsia="Calibri" w:hAnsi="Calibri"/>
          <w:b/>
          <w:bCs/>
          <w:color w:val="1A1A1A"/>
          <w:sz w:val="24"/>
          <w:szCs w:val="24"/>
        </w:rPr>
        <w:t xml:space="preserve">Group C — Insurance Partner / B2B (6 triggers)</w:t>
      </w:r>
    </w:p>
    <w:p>
      <w:pPr>
        <w:keepNext/>
        <w:spacing w:after="80" w:before="280"/>
      </w:pPr>
      <w:r>
        <w:rPr>
          <w:rFonts w:ascii="Calibri" w:cs="Calibri" w:eastAsia="Calibri" w:hAnsi="Calibri"/>
          <w:b/>
          <w:bCs/>
          <w:color w:val="1F3864"/>
          <w:sz w:val="24"/>
          <w:szCs w:val="24"/>
        </w:rPr>
        <w:t xml:space="preserve">INS-01  </w:t>
      </w:r>
      <w:r>
        <w:rPr>
          <w:rFonts w:ascii="Calibri" w:cs="Calibri" w:eastAsia="Calibri" w:hAnsi="Calibri"/>
          <w:b/>
          <w:bCs/>
          <w:color w:val="1A1A1A"/>
          <w:sz w:val="24"/>
          <w:szCs w:val="24"/>
        </w:rPr>
        <w:t xml:space="preserve">Assignment Intimation</w:t>
      </w:r>
    </w:p>
    <w:p>
      <w:pPr>
        <w:spacing w:after="120"/>
      </w:pPr>
      <w:r>
        <w:rPr>
          <w:rFonts w:ascii="Calibri" w:cs="Calibri" w:eastAsia="Calibri" w:hAnsi="Calibri"/>
          <w:i/>
          <w:iCs/>
          <w:color w:val="808080"/>
          <w:sz w:val="18"/>
          <w:szCs w:val="18"/>
        </w:rPr>
        <w:t xml:space="preserve">Notify the insurer that a policy on their book is being assigned via TPE marketplace.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Submitted (TPE has filed the assignment intimation) | Acknowledged (insurer has logged it) | Approved (insurer confirms the assignment is recorded on their system) | Rejected (insurer flags an issue — e.g. policy lapsed, mismatch).</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with attachment per insurer’s prescribed format). Carrier portal upload where the insurer mandates it (handled by an adapter, not by the workflow). SMS, WA, RCS not used.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Submitted: immediate on assignment intimation. Acknowledged: insurer-driven; we wait. If Acknowledged not received within 5 business days, escalate to INS-04 (Query Resolution). Approved or Rejected: immediate on insurer response.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insurer_id, policy_id, assignment_id, ph_id, investor_id, attachment_url. The attachment template is per-insurer (see Section 4.7 multi-tenant); if the insurer-specific template is missing from the registry, abort and emit Sev-2.</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failure: failover not applicable for B2B Email (each insurer has a designated address); retry within Email path with backoff. Repeated failure (3 attempts over 24h): emit Sev-1 to Operations; manual delivery by Operations.</w:t>
            </w:r>
          </w:p>
        </w:tc>
      </w:tr>
    </w:tbl>
    <w:p>
      <w:pPr>
        <w:keepNext/>
        <w:spacing w:after="80" w:before="280"/>
      </w:pPr>
      <w:r>
        <w:rPr>
          <w:rFonts w:ascii="Calibri" w:cs="Calibri" w:eastAsia="Calibri" w:hAnsi="Calibri"/>
          <w:b/>
          <w:bCs/>
          <w:color w:val="1F3864"/>
          <w:sz w:val="24"/>
          <w:szCs w:val="24"/>
        </w:rPr>
        <w:t xml:space="preserve">INS-02  </w:t>
      </w:r>
      <w:r>
        <w:rPr>
          <w:rFonts w:ascii="Calibri" w:cs="Calibri" w:eastAsia="Calibri" w:hAnsi="Calibri"/>
          <w:b/>
          <w:bCs/>
          <w:color w:val="1A1A1A"/>
          <w:sz w:val="24"/>
          <w:szCs w:val="24"/>
        </w:rPr>
        <w:t xml:space="preserve">Premium Remittance + Allocation MIS</w:t>
      </w:r>
    </w:p>
    <w:p>
      <w:pPr>
        <w:spacing w:after="120"/>
      </w:pPr>
      <w:r>
        <w:rPr>
          <w:rFonts w:ascii="Calibri" w:cs="Calibri" w:eastAsia="Calibri" w:hAnsi="Calibri"/>
          <w:i/>
          <w:iCs/>
          <w:color w:val="808080"/>
          <w:sz w:val="18"/>
          <w:szCs w:val="18"/>
        </w:rPr>
        <w:t xml:space="preserve">Monthly premium remittance to insurer with the allocation MIS attachment that maps each premium remittance to a specific policyholder and investor.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Paid (TPE has remitted) | MIS Attached (allocation MIS file produced and attached) | Confirmed (insurer reconciles) | Discrepancy (insurer reports a mismatch).</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Excel attachment (Confirmed by Operations). The MIS file is produced by the existing MIS Pipeline (consumed as-is, not re-built; see Section 4.12 out of scope).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Paid: immediate on remittance. MIS Attached: same email, with attachment. Confirmed: insurer-driven within 5 business days; if delayed, emit OPS-05. Discrepancy: insurer-driven; immediate handoff to INS-03 (MIS Reconciliation).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insurer_id, remittance_batch_id, total_amount, mis_file_url, period_month. MIS file is per-insurer formatted; the multi-tenant registry holds the format spec. If the MIS Pipeline output for an insurer fails validation against the format spec, abort and emit Sev-1.</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B2B Email retry. Discrepancy escalation is fast-tracked — reconciliation delays cost real money. If Confirmed is not received within 10 business days, Operations Lead is paged via OPS-03.</w:t>
            </w:r>
          </w:p>
        </w:tc>
      </w:tr>
    </w:tbl>
    <w:p>
      <w:pPr>
        <w:keepNext/>
        <w:spacing w:after="80" w:before="280"/>
      </w:pPr>
      <w:r>
        <w:rPr>
          <w:rFonts w:ascii="Calibri" w:cs="Calibri" w:eastAsia="Calibri" w:hAnsi="Calibri"/>
          <w:b/>
          <w:bCs/>
          <w:color w:val="1F3864"/>
          <w:sz w:val="24"/>
          <w:szCs w:val="24"/>
        </w:rPr>
        <w:t xml:space="preserve">INS-03  </w:t>
      </w:r>
      <w:r>
        <w:rPr>
          <w:rFonts w:ascii="Calibri" w:cs="Calibri" w:eastAsia="Calibri" w:hAnsi="Calibri"/>
          <w:b/>
          <w:bCs/>
          <w:color w:val="1A1A1A"/>
          <w:sz w:val="24"/>
          <w:szCs w:val="24"/>
        </w:rPr>
        <w:t xml:space="preserve">MIS Reconciliation</w:t>
      </w:r>
    </w:p>
    <w:p>
      <w:pPr>
        <w:spacing w:after="120"/>
      </w:pPr>
      <w:r>
        <w:rPr>
          <w:rFonts w:ascii="Calibri" w:cs="Calibri" w:eastAsia="Calibri" w:hAnsi="Calibri"/>
          <w:i/>
          <w:iCs/>
          <w:color w:val="808080"/>
          <w:sz w:val="18"/>
          <w:szCs w:val="18"/>
        </w:rPr>
        <w:t xml:space="preserve">Resolve discrepancies in the monthly remittance MIS.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Sent (reconciliation file dispatched to insurer) | Confirmed (insurer accepts) | Variance (mismatch persists, requires escalation).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Excel.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Sent: immediate when a Discrepancy from INS-02 is being resolved. Confirmed or Variance: insurer-driven, target within 10 business days. Variance escalates to OPS-03.</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insurer_id, reconciliation_id, period_month, reconciliation_file_url, variance_amount.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as INS-01 / INS-02. Variance unresolved &gt;30 days emits OPS-06 (compliance deadline territory).</w:t>
            </w:r>
          </w:p>
        </w:tc>
      </w:tr>
    </w:tbl>
    <w:p>
      <w:pPr>
        <w:keepNext/>
        <w:spacing w:after="80" w:before="280"/>
      </w:pPr>
      <w:r>
        <w:rPr>
          <w:rFonts w:ascii="Calibri" w:cs="Calibri" w:eastAsia="Calibri" w:hAnsi="Calibri"/>
          <w:b/>
          <w:bCs/>
          <w:color w:val="1F3864"/>
          <w:sz w:val="24"/>
          <w:szCs w:val="24"/>
        </w:rPr>
        <w:t xml:space="preserve">INS-04  </w:t>
      </w:r>
      <w:r>
        <w:rPr>
          <w:rFonts w:ascii="Calibri" w:cs="Calibri" w:eastAsia="Calibri" w:hAnsi="Calibri"/>
          <w:b/>
          <w:bCs/>
          <w:color w:val="1A1A1A"/>
          <w:sz w:val="24"/>
          <w:szCs w:val="24"/>
        </w:rPr>
        <w:t xml:space="preserve">Query Resolution</w:t>
      </w:r>
    </w:p>
    <w:p>
      <w:pPr>
        <w:spacing w:after="120"/>
      </w:pPr>
      <w:r>
        <w:rPr>
          <w:rFonts w:ascii="Calibri" w:cs="Calibri" w:eastAsia="Calibri" w:hAnsi="Calibri"/>
          <w:i/>
          <w:iCs/>
          <w:color w:val="808080"/>
          <w:sz w:val="18"/>
          <w:szCs w:val="18"/>
        </w:rPr>
        <w:t xml:space="preserve">Manage insurer queries (assignment, KYC, allocation) with traceable thread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Raised (insurer or TPE has raised a query) | Response (counter-party has responded) | Closed.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only. Per-insurer thread continuity (subject-line conventions handled by the insurer registry).</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case event. Aging queries (&gt;5 business days without Response) emit OPS-05.</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insurer_id, query_id, query_type, raised_by. Query body is free-text; no validation.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B2B Email retry. Aging escalation handles delayed responses.</w:t>
            </w:r>
          </w:p>
        </w:tc>
      </w:tr>
    </w:tbl>
    <w:p>
      <w:pPr>
        <w:keepNext/>
        <w:spacing w:after="80" w:before="280"/>
      </w:pPr>
      <w:r>
        <w:rPr>
          <w:rFonts w:ascii="Calibri" w:cs="Calibri" w:eastAsia="Calibri" w:hAnsi="Calibri"/>
          <w:b/>
          <w:bCs/>
          <w:color w:val="1F3864"/>
          <w:sz w:val="24"/>
          <w:szCs w:val="24"/>
        </w:rPr>
        <w:t xml:space="preserve">INS-05  </w:t>
      </w:r>
      <w:r>
        <w:rPr>
          <w:rFonts w:ascii="Calibri" w:cs="Calibri" w:eastAsia="Calibri" w:hAnsi="Calibri"/>
          <w:b/>
          <w:bCs/>
          <w:color w:val="1A1A1A"/>
          <w:sz w:val="24"/>
          <w:szCs w:val="24"/>
        </w:rPr>
        <w:t xml:space="preserve">Maturity / Claim Coordination</w:t>
      </w:r>
    </w:p>
    <w:p>
      <w:pPr>
        <w:spacing w:after="120"/>
      </w:pPr>
      <w:r>
        <w:rPr>
          <w:rFonts w:ascii="Calibri" w:cs="Calibri" w:eastAsia="Calibri" w:hAnsi="Calibri"/>
          <w:i/>
          <w:iCs/>
          <w:color w:val="808080"/>
          <w:sz w:val="18"/>
          <w:szCs w:val="18"/>
        </w:rPr>
        <w:t xml:space="preserve">Coordinate with insurer on policy maturity and claim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Initiated | Documents (collecting maturity / claim documents) | Approved (insurer approves the claim) | Settled (insurer has paid).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(primary), Excel attachments where insurer mandates.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status. Documents aging &gt;7 business days emits OPS-05. Approved-to-Settled lag &gt;15 business days emits OPS-03.</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insurer_id, policy_id, claim_id, claim_type. Documents requires documents_list.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B2B Email retry. Settlement delays are high-impact for the investor downstream (INV-12); coordinate with INV-12 escalation.</w:t>
            </w:r>
          </w:p>
        </w:tc>
      </w:tr>
    </w:tbl>
    <w:p>
      <w:pPr>
        <w:keepNext/>
        <w:spacing w:after="80" w:before="280"/>
      </w:pPr>
      <w:r>
        <w:rPr>
          <w:rFonts w:ascii="Calibri" w:cs="Calibri" w:eastAsia="Calibri" w:hAnsi="Calibri"/>
          <w:b/>
          <w:bCs/>
          <w:color w:val="1F3864"/>
          <w:sz w:val="24"/>
          <w:szCs w:val="24"/>
        </w:rPr>
        <w:t xml:space="preserve">INS-06  </w:t>
      </w:r>
      <w:r>
        <w:rPr>
          <w:rFonts w:ascii="Calibri" w:cs="Calibri" w:eastAsia="Calibri" w:hAnsi="Calibri"/>
          <w:b/>
          <w:bCs/>
          <w:color w:val="1A1A1A"/>
          <w:sz w:val="24"/>
          <w:szCs w:val="24"/>
        </w:rPr>
        <w:t xml:space="preserve">Regulatory / KYC Refresh</w:t>
      </w:r>
    </w:p>
    <w:p>
      <w:pPr>
        <w:spacing w:after="120"/>
      </w:pPr>
      <w:r>
        <w:rPr>
          <w:rFonts w:ascii="Calibri" w:cs="Calibri" w:eastAsia="Calibri" w:hAnsi="Calibri"/>
          <w:i/>
          <w:iCs/>
          <w:color w:val="808080"/>
          <w:sz w:val="18"/>
          <w:szCs w:val="18"/>
        </w:rPr>
        <w:t xml:space="preserve">Per-insurer regulatory and KYC refresh sharing on cadence (IRDAI quarterly, KYC annual or per insurer 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Shared (quarterly regulatory pack shared) | KYC Refresh (KYC documents shared on cadence).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secure attachments.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insurer registry cadence. IRDAI: quarterly. KYC: per insurer (most are annual, some 18-month).</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insurer_id, refresh_type, period, attachment_url. If insurer registry does not specify cadence, default to annual and emit Sev-3.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B2B Email retry. Failure to deliver per insurer cadence may breach the bilateral agreement; emit OPS-06 (compliance deadline category).</w:t>
            </w:r>
          </w:p>
        </w:tc>
      </w:tr>
    </w:tbl>
    <w:p>
      <w:pPr>
        <w:pStyle w:val="Heading3"/>
        <w:spacing w:after="100" w:before="200"/>
      </w:pPr>
      <w:r>
        <w:rPr>
          <w:rFonts w:ascii="Calibri" w:cs="Calibri" w:eastAsia="Calibri" w:hAnsi="Calibri"/>
          <w:b/>
          <w:bCs/>
          <w:color w:val="1A1A1A"/>
          <w:sz w:val="24"/>
          <w:szCs w:val="24"/>
        </w:rPr>
        <w:t xml:space="preserve">Group D — Internal Operations (6 triggers)</w:t>
      </w:r>
    </w:p>
    <w:p>
      <w:pPr>
        <w:keepNext/>
        <w:spacing w:after="80" w:before="280"/>
      </w:pPr>
      <w:r>
        <w:rPr>
          <w:rFonts w:ascii="Calibri" w:cs="Calibri" w:eastAsia="Calibri" w:hAnsi="Calibri"/>
          <w:b/>
          <w:bCs/>
          <w:color w:val="1F3864"/>
          <w:sz w:val="24"/>
          <w:szCs w:val="24"/>
        </w:rPr>
        <w:t xml:space="preserve">OPS-01  </w:t>
      </w:r>
      <w:r>
        <w:rPr>
          <w:rFonts w:ascii="Calibri" w:cs="Calibri" w:eastAsia="Calibri" w:hAnsi="Calibri"/>
          <w:b/>
          <w:bCs/>
          <w:color w:val="1A1A1A"/>
          <w:sz w:val="24"/>
          <w:szCs w:val="24"/>
        </w:rPr>
        <w:t xml:space="preserve">New Lead Allocated</w:t>
      </w:r>
    </w:p>
    <w:p>
      <w:pPr>
        <w:spacing w:after="120"/>
      </w:pPr>
      <w:r>
        <w:rPr>
          <w:rFonts w:ascii="Calibri" w:cs="Calibri" w:eastAsia="Calibri" w:hAnsi="Calibri"/>
          <w:i/>
          <w:iCs/>
          <w:color w:val="808080"/>
          <w:sz w:val="18"/>
          <w:szCs w:val="18"/>
        </w:rPr>
        <w:t xml:space="preserve">Notify a sales / ops team member when a new lead is allocated to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Created | Lead Assigned.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Microsoft Teams (primary, real-time channel mention) + Email (record). SMS not used — internal-only audience.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 on Lead Assigned. No drip.</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lead_id, assigned_to (Slack handle or email). If assigned_to is null, fall back to a team channel and emit Sev-3.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Slack/Teams API failure: deliver via Email and emit Sev-3. Two-channel failure (both Slack/Teams and Email) emits Sev-2 to engineering.</w:t>
            </w:r>
          </w:p>
        </w:tc>
      </w:tr>
    </w:tbl>
    <w:p>
      <w:pPr>
        <w:keepNext/>
        <w:spacing w:after="80" w:before="280"/>
      </w:pPr>
      <w:r>
        <w:rPr>
          <w:rFonts w:ascii="Calibri" w:cs="Calibri" w:eastAsia="Calibri" w:hAnsi="Calibri"/>
          <w:b/>
          <w:bCs/>
          <w:color w:val="1F3864"/>
          <w:sz w:val="24"/>
          <w:szCs w:val="24"/>
        </w:rPr>
        <w:t xml:space="preserve">OPS-02  </w:t>
      </w:r>
      <w:r>
        <w:rPr>
          <w:rFonts w:ascii="Calibri" w:cs="Calibri" w:eastAsia="Calibri" w:hAnsi="Calibri"/>
          <w:b/>
          <w:bCs/>
          <w:color w:val="1A1A1A"/>
          <w:sz w:val="24"/>
          <w:szCs w:val="24"/>
        </w:rPr>
        <w:t xml:space="preserve">Daily Standup Briefing</w:t>
      </w:r>
    </w:p>
    <w:p>
      <w:pPr>
        <w:spacing w:after="120"/>
      </w:pPr>
      <w:r>
        <w:rPr>
          <w:rFonts w:ascii="Calibri" w:cs="Calibri" w:eastAsia="Calibri" w:hAnsi="Calibri"/>
          <w:i/>
          <w:iCs/>
          <w:color w:val="808080"/>
          <w:sz w:val="18"/>
          <w:szCs w:val="18"/>
        </w:rPr>
        <w:t xml:space="preserve">Send the operations team a daily summary of pipeline status, stuck items, and KPIs.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09:00 IST (single recurring trigger).</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channel + Email.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at 09:00 IST, business days only. Holidays: suppressed; resume next business day with note that the digest covers the gap.</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team_channel, kpi_snapshot. If KPI source service is unavailable at fire time, send the briefing with a note that KPIs are unavailable rather than skipping entirely.</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delivery failure: Email-only delivery. Two-channel failure: emit Sev-3.</w:t>
            </w:r>
          </w:p>
        </w:tc>
      </w:tr>
    </w:tbl>
    <w:p>
      <w:pPr>
        <w:keepNext/>
        <w:spacing w:after="80" w:before="280"/>
      </w:pPr>
      <w:r>
        <w:rPr>
          <w:rFonts w:ascii="Calibri" w:cs="Calibri" w:eastAsia="Calibri" w:hAnsi="Calibri"/>
          <w:b/>
          <w:bCs/>
          <w:color w:val="1F3864"/>
          <w:sz w:val="24"/>
          <w:szCs w:val="24"/>
        </w:rPr>
        <w:t xml:space="preserve">OPS-03  </w:t>
      </w:r>
      <w:r>
        <w:rPr>
          <w:rFonts w:ascii="Calibri" w:cs="Calibri" w:eastAsia="Calibri" w:hAnsi="Calibri"/>
          <w:b/>
          <w:bCs/>
          <w:color w:val="1A1A1A"/>
          <w:sz w:val="24"/>
          <w:szCs w:val="24"/>
        </w:rPr>
        <w:t xml:space="preserve">High-Value Escalation</w:t>
      </w:r>
    </w:p>
    <w:p>
      <w:pPr>
        <w:spacing w:after="120"/>
      </w:pPr>
      <w:r>
        <w:rPr>
          <w:rFonts w:ascii="Calibri" w:cs="Calibri" w:eastAsia="Calibri" w:hAnsi="Calibri"/>
          <w:i/>
          <w:iCs/>
          <w:color w:val="808080"/>
          <w:sz w:val="18"/>
          <w:szCs w:val="18"/>
        </w:rPr>
        <w:t xml:space="preserve">Real-time escalation for high-value deals stuck or VIP queries.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High-value deal stuck (≥ INR 50 lakh deal stuck &gt;3 business days at any stage) | VIP Query (query from designated VIP investor or partner contact).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SMS to designated on-call. Email as record.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 Re-fire every 4 hours until acknowledged in Slack thread, capped at 24 hours then emit Sev-1.</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escalation_id, deal_id or query_id, value_or_vip_tier. Designated on-call resolved from internal on-call schedule — if no on-call defined, default to ops_lead and emit Sev-2.</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failure: deliver via voice call (out of scope; manual). Slack and SMS both failing: emit Sev-1.</w:t>
            </w:r>
          </w:p>
        </w:tc>
      </w:tr>
    </w:tbl>
    <w:p>
      <w:pPr>
        <w:keepNext/>
        <w:spacing w:after="80" w:before="280"/>
      </w:pPr>
      <w:r>
        <w:rPr>
          <w:rFonts w:ascii="Calibri" w:cs="Calibri" w:eastAsia="Calibri" w:hAnsi="Calibri"/>
          <w:b/>
          <w:bCs/>
          <w:color w:val="1F3864"/>
          <w:sz w:val="24"/>
          <w:szCs w:val="24"/>
        </w:rPr>
        <w:t xml:space="preserve">OPS-04  </w:t>
      </w:r>
      <w:r>
        <w:rPr>
          <w:rFonts w:ascii="Calibri" w:cs="Calibri" w:eastAsia="Calibri" w:hAnsi="Calibri"/>
          <w:b/>
          <w:bCs/>
          <w:color w:val="1A1A1A"/>
          <w:sz w:val="24"/>
          <w:szCs w:val="24"/>
        </w:rPr>
        <w:t xml:space="preserve">Premium Default Alert</w:t>
      </w:r>
    </w:p>
    <w:p>
      <w:pPr>
        <w:spacing w:after="120"/>
      </w:pPr>
      <w:r>
        <w:rPr>
          <w:rFonts w:ascii="Calibri" w:cs="Calibri" w:eastAsia="Calibri" w:hAnsi="Calibri"/>
          <w:i/>
          <w:iCs/>
          <w:color w:val="808080"/>
          <w:sz w:val="18"/>
          <w:szCs w:val="18"/>
        </w:rPr>
        <w:t xml:space="preserve">Real-time alert to operations on investor non-payment heading to lapse risk (paired with INV-10).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Default Started | Lapse Risk | Lapsed.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Email.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 on each transition.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investor_id, policy_id, default_state.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failure: Email. Two-channel failure: emit Sev-2.</w:t>
            </w:r>
          </w:p>
        </w:tc>
      </w:tr>
    </w:tbl>
    <w:p>
      <w:pPr>
        <w:keepNext/>
        <w:spacing w:after="80" w:before="280"/>
      </w:pPr>
      <w:r>
        <w:rPr>
          <w:rFonts w:ascii="Calibri" w:cs="Calibri" w:eastAsia="Calibri" w:hAnsi="Calibri"/>
          <w:b/>
          <w:bCs/>
          <w:color w:val="1F3864"/>
          <w:sz w:val="24"/>
          <w:szCs w:val="24"/>
        </w:rPr>
        <w:t xml:space="preserve">OPS-05  </w:t>
      </w:r>
      <w:r>
        <w:rPr>
          <w:rFonts w:ascii="Calibri" w:cs="Calibri" w:eastAsia="Calibri" w:hAnsi="Calibri"/>
          <w:b/>
          <w:bCs/>
          <w:color w:val="1A1A1A"/>
          <w:sz w:val="24"/>
          <w:szCs w:val="24"/>
        </w:rPr>
        <w:t xml:space="preserve">KYC Stuck</w:t>
      </w:r>
    </w:p>
    <w:p>
      <w:pPr>
        <w:spacing w:after="120"/>
      </w:pPr>
      <w:r>
        <w:rPr>
          <w:rFonts w:ascii="Calibri" w:cs="Calibri" w:eastAsia="Calibri" w:hAnsi="Calibri"/>
          <w:i/>
          <w:iCs/>
          <w:color w:val="808080"/>
          <w:sz w:val="18"/>
          <w:szCs w:val="18"/>
        </w:rPr>
        <w:t xml:space="preserve">Daily digest of KYC items stuck more than 7 days, for Operations to chase.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KYC age &gt;7 days (daily digest of all such cases).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channel + Email.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10:00 IST, business days. Empty digest is suppressed.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list of (subscriber_id, kyc_age_days, last_action). Empty list → suppress send.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failure: Email-only. Two-channel failure: emit Sev-3.</w:t>
            </w:r>
          </w:p>
        </w:tc>
      </w:tr>
    </w:tbl>
    <w:p>
      <w:pPr>
        <w:keepNext/>
        <w:spacing w:after="80" w:before="280"/>
      </w:pPr>
      <w:r>
        <w:rPr>
          <w:rFonts w:ascii="Calibri" w:cs="Calibri" w:eastAsia="Calibri" w:hAnsi="Calibri"/>
          <w:b/>
          <w:bCs/>
          <w:color w:val="1F3864"/>
          <w:sz w:val="24"/>
          <w:szCs w:val="24"/>
        </w:rPr>
        <w:t xml:space="preserve">OPS-06  </w:t>
      </w:r>
      <w:r>
        <w:rPr>
          <w:rFonts w:ascii="Calibri" w:cs="Calibri" w:eastAsia="Calibri" w:hAnsi="Calibri"/>
          <w:b/>
          <w:bCs/>
          <w:color w:val="1A1A1A"/>
          <w:sz w:val="24"/>
          <w:szCs w:val="24"/>
        </w:rPr>
        <w:t xml:space="preserve">Compliance Deadline</w:t>
      </w:r>
    </w:p>
    <w:p>
      <w:pPr>
        <w:spacing w:after="120"/>
      </w:pPr>
      <w:r>
        <w:rPr>
          <w:rFonts w:ascii="Calibri" w:cs="Calibri" w:eastAsia="Calibri" w:hAnsi="Calibri"/>
          <w:i/>
          <w:iCs/>
          <w:color w:val="808080"/>
          <w:sz w:val="18"/>
          <w:szCs w:val="18"/>
        </w:rPr>
        <w:t xml:space="preserve">Pre-deadline reminders on IRDAI / GST / TDS / DPDPA / insurer-bilateral deadlines.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Pre-deadline (T-30, T-7, T-1 prior to deadline).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Calendar invite (ICS file). Slack mention to compliance_lead.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T-30, T-7, T-1 before deadline.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deadline_id, deadline_type, deadline_date, owner. Compliance calendar maintained by Compliance Lead; this trigger consumes that calendar.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Failure of any channel emits Sev-2 — compliance deadlines are non-negotiable.</w:t>
            </w:r>
          </w:p>
        </w:tc>
      </w:tr>
    </w:tbl>
    <w:p>
      <w:pPr>
        <w:pStyle w:val="Heading3"/>
        <w:spacing w:after="100" w:before="200"/>
      </w:pPr>
      <w:r>
        <w:rPr>
          <w:rFonts w:ascii="Calibri" w:cs="Calibri" w:eastAsia="Calibri" w:hAnsi="Calibri"/>
          <w:b/>
          <w:bCs/>
          <w:color w:val="1A1A1A"/>
          <w:sz w:val="24"/>
          <w:szCs w:val="24"/>
        </w:rPr>
        <w:t xml:space="preserve">Group E — Regulatory / Statutory (3 triggers)</w:t>
      </w:r>
    </w:p>
    <w:p>
      <w:pPr>
        <w:keepNext/>
        <w:spacing w:after="80" w:before="280"/>
      </w:pPr>
      <w:r>
        <w:rPr>
          <w:rFonts w:ascii="Calibri" w:cs="Calibri" w:eastAsia="Calibri" w:hAnsi="Calibri"/>
          <w:b/>
          <w:bCs/>
          <w:color w:val="1F3864"/>
          <w:sz w:val="24"/>
          <w:szCs w:val="24"/>
        </w:rPr>
        <w:t xml:space="preserve">REG-01  </w:t>
      </w:r>
      <w:r>
        <w:rPr>
          <w:rFonts w:ascii="Calibri" w:cs="Calibri" w:eastAsia="Calibri" w:hAnsi="Calibri"/>
          <w:b/>
          <w:bCs/>
          <w:color w:val="1A1A1A"/>
          <w:sz w:val="24"/>
          <w:szCs w:val="24"/>
        </w:rPr>
        <w:t xml:space="preserve">IRDAI Filing</w:t>
      </w:r>
    </w:p>
    <w:p>
      <w:pPr>
        <w:spacing w:after="120"/>
      </w:pPr>
      <w:r>
        <w:rPr>
          <w:rFonts w:ascii="Calibri" w:cs="Calibri" w:eastAsia="Calibri" w:hAnsi="Calibri"/>
          <w:i/>
          <w:iCs/>
          <w:color w:val="808080"/>
          <w:sz w:val="18"/>
          <w:szCs w:val="18"/>
        </w:rPr>
        <w:t xml:space="preserve">Quarterly and annual filings to IRDAI per regulatory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Filing | Annual Filing.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portal upload (out-of-band, manual confirmation step) + Email to Compliance Lead with filing pack.</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IRDAI schedule. T-30 prep reminder to Compliance Lead, T-7 final-pack reminder, T-1 pre-submission check, T+0 submission, T+1 confirmation.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filing_type, period, filing_pack_url. Filing pack content is owned by Compliance Lead.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Portal upload is manual. The workflow does not perform the upload; it tracks readiness and ensures the pack is on time. T-1 with no pack ready emits Sev-1 to Sponsor.</w:t>
            </w:r>
          </w:p>
        </w:tc>
      </w:tr>
    </w:tbl>
    <w:p>
      <w:pPr>
        <w:keepNext/>
        <w:spacing w:after="80" w:before="280"/>
      </w:pPr>
      <w:r>
        <w:rPr>
          <w:rFonts w:ascii="Calibri" w:cs="Calibri" w:eastAsia="Calibri" w:hAnsi="Calibri"/>
          <w:b/>
          <w:bCs/>
          <w:color w:val="1F3864"/>
          <w:sz w:val="24"/>
          <w:szCs w:val="24"/>
        </w:rPr>
        <w:t xml:space="preserve">REG-02  </w:t>
      </w:r>
      <w:r>
        <w:rPr>
          <w:rFonts w:ascii="Calibri" w:cs="Calibri" w:eastAsia="Calibri" w:hAnsi="Calibri"/>
          <w:b/>
          <w:bCs/>
          <w:color w:val="1A1A1A"/>
          <w:sz w:val="24"/>
          <w:szCs w:val="24"/>
        </w:rPr>
        <w:t xml:space="preserve">TDS Certificates to Investors</w:t>
      </w:r>
    </w:p>
    <w:p>
      <w:pPr>
        <w:spacing w:after="120"/>
      </w:pPr>
      <w:r>
        <w:rPr>
          <w:rFonts w:ascii="Calibri" w:cs="Calibri" w:eastAsia="Calibri" w:hAnsi="Calibri"/>
          <w:i/>
          <w:iCs/>
          <w:color w:val="808080"/>
          <w:sz w:val="18"/>
          <w:szCs w:val="18"/>
        </w:rPr>
        <w:t xml:space="preserve">Issue Form 16A TDS certificates to all eligible investors quarterly.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Q1 | Q2 | Q3 | Q4 (per Indian Income Tax quarter).</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to each investor with their certificate (this is INV-14 dispatch on the investor side; REG-02 covers the orchestration and reconciliation).</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 of month following quarter-end. Reconciliation pass at T+5: confirm all eligible investors received certificate; chase delivery failures.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quarter, eligible_investor_list, certificate_pdfs (per investor). Each investor’s PAN must be validated.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Mass-delivery failure (&gt;5% bounce rate): emit Sev-1 to Compliance Lead. Individual delivery failures handled by INV-14 retry and Operations chase.</w:t>
            </w:r>
          </w:p>
        </w:tc>
      </w:tr>
    </w:tbl>
    <w:p>
      <w:pPr>
        <w:keepNext/>
        <w:spacing w:after="80" w:before="280"/>
      </w:pPr>
      <w:r>
        <w:rPr>
          <w:rFonts w:ascii="Calibri" w:cs="Calibri" w:eastAsia="Calibri" w:hAnsi="Calibri"/>
          <w:b/>
          <w:bCs/>
          <w:color w:val="1F3864"/>
          <w:sz w:val="24"/>
          <w:szCs w:val="24"/>
        </w:rPr>
        <w:t xml:space="preserve">REG-03  </w:t>
      </w:r>
      <w:r>
        <w:rPr>
          <w:rFonts w:ascii="Calibri" w:cs="Calibri" w:eastAsia="Calibri" w:hAnsi="Calibri"/>
          <w:b/>
          <w:bCs/>
          <w:color w:val="1A1A1A"/>
          <w:sz w:val="24"/>
          <w:szCs w:val="24"/>
        </w:rPr>
        <w:t xml:space="preserve">GST Invoices</w:t>
      </w:r>
    </w:p>
    <w:p>
      <w:pPr>
        <w:spacing w:after="120"/>
      </w:pPr>
      <w:r>
        <w:rPr>
          <w:rFonts w:ascii="Calibri" w:cs="Calibri" w:eastAsia="Calibri" w:hAnsi="Calibri"/>
          <w:i/>
          <w:iCs/>
          <w:color w:val="808080"/>
          <w:sz w:val="18"/>
          <w:szCs w:val="18"/>
        </w:rPr>
        <w:t xml:space="preserve">GST tax invoices issued per transaction (consultant fees, platform fees, partner remittances where applicable).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Axis</w:t>
            </w:r>
          </w:p>
        </w:tc>
        <w:tc>
          <w:tcPr>
            <w:tcW w:type="dxa" w:w="7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Statuses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transaction.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Channel sequencing</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to counter-party (investor / insurer / consultant / partner) with GST-compliant invoice PDF.</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Cadence with exceptions</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transaction; invoice issued within 7 days of transaction or month-end consolidation, per GST rules.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Data-quality fallbacks</w:t>
            </w:r>
          </w:p>
        </w:tc>
        <w:tc>
          <w:tcPr>
            <w:tcW w:type="dxa" w:w="7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Required: transaction_id, gstin, invoice_pdf_url, invoice_number (sequential, gap-free per GST). Sequential gaps emit Sev-1.</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Failure handling</w:t>
            </w:r>
          </w:p>
        </w:tc>
        <w:tc>
          <w:tcPr>
            <w:tcW w:type="dxa" w:w="7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Email retry. Invoice delivery failure: emit Sev-2; Operations chases manually.</w:t>
            </w:r>
          </w:p>
        </w:tc>
      </w:tr>
    </w:tbl>
    <w:p>
      <w:pPr>
        <w:pStyle w:val="Heading2"/>
        <w:spacing w:after="140" w:before="280"/>
      </w:pPr>
      <w:r>
        <w:rPr>
          <w:rFonts w:ascii="Calibri" w:cs="Calibri" w:eastAsia="Calibri" w:hAnsi="Calibri"/>
          <w:b/>
          <w:bCs/>
          <w:color w:val="1F3864"/>
          <w:sz w:val="28"/>
          <w:szCs w:val="28"/>
        </w:rPr>
        <w:t xml:space="preserve">4.4  Channel Coverage</w:t>
      </w:r>
    </w:p>
    <w:p>
      <w:pPr>
        <w:spacing w:after="120" w:before="0"/>
      </w:pPr>
      <w:r>
        <w:rPr>
          <w:rFonts w:ascii="Calibri" w:cs="Calibri" w:eastAsia="Calibri" w:hAnsi="Calibri"/>
          <w:color w:val="1A1A1A"/>
          <w:sz w:val="20"/>
          <w:szCs w:val="20"/>
        </w:rPr>
        <w:t xml:space="preserve">Customer-facing channels in scope are Email, SMS, WhatsApp (via WhatsApp Business Cloud API through a Business Solution Provider) and RCS. Internal-only channels in scope are Slack and Microsoft Teams. Voice / IVR is out of scope for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Languages (v1)</w:t>
            </w:r>
          </w:p>
        </w:tc>
        <w:tc>
          <w:tcPr>
            <w:tcW w:type="dxa" w:w="5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Compliance gate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English, Hindi</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consent; IT Act 2000</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English, Hindi</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registration: Principal Entity ID and Template ID; TRAI commercial-comms regulations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(Cloud API + BSP)</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English, Hindi</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Meta BSP template approval; template category; 24-hour session window</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RCS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English, Hindi</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DLT regime as SMS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Teams (internal)</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English</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information-classification policy</w:t>
            </w:r>
          </w:p>
        </w:tc>
      </w:tr>
    </w:tbl>
    <w:p>
      <w:pPr>
        <w:pStyle w:val="Heading2"/>
        <w:spacing w:after="140" w:before="280"/>
      </w:pPr>
      <w:r>
        <w:rPr>
          <w:rFonts w:ascii="Calibri" w:cs="Calibri" w:eastAsia="Calibri" w:hAnsi="Calibri"/>
          <w:b/>
          <w:bCs/>
          <w:color w:val="1F3864"/>
          <w:sz w:val="28"/>
          <w:szCs w:val="28"/>
        </w:rPr>
        <w:t xml:space="preserve">4.5  Channel Provider Integration</w:t>
      </w:r>
    </w:p>
    <w:p>
      <w:pPr>
        <w:spacing w:after="120" w:before="0"/>
      </w:pPr>
      <w:r>
        <w:rPr>
          <w:rFonts w:ascii="Calibri" w:cs="Calibri" w:eastAsia="Calibri" w:hAnsi="Calibri"/>
          <w:color w:val="1A1A1A"/>
          <w:sz w:val="20"/>
          <w:szCs w:val="20"/>
        </w:rPr>
        <w:t xml:space="preserve">Three Indian channel providers will be integrated: Gupshup, MSG91 and Karix. We retain commercial relationships with all three for resilience and pricing leverage.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30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Provider</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Integration mode</w:t>
            </w:r>
          </w:p>
        </w:tc>
        <w:tc>
          <w:tcPr>
            <w:tcW w:type="dxa" w:w="3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Native Novu provider, configuration only</w:t>
            </w:r>
          </w:p>
        </w:tc>
        <w:tc>
          <w:tcPr>
            <w:tcW w:type="dxa" w:w="3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 RCS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provider plugin, built in this engagement</w:t>
            </w:r>
          </w:p>
        </w:tc>
        <w:tc>
          <w:tcPr>
            <w:tcW w:type="dxa" w:w="3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 Email</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Karix</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provider plugin, built in this engagement</w:t>
            </w:r>
          </w:p>
        </w:tc>
        <w:tc>
          <w:tcPr>
            <w:tcW w:type="dxa" w:w="3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w:t>
            </w:r>
          </w:p>
        </w:tc>
      </w:tr>
    </w:tbl>
    <w:p>
      <w:pPr>
        <w:spacing w:after="120" w:before="0"/>
      </w:pPr>
      <w:r>
        <w:rPr>
          <w:rFonts w:ascii="Calibri" w:cs="Calibri" w:eastAsia="Calibri" w:hAnsi="Calibri"/>
          <w:color w:val="1A1A1A"/>
          <w:sz w:val="20"/>
          <w:szCs w:val="20"/>
        </w:rPr>
        <w:t xml:space="preserve">Failover orchestration will be configured per workflow with a default order of Gupshup, then MSG91, then Karix. The order is configurable at runtime by Operations without code changes.</w:t>
      </w:r>
    </w:p>
    <w:p>
      <w:pPr>
        <w:pStyle w:val="Heading2"/>
        <w:spacing w:after="140" w:before="280"/>
      </w:pPr>
      <w:r>
        <w:rPr>
          <w:rFonts w:ascii="Calibri" w:cs="Calibri" w:eastAsia="Calibri" w:hAnsi="Calibri"/>
          <w:b/>
          <w:bCs/>
          <w:color w:val="1F3864"/>
          <w:sz w:val="28"/>
          <w:szCs w:val="28"/>
        </w:rPr>
        <w:t xml:space="preserve">4.6  Compliance Middleware</w:t>
      </w:r>
    </w:p>
    <w:p>
      <w:pPr>
        <w:spacing w:after="120" w:before="0"/>
      </w:pPr>
      <w:r>
        <w:rPr>
          <w:rFonts w:ascii="Calibri" w:cs="Calibri" w:eastAsia="Calibri" w:hAnsi="Calibri"/>
          <w:color w:val="1A1A1A"/>
          <w:sz w:val="20"/>
          <w:szCs w:val="20"/>
        </w:rPr>
        <w:t xml:space="preserve">A compliance middleware will run as a Novu Framework custom step at the head of every workflow execution and as a CI gate on every pull request. Failure aborts the workflow and emits a structured violation event to the audit trail. The middleware enforces a minimum of thirty (30) rules across seven regimes.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20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Regime</w:t>
            </w:r>
          </w:p>
        </w:tc>
        <w:tc>
          <w:tcPr>
            <w:tcW w:type="dxa" w:w="5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Examples of obligations enforced</w:t>
            </w:r>
          </w:p>
        </w:tc>
        <w:tc>
          <w:tcPr>
            <w:tcW w:type="dxa" w:w="2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Indicative count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 DLT (SMS)</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Sender registration, Principal Entity ID and Template ID present, route correctness, promotional time-window</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8</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Statutory disclaimers on promotional content, grievance contact, registration number on annual statements, no return guarantees</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6</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BSP</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category match, BSP-approved variable shape, 24-hour session window, media size limits</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6</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2023</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Lawful-basis tagging, opt-out wiring on promotional channels, consent reference for marketing, PII masking in audit</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5</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 / KYC</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 self-declaration reference, CKYC reference, risk-profile reference on opportunity push</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Income Tax / TDS</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 / rate references, PAN-format validation, FY-derived dates, quarterly cadence</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Stop-lists, audience-specific tone, insurer-specific brand constraints</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4</w:t>
            </w:r>
          </w:p>
        </w:tc>
      </w:tr>
    </w:tbl>
    <w:p>
      <w:pPr>
        <w:pStyle w:val="Heading2"/>
        <w:spacing w:after="140" w:before="280"/>
      </w:pPr>
      <w:r>
        <w:rPr>
          <w:rFonts w:ascii="Calibri" w:cs="Calibri" w:eastAsia="Calibri" w:hAnsi="Calibri"/>
          <w:b/>
          <w:bCs/>
          <w:color w:val="1F3864"/>
          <w:sz w:val="28"/>
          <w:szCs w:val="28"/>
        </w:rPr>
        <w:t xml:space="preserve">4.7  Multi-tenant Insurer Routing</w:t>
      </w:r>
    </w:p>
    <w:p>
      <w:pPr>
        <w:spacing w:after="120" w:before="0"/>
      </w:pPr>
      <w:r>
        <w:rPr>
          <w:rFonts w:ascii="Calibri" w:cs="Calibri" w:eastAsia="Calibri" w:hAnsi="Calibri"/>
          <w:color w:val="1A1A1A"/>
          <w:sz w:val="20"/>
          <w:szCs w:val="20"/>
        </w:rPr>
        <w:t xml:space="preserve">Our eleven insurance partners will be modelled as distinct tenants of the communication system. The insurer registry will contain, per carrier: sender identity, MIS attachment template, escalation contact, brand-voice constraints, and DPA references. A tenancy middleware will resolve the correct identity per workflow execution from the trigger payload. Per-insurer audit views are produced as a by-product.</w:t>
      </w:r>
    </w:p>
    <w:p>
      <w:pPr>
        <w:pStyle w:val="Heading2"/>
        <w:spacing w:after="140" w:before="280"/>
      </w:pPr>
      <w:r>
        <w:rPr>
          <w:rFonts w:ascii="Calibri" w:cs="Calibri" w:eastAsia="Calibri" w:hAnsi="Calibri"/>
          <w:b/>
          <w:bCs/>
          <w:color w:val="1F3864"/>
          <w:sz w:val="28"/>
          <w:szCs w:val="28"/>
        </w:rPr>
        <w:t xml:space="preserve">4.8  Observability and Audit</w:t>
      </w:r>
    </w:p>
    <w:p>
      <w:pPr>
        <w:spacing w:after="120" w:before="0"/>
      </w:pPr>
      <w:r>
        <w:rPr>
          <w:rFonts w:ascii="Calibri" w:cs="Calibri" w:eastAsia="Calibri" w:hAnsi="Calibri"/>
          <w:color w:val="1A1A1A"/>
          <w:sz w:val="20"/>
          <w:szCs w:val="20"/>
        </w:rPr>
        <w:t xml:space="preserve">Three observability layers: structured logs (runtime debugging), dispatch metrics (engineering and SLA tracking), audit trail per dispatched message (regulator and Compliance review). The audit trail is append-only, tokenises personal data, and is exported daily to long-term storage. Retention is twelve (12) months hot, five (5) years warm and eight (8) years cold, aligned to Income Tax and Insurance Act requirements. A read-only audit dashboard will be delivered for Compliance use, with role-gated full-PII view available only to the Compliance Lead.</w:t>
      </w:r>
    </w:p>
    <w:p>
      <w:pPr>
        <w:pStyle w:val="Heading2"/>
        <w:spacing w:after="140" w:before="280"/>
      </w:pPr>
      <w:r>
        <w:rPr>
          <w:rFonts w:ascii="Calibri" w:cs="Calibri" w:eastAsia="Calibri" w:hAnsi="Calibri"/>
          <w:b/>
          <w:bCs/>
          <w:color w:val="1F3864"/>
          <w:sz w:val="28"/>
          <w:szCs w:val="28"/>
        </w:rPr>
        <w:t xml:space="preserve">4.9  Subscriber Data Sync</w:t>
      </w:r>
    </w:p>
    <w:p>
      <w:pPr>
        <w:spacing w:after="120" w:before="0"/>
      </w:pPr>
      <w:r>
        <w:rPr>
          <w:rFonts w:ascii="Calibri" w:cs="Calibri" w:eastAsia="Calibri" w:hAnsi="Calibri"/>
          <w:color w:val="1A1A1A"/>
          <w:sz w:val="20"/>
          <w:szCs w:val="20"/>
        </w:rPr>
        <w:t xml:space="preserve">A one-time subscriber synchronisation will be delivered from our existing customer-data store into Novu, covering all in-scope policyholder and investor records. The sync produces a diff report identifying records that did not synchronise and the reasons. Ongoing subscriber synchronisation patterns will be documented; their implementation is the Operations team’s responsibility post-handover.</w:t>
      </w:r>
    </w:p>
    <w:p>
      <w:pPr>
        <w:pStyle w:val="Heading2"/>
        <w:spacing w:after="140" w:before="280"/>
      </w:pPr>
      <w:r>
        <w:rPr>
          <w:rFonts w:ascii="Calibri" w:cs="Calibri" w:eastAsia="Calibri" w:hAnsi="Calibri"/>
          <w:b/>
          <w:bCs/>
          <w:color w:val="1F3864"/>
          <w:sz w:val="28"/>
          <w:szCs w:val="28"/>
        </w:rPr>
        <w:t xml:space="preserve">4.10  Documentation</w:t>
      </w:r>
    </w:p>
    <w:p>
      <w:pPr>
        <w:spacing w:after="120" w:before="0"/>
      </w:pPr>
      <w:r>
        <w:rPr>
          <w:rFonts w:ascii="Calibri" w:cs="Calibri" w:eastAsia="Calibri" w:hAnsi="Calibri"/>
          <w:color w:val="1A1A1A"/>
          <w:sz w:val="20"/>
          <w:szCs w:val="20"/>
        </w:rPr>
        <w:t xml:space="preserve">The following documents will be delivered in Markdown and / or PDF format:</w:t>
      </w:r>
    </w:p>
    <w:p>
      <w:pPr>
        <w:pStyle w:val="ListParagraph"/>
        <w:numPr>
          <w:ilvl w:val="0"/>
          <w:numId w:val="2"/>
        </w:numPr>
        <w:spacing w:after="80"/>
      </w:pPr>
      <w:r>
        <w:rPr>
          <w:rFonts w:ascii="Calibri" w:cs="Calibri" w:eastAsia="Calibri" w:hAnsi="Calibri"/>
          <w:color w:val="1A1A1A"/>
          <w:sz w:val="20"/>
          <w:szCs w:val="20"/>
        </w:rPr>
        <w:t xml:space="preserve">Workflow author guide — how to add, modify, version and deploy workflows.</w:t>
      </w:r>
    </w:p>
    <w:p>
      <w:pPr>
        <w:pStyle w:val="ListParagraph"/>
        <w:numPr>
          <w:ilvl w:val="0"/>
          <w:numId w:val="2"/>
        </w:numPr>
        <w:spacing w:after="80"/>
      </w:pPr>
      <w:r>
        <w:rPr>
          <w:rFonts w:ascii="Calibri" w:cs="Calibri" w:eastAsia="Calibri" w:hAnsi="Calibri"/>
          <w:color w:val="1A1A1A"/>
          <w:sz w:val="20"/>
          <w:szCs w:val="20"/>
        </w:rPr>
        <w:t xml:space="preserve">Infrastructure runbook — deployment, scaling, backup, recovery, secret rotation, patching.</w:t>
      </w:r>
    </w:p>
    <w:p>
      <w:pPr>
        <w:pStyle w:val="ListParagraph"/>
        <w:numPr>
          <w:ilvl w:val="0"/>
          <w:numId w:val="2"/>
        </w:numPr>
        <w:spacing w:after="80"/>
      </w:pPr>
      <w:r>
        <w:rPr>
          <w:rFonts w:ascii="Calibri" w:cs="Calibri" w:eastAsia="Calibri" w:hAnsi="Calibri"/>
          <w:color w:val="1A1A1A"/>
          <w:sz w:val="20"/>
          <w:szCs w:val="20"/>
        </w:rPr>
        <w:t xml:space="preserve">Compliance reference card — the rule set in printable form for Compliance team use.</w:t>
      </w:r>
    </w:p>
    <w:p>
      <w:pPr>
        <w:pStyle w:val="ListParagraph"/>
        <w:numPr>
          <w:ilvl w:val="0"/>
          <w:numId w:val="2"/>
        </w:numPr>
        <w:spacing w:after="80"/>
      </w:pPr>
      <w:r>
        <w:rPr>
          <w:rFonts w:ascii="Calibri" w:cs="Calibri" w:eastAsia="Calibri" w:hAnsi="Calibri"/>
          <w:color w:val="1A1A1A"/>
          <w:sz w:val="20"/>
          <w:szCs w:val="20"/>
        </w:rPr>
        <w:t xml:space="preserve">Provider plugin documentation — the interface and configuration for the MSG91 and Karix plugins.</w:t>
      </w:r>
    </w:p>
    <w:p>
      <w:pPr>
        <w:pStyle w:val="ListParagraph"/>
        <w:numPr>
          <w:ilvl w:val="0"/>
          <w:numId w:val="2"/>
        </w:numPr>
        <w:spacing w:after="80"/>
      </w:pPr>
      <w:r>
        <w:rPr>
          <w:rFonts w:ascii="Calibri" w:cs="Calibri" w:eastAsia="Calibri" w:hAnsi="Calibri"/>
          <w:color w:val="1A1A1A"/>
          <w:sz w:val="20"/>
          <w:szCs w:val="20"/>
        </w:rPr>
        <w:t xml:space="preserve">Operations runbook — day-two operations, incident response, on-call procedures.</w:t>
      </w:r>
    </w:p>
    <w:p>
      <w:pPr>
        <w:pStyle w:val="Heading2"/>
        <w:spacing w:after="140" w:before="280"/>
      </w:pPr>
      <w:r>
        <w:rPr>
          <w:rFonts w:ascii="Calibri" w:cs="Calibri" w:eastAsia="Calibri" w:hAnsi="Calibri"/>
          <w:b/>
          <w:bCs/>
          <w:color w:val="1F3864"/>
          <w:sz w:val="28"/>
          <w:szCs w:val="28"/>
        </w:rPr>
        <w:t xml:space="preserve">4.11  Production Cutover and Hypercare</w:t>
      </w:r>
    </w:p>
    <w:p>
      <w:pPr>
        <w:spacing w:after="120" w:before="0"/>
      </w:pPr>
      <w:r>
        <w:rPr>
          <w:rFonts w:ascii="Calibri" w:cs="Calibri" w:eastAsia="Calibri" w:hAnsi="Calibri"/>
          <w:color w:val="1A1A1A"/>
          <w:sz w:val="20"/>
          <w:szCs w:val="20"/>
        </w:rPr>
        <w:t xml:space="preserve">Production cutover is executed at the end of Phase 5 to staging first and then to production, against a documented cutover plan signed off by the Project Owner. The build team provides one (1) week of post-go-live hypercare with elevated availability for incident response (Sev-1 within one hour, Sev-2 within four hours, Indian business hours).</w:t>
      </w:r>
    </w:p>
    <w:p>
      <w:pPr>
        <w:pStyle w:val="Heading2"/>
        <w:spacing w:after="140" w:before="280"/>
      </w:pPr>
      <w:r>
        <w:rPr>
          <w:rFonts w:ascii="Calibri" w:cs="Calibri" w:eastAsia="Calibri" w:hAnsi="Calibri"/>
          <w:b/>
          <w:bCs/>
          <w:color w:val="1F3864"/>
          <w:sz w:val="28"/>
          <w:szCs w:val="28"/>
        </w:rPr>
        <w:t xml:space="preserve">4.12  Out of Scope</w:t>
      </w:r>
    </w:p>
    <w:p>
      <w:pPr>
        <w:spacing w:after="120" w:before="0"/>
      </w:pPr>
      <w:r>
        <w:rPr>
          <w:rFonts w:ascii="Calibri" w:cs="Calibri" w:eastAsia="Calibri" w:hAnsi="Calibri"/>
          <w:color w:val="1A1A1A"/>
          <w:sz w:val="20"/>
          <w:szCs w:val="20"/>
        </w:rPr>
        <w:t xml:space="preserve">The following are expressly outside this charter. Any of them may be included by separate change request through Section 8.</w:t>
      </w:r>
    </w:p>
    <w:p>
      <w:pPr>
        <w:pStyle w:val="ListParagraph"/>
        <w:numPr>
          <w:ilvl w:val="0"/>
          <w:numId w:val="2"/>
        </w:numPr>
        <w:spacing w:after="80"/>
      </w:pPr>
      <w:r>
        <w:rPr>
          <w:rFonts w:ascii="Calibri" w:cs="Calibri" w:eastAsia="Calibri" w:hAnsi="Calibri"/>
          <w:color w:val="1A1A1A"/>
          <w:sz w:val="20"/>
          <w:szCs w:val="20"/>
        </w:rPr>
        <w:t xml:space="preserve">Novu Cloud or any non-India-resident managed Novu offering.</w:t>
      </w:r>
    </w:p>
    <w:p>
      <w:pPr>
        <w:pStyle w:val="ListParagraph"/>
        <w:numPr>
          <w:ilvl w:val="0"/>
          <w:numId w:val="2"/>
        </w:numPr>
        <w:spacing w:after="80"/>
      </w:pPr>
      <w:r>
        <w:rPr>
          <w:rFonts w:ascii="Calibri" w:cs="Calibri" w:eastAsia="Calibri" w:hAnsi="Calibri"/>
          <w:color w:val="1A1A1A"/>
          <w:sz w:val="20"/>
          <w:szCs w:val="20"/>
        </w:rPr>
        <w:t xml:space="preserve">Customer-data store, CRM, lead-management or policy-administration functionality. The system consumes our existing data via subscribers; it is not a system of record for any master data.</w:t>
      </w:r>
    </w:p>
    <w:p>
      <w:pPr>
        <w:pStyle w:val="ListParagraph"/>
        <w:numPr>
          <w:ilvl w:val="0"/>
          <w:numId w:val="2"/>
        </w:numPr>
        <w:spacing w:after="80"/>
      </w:pPr>
      <w:r>
        <w:rPr>
          <w:rFonts w:ascii="Calibri" w:cs="Calibri" w:eastAsia="Calibri" w:hAnsi="Calibri"/>
          <w:color w:val="1A1A1A"/>
          <w:sz w:val="20"/>
          <w:szCs w:val="20"/>
        </w:rPr>
        <w:t xml:space="preserve">Voice / IVR scripting, voice dispatch, dialler integration.</w:t>
      </w:r>
    </w:p>
    <w:p>
      <w:pPr>
        <w:pStyle w:val="ListParagraph"/>
        <w:numPr>
          <w:ilvl w:val="0"/>
          <w:numId w:val="2"/>
        </w:numPr>
        <w:spacing w:after="80"/>
      </w:pPr>
      <w:r>
        <w:rPr>
          <w:rFonts w:ascii="Calibri" w:cs="Calibri" w:eastAsia="Calibri" w:hAnsi="Calibri"/>
          <w:color w:val="1A1A1A"/>
          <w:sz w:val="20"/>
          <w:szCs w:val="20"/>
        </w:rPr>
        <w:t xml:space="preserve">Sentiment analysis, NLP-based reply handling, conversation routing beyond Novu native.</w:t>
      </w:r>
    </w:p>
    <w:p>
      <w:pPr>
        <w:pStyle w:val="ListParagraph"/>
        <w:numPr>
          <w:ilvl w:val="0"/>
          <w:numId w:val="2"/>
        </w:numPr>
        <w:spacing w:after="80"/>
      </w:pPr>
      <w:r>
        <w:rPr>
          <w:rFonts w:ascii="Calibri" w:cs="Calibri" w:eastAsia="Calibri" w:hAnsi="Calibri"/>
          <w:color w:val="1A1A1A"/>
          <w:sz w:val="20"/>
          <w:szCs w:val="20"/>
        </w:rPr>
        <w:t xml:space="preserve">AI-generated runtime copy. All content is human-authored and reviewed; AI assists during authoring only.</w:t>
      </w:r>
    </w:p>
    <w:p>
      <w:pPr>
        <w:pStyle w:val="ListParagraph"/>
        <w:numPr>
          <w:ilvl w:val="0"/>
          <w:numId w:val="2"/>
        </w:numPr>
        <w:spacing w:after="80"/>
      </w:pPr>
      <w:r>
        <w:rPr>
          <w:rFonts w:ascii="Calibri" w:cs="Calibri" w:eastAsia="Calibri" w:hAnsi="Calibri"/>
          <w:color w:val="1A1A1A"/>
          <w:sz w:val="20"/>
          <w:szCs w:val="20"/>
        </w:rPr>
        <w:t xml:space="preserve">Replacement of the existing MIS Pipeline serving INS-02 attachments. The pipeline is consumed as-is by the INS-02 workflow.</w:t>
      </w:r>
    </w:p>
    <w:p>
      <w:pPr>
        <w:pStyle w:val="ListParagraph"/>
        <w:numPr>
          <w:ilvl w:val="0"/>
          <w:numId w:val="2"/>
        </w:numPr>
        <w:spacing w:after="80"/>
      </w:pPr>
      <w:r>
        <w:rPr>
          <w:rFonts w:ascii="Calibri" w:cs="Calibri" w:eastAsia="Calibri" w:hAnsi="Calibri"/>
          <w:color w:val="1A1A1A"/>
          <w:sz w:val="20"/>
          <w:szCs w:val="20"/>
        </w:rPr>
        <w:t xml:space="preserve">Modifications to upstream Novu source code. We use Novu under its existing licence; in-tree changes are out of scope.</w:t>
      </w:r>
    </w:p>
    <w:p>
      <w:pPr>
        <w:pStyle w:val="ListParagraph"/>
        <w:numPr>
          <w:ilvl w:val="0"/>
          <w:numId w:val="2"/>
        </w:numPr>
        <w:spacing w:after="80"/>
      </w:pPr>
      <w:r>
        <w:rPr>
          <w:rFonts w:ascii="Calibri" w:cs="Calibri" w:eastAsia="Calibri" w:hAnsi="Calibri"/>
          <w:color w:val="1A1A1A"/>
          <w:sz w:val="20"/>
          <w:szCs w:val="20"/>
        </w:rPr>
        <w:t xml:space="preserve">Cross-region disaster recovery. Multi-AZ within ap-south-1 is in scope; cross-region DR is a v2 initiative.</w:t>
      </w:r>
    </w:p>
    <w:p>
      <w:pPr>
        <w:pStyle w:val="ListParagraph"/>
        <w:numPr>
          <w:ilvl w:val="0"/>
          <w:numId w:val="2"/>
        </w:numPr>
        <w:spacing w:after="80"/>
      </w:pPr>
      <w:r>
        <w:rPr>
          <w:rFonts w:ascii="Calibri" w:cs="Calibri" w:eastAsia="Calibri" w:hAnsi="Calibri"/>
          <w:color w:val="1A1A1A"/>
          <w:sz w:val="20"/>
          <w:szCs w:val="20"/>
        </w:rPr>
        <w:t xml:space="preserve">Languages other than English and Hindi. Regional Indian languages are a v2 initiative.</w:t>
      </w:r>
    </w:p>
    <w:p>
      <w:pPr>
        <w:pStyle w:val="ListParagraph"/>
        <w:numPr>
          <w:ilvl w:val="0"/>
          <w:numId w:val="2"/>
        </w:numPr>
        <w:spacing w:after="80"/>
      </w:pPr>
      <w:r>
        <w:rPr>
          <w:rFonts w:ascii="Calibri" w:cs="Calibri" w:eastAsia="Calibri" w:hAnsi="Calibri"/>
          <w:color w:val="1A1A1A"/>
          <w:sz w:val="20"/>
          <w:szCs w:val="20"/>
        </w:rPr>
        <w:t xml:space="preserve">Audiences other than the five identified in Section 4.2.</w:t>
      </w:r>
    </w:p>
    <w:p>
      <w:pPr>
        <w:pStyle w:val="ListParagraph"/>
        <w:numPr>
          <w:ilvl w:val="0"/>
          <w:numId w:val="2"/>
        </w:numPr>
        <w:spacing w:after="80"/>
      </w:pPr>
      <w:r>
        <w:rPr>
          <w:rFonts w:ascii="Calibri" w:cs="Calibri" w:eastAsia="Calibri" w:hAnsi="Calibri"/>
          <w:color w:val="1A1A1A"/>
          <w:sz w:val="20"/>
          <w:szCs w:val="20"/>
        </w:rPr>
        <w:t xml:space="preserve">Channels other than those identified in Section 4.4.</w:t>
      </w:r>
    </w:p>
    <w:p>
      <w:pPr>
        <w:pStyle w:val="ListParagraph"/>
        <w:numPr>
          <w:ilvl w:val="0"/>
          <w:numId w:val="2"/>
        </w:numPr>
        <w:spacing w:after="80"/>
      </w:pPr>
      <w:r>
        <w:rPr>
          <w:rFonts w:ascii="Calibri" w:cs="Calibri" w:eastAsia="Calibri" w:hAnsi="Calibri"/>
          <w:color w:val="1A1A1A"/>
          <w:sz w:val="20"/>
          <w:szCs w:val="20"/>
        </w:rPr>
        <w:t xml:space="preserve">Penetration testing, formal security audit, ISO 27001 certification work. Reasonable security controls are in scope; certification is not.</w:t>
      </w:r>
    </w:p>
    <w:p>
      <w:pPr>
        <w:pStyle w:val="Heading2"/>
        <w:spacing w:after="140" w:before="280"/>
      </w:pPr>
      <w:r>
        <w:rPr>
          <w:rFonts w:ascii="Calibri" w:cs="Calibri" w:eastAsia="Calibri" w:hAnsi="Calibri"/>
          <w:b/>
          <w:bCs/>
          <w:color w:val="1F3864"/>
          <w:sz w:val="28"/>
          <w:szCs w:val="28"/>
        </w:rPr>
        <w:t xml:space="preserve">4.13  Cross-team Dependencies</w:t>
      </w:r>
    </w:p>
    <w:p>
      <w:pPr>
        <w:spacing w:after="120" w:before="0"/>
      </w:pPr>
      <w:r>
        <w:rPr>
          <w:rFonts w:ascii="Calibri" w:cs="Calibri" w:eastAsia="Calibri" w:hAnsi="Calibri"/>
          <w:color w:val="1A1A1A"/>
          <w:sz w:val="20"/>
          <w:szCs w:val="20"/>
        </w:rPr>
        <w:t xml:space="preserve">Other teams’ timely performance is required for the build team to deliver. Late performance extends the affected phase on a day-for-day basis.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800"/>
        <w:gridCol w:w="19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5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Dependency</w:t>
            </w:r>
          </w:p>
        </w:tc>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Required by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w:t>
            </w:r>
          </w:p>
        </w:tc>
        <w:tc>
          <w:tcPr>
            <w:tcW w:type="dxa" w:w="5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account in ap-south-1 with sufficient quota and IAM access for the build team</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1 kick-off</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c>
          <w:tcPr>
            <w:tcW w:type="dxa" w:w="5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Read-only production access plus tokenised sample data for our customer-data store</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 Compliance</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1 kick-off / start of Phase 2</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5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SSO endpoint (SAML / OIDC) for Novu Web access control</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Mid Phase 1</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5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 samples, style guide and audience tone references</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Phase 2</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IRDAI / DPDPA disclaimer set as currently used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Phase 4</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5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registry inputs for the eleven carriers</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 Partnerships</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Phase 3</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7</w:t>
            </w:r>
          </w:p>
        </w:tc>
        <w:tc>
          <w:tcPr>
            <w:tcW w:type="dxa" w:w="5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Principal Entity ID and Template IDs registered with chosen providers</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 Operations</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Phase 5</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w:t>
            </w:r>
          </w:p>
        </w:tc>
        <w:tc>
          <w:tcPr>
            <w:tcW w:type="dxa" w:w="5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Channel-provider accounts (Gupshup, MSG91, Karix) with sandbox credentials</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Phase 5</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9</w:t>
            </w:r>
          </w:p>
        </w:tc>
        <w:tc>
          <w:tcPr>
            <w:tcW w:type="dxa" w:w="5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Business Cloud API number live via BSP, with templates approved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 BSP</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Phase 5</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w:t>
            </w:r>
          </w:p>
        </w:tc>
        <w:tc>
          <w:tcPr>
            <w:tcW w:type="dxa" w:w="5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availability (CX, Compliance, Brand) — ~4h/week during build</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 Compliance</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r>
    </w:tbl>
    <w:p>
      <w:pPr>
        <w:pStyle w:val="Heading1"/>
        <w:pageBreakBefore/>
        <w:spacing w:after="240" w:before="0"/>
      </w:pPr>
      <w:r>
        <w:rPr>
          <w:rFonts w:ascii="Calibri" w:cs="Calibri" w:eastAsia="Calibri" w:hAnsi="Calibri"/>
          <w:b/>
          <w:bCs/>
          <w:color w:val="1F3864"/>
          <w:sz w:val="36"/>
          <w:szCs w:val="36"/>
        </w:rPr>
        <w:t xml:space="preserve">5. Deliverables</w:t>
      </w:r>
    </w:p>
    <w:p>
      <w:pPr>
        <w:spacing w:after="120" w:before="0"/>
      </w:pPr>
      <w:r>
        <w:rPr>
          <w:rFonts w:ascii="Calibri" w:cs="Calibri" w:eastAsia="Calibri" w:hAnsi="Calibri"/>
          <w:color w:val="1A1A1A"/>
          <w:sz w:val="20"/>
          <w:szCs w:val="20"/>
        </w:rPr>
        <w:t xml:space="preserve">The build team will produce the artefacts in the table below. Each is described in detail in the cross-referenced sub-section of Section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500"/>
        <w:gridCol w:w="21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5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Deliverable</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Reference</w:t>
            </w:r>
          </w:p>
        </w:tc>
        <w:tc>
          <w:tcPr>
            <w:tcW w:type="dxa" w:w="21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deployment on TPE cloud infrastructure, Multi-AZ within ap-south-1</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4.1, 4.13</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Running services + IaC</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49 workflow definitions (TypeScript / Novu Framework) covering all in-scope Triggers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4.3</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Source code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provider plugins for MSG91 and Karix; native Gupshup configured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4.5</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Source + tests</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 enforcing ≥ 30 rules across 7 regimes, two-layer enforcement</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4.6</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Source + rule defs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Multi-tenant insurer registry and tenancy middleware (11 carriers)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4.7</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Source + registry</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Observability stack: logs, metrics, audit trail with PII tokenised, audit dashboard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4.8</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Code + dashboards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7</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One-time subscriber data synchronisation with diff report</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4.9</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Script + report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Documentation set (5 documents)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4.10</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 / PDF</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9</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Test pack: schema, lint, render goldens, workflow execution, provider, end-to-end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4.6, 4.11</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Source code in CI</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cutover plan and one week of hypercare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4.11</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Runbook + on-call</w:t>
            </w:r>
          </w:p>
        </w:tc>
      </w:tr>
    </w:tbl>
    <w:p>
      <w:pPr>
        <w:pStyle w:val="Heading1"/>
        <w:pageBreakBefore/>
        <w:spacing w:after="240" w:before="0"/>
      </w:pPr>
      <w:r>
        <w:rPr>
          <w:rFonts w:ascii="Calibri" w:cs="Calibri" w:eastAsia="Calibri" w:hAnsi="Calibri"/>
          <w:b/>
          <w:bCs/>
          <w:color w:val="1F3864"/>
          <w:sz w:val="36"/>
          <w:szCs w:val="36"/>
        </w:rPr>
        <w:t xml:space="preserve">6. Timeline</w:t>
      </w:r>
    </w:p>
    <w:p>
      <w:pPr>
        <w:spacing w:after="120" w:before="0"/>
      </w:pPr>
      <w:r>
        <w:rPr>
          <w:rFonts w:ascii="Calibri" w:cs="Calibri" w:eastAsia="Calibri" w:hAnsi="Calibri"/>
          <w:color w:val="1A1A1A"/>
          <w:sz w:val="20"/>
          <w:szCs w:val="20"/>
        </w:rPr>
        <w:t xml:space="preserve">Five sequential phases. Calendar duration is six (6) weeks of elapsed time, planned at approximately one phase per working week with a small buffer. Engineering working days are tracked separately by the Engineering Lead in the resourcing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1300"/>
        <w:gridCol w:w="46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Name</w:t>
            </w:r>
          </w:p>
        </w:tc>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Calendar weeks</w:t>
            </w:r>
          </w:p>
        </w:tc>
        <w:tc>
          <w:tcPr>
            <w:tcW w:type="dxa" w:w="4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Key outcome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Foundation</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 1</w:t>
            </w:r>
          </w:p>
        </w:tc>
        <w:tc>
          <w:tcPr>
            <w:tcW w:type="dxa" w:w="4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deployed in dev; first proof-of-concept workflow operational end-to-end</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 Workflows</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 2</w:t>
            </w:r>
          </w:p>
        </w:tc>
        <w:tc>
          <w:tcPr>
            <w:tcW w:type="dxa" w:w="4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policyholder workflows; subscriber sync from our customer-data store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 Insurer / Ops / Reg + Hindi + Multi-tenant</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Weeks 3–4</w:t>
            </w:r>
          </w:p>
        </w:tc>
        <w:tc>
          <w:tcPr>
            <w:tcW w:type="dxa" w:w="4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31 additional workflows; Hindi variants; eleven-carrier routing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 + Observability</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 5</w:t>
            </w:r>
          </w:p>
        </w:tc>
        <w:tc>
          <w:tcPr>
            <w:tcW w:type="dxa" w:w="4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Lint engine; audit dashboard; subject-access export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Providers + Production Hardening</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 6</w:t>
            </w:r>
          </w:p>
        </w:tc>
        <w:tc>
          <w:tcPr>
            <w:tcW w:type="dxa" w:w="4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and Karix plugins; production cutover; one-week hypercare</w:t>
            </w:r>
          </w:p>
        </w:tc>
      </w:tr>
      <w:tr>
        <w:tc>
          <w:tcPr>
            <w:tcW w:type="dxa" w:w="3800"/>
            <w:gridSpan w:val="2"/>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elapsed</w:t>
            </w:r>
          </w:p>
        </w:tc>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6 weeks</w:t>
            </w:r>
          </w:p>
        </w:tc>
        <w:tc>
          <w:tcPr>
            <w:tcW w:type="dxa" w:w="4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 plus 1 week hypercare</w:t>
            </w:r>
          </w:p>
        </w:tc>
      </w:tr>
    </w:tbl>
    <w:p>
      <w:pPr>
        <w:spacing w:after="120" w:before="0"/>
      </w:pPr>
      <w:r>
        <w:rPr>
          <w:rFonts w:ascii="Calibri" w:cs="Calibri" w:eastAsia="Calibri" w:hAnsi="Calibri"/>
          <w:color w:val="1A1A1A"/>
          <w:sz w:val="20"/>
          <w:szCs w:val="20"/>
        </w:rPr>
        <w:t xml:space="preserve">Each phase concludes with formal phase exit under Section 7. Delays caused by missing cross-team dependencies (Section 4.13) extend the affected phase on a day-for-day basis.</w:t>
      </w:r>
    </w:p>
    <w:p>
      <w:pPr>
        <w:pStyle w:val="Heading1"/>
        <w:pageBreakBefore/>
        <w:spacing w:after="240" w:before="0"/>
      </w:pPr>
      <w:r>
        <w:rPr>
          <w:rFonts w:ascii="Calibri" w:cs="Calibri" w:eastAsia="Calibri" w:hAnsi="Calibri"/>
          <w:b/>
          <w:bCs/>
          <w:color w:val="1F3864"/>
          <w:sz w:val="36"/>
          <w:szCs w:val="36"/>
        </w:rPr>
        <w:t xml:space="preserve">7. Phase Exit Criteria and Per-deliverable Acceptance</w:t>
      </w:r>
    </w:p>
    <w:p>
      <w:pPr>
        <w:spacing w:after="120" w:before="0"/>
      </w:pPr>
      <w:r>
        <w:rPr>
          <w:rFonts w:ascii="Calibri" w:cs="Calibri" w:eastAsia="Calibri" w:hAnsi="Calibri"/>
          <w:color w:val="1A1A1A"/>
          <w:sz w:val="20"/>
          <w:szCs w:val="20"/>
        </w:rPr>
        <w:t xml:space="preserve">Two complementary acceptance mechanisms operate in this project. Phase exit (Section 7.1) is a coarse gate: the Project Owner approves moving from one phase to the next. Per-deliverable acceptance (Section 7.2) is finer-grained: each of the ten deliverables in Section 5 has named acceptance criteria and a named acceptor, so a phase can exit even if one deliverable is conditionally accepted.</w:t>
      </w:r>
    </w:p>
    <w:p>
      <w:pPr>
        <w:pStyle w:val="Heading2"/>
        <w:spacing w:after="140" w:before="280"/>
      </w:pPr>
      <w:r>
        <w:rPr>
          <w:rFonts w:ascii="Calibri" w:cs="Calibri" w:eastAsia="Calibri" w:hAnsi="Calibri"/>
          <w:b/>
          <w:bCs/>
          <w:color w:val="1F3864"/>
          <w:sz w:val="28"/>
          <w:szCs w:val="28"/>
        </w:rPr>
        <w:t xml:space="preserve">7.1  Phase Exit Criteria</w:t>
      </w:r>
    </w:p>
    <w:p>
      <w:pPr>
        <w:spacing w:after="120" w:before="0"/>
      </w:pPr>
      <w:r>
        <w:rPr>
          <w:rFonts w:ascii="Calibri" w:cs="Calibri" w:eastAsia="Calibri" w:hAnsi="Calibri"/>
          <w:color w:val="1A1A1A"/>
          <w:sz w:val="20"/>
          <w:szCs w:val="20"/>
        </w:rPr>
        <w:t xml:space="preserve">On completion of each phase, the Engineering Lead presents a Phase Exit pack to the Project Owner. The Project Owner approves exit in writing within five (5) business days, or rejects in writing with specific reasons identifying unmet criteria. On rejection, the build team remediates without re-opening prior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86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8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Exit Criteria</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8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reachable on our VPC; data tier Multi-AZ; first workflow executes end-to-end with audit row written; CI pipeline operational; infrastructure runbook v1 reviewed by Infrastructure Lead</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8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policyholder workflows deployed to dev; subscriber sync covers in-scope records with diff report; rendered samples for active statuses signed off by CX Lead; compliance-check stub aborts on contrived violation</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8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 insurer / ops / regulatory workflows deployed; Hindi variants exist for policyholder-facing content; per-carrier sender identity correct in audit for each of 11 carriers; localisation queue empty</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8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At least 30 lint rules enforce in CI and at workflow pre-execution; contrived non-compliant trigger aborts; audit dashboard redacts PII correctly; subject-access export endpoint returns within 60 seconds; compliance reference card produced</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8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and Karix plugins pass sandbox integration tests; failover Gupshup → MSG91 → Karix verified on contrived 5xx; production cutover plan executes against staging without errors; ops runbook signed off by Operations Lead and Infrastructure Lead</w:t>
            </w:r>
          </w:p>
        </w:tc>
      </w:tr>
    </w:tbl>
    <w:p>
      <w:pPr>
        <w:pStyle w:val="Heading2"/>
        <w:spacing w:after="140" w:before="280"/>
      </w:pPr>
      <w:r>
        <w:rPr>
          <w:rFonts w:ascii="Calibri" w:cs="Calibri" w:eastAsia="Calibri" w:hAnsi="Calibri"/>
          <w:b/>
          <w:bCs/>
          <w:color w:val="1F3864"/>
          <w:sz w:val="28"/>
          <w:szCs w:val="28"/>
        </w:rPr>
        <w:t xml:space="preserve">7.2  Per-deliverable Acceptance Criteria</w:t>
      </w:r>
    </w:p>
    <w:p>
      <w:pPr>
        <w:spacing w:after="120" w:before="0"/>
      </w:pPr>
      <w:r>
        <w:rPr>
          <w:rFonts w:ascii="Calibri" w:cs="Calibri" w:eastAsia="Calibri" w:hAnsi="Calibri"/>
          <w:color w:val="1A1A1A"/>
          <w:sz w:val="20"/>
          <w:szCs w:val="20"/>
        </w:rPr>
        <w:t xml:space="preserve">Phase exit gates the project; per-deliverable acceptance gates each artefact within a phase. Each of the ten deliverables in Section 5 is accepted by the named role-holder against the criteria below. Acceptance can be granular: a phase can exit with one deliverable conditionally accepted if the conditions are time-boxed and tracked.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900"/>
        <w:gridCol w:w="48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Deliverable</w:t>
            </w:r>
          </w:p>
        </w:tc>
        <w:tc>
          <w:tcPr>
            <w:tcW w:type="dxa" w:w="1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Accepted by</w:t>
            </w:r>
          </w:p>
        </w:tc>
        <w:tc>
          <w:tcPr>
            <w:tcW w:type="dxa" w:w="4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Done means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deployment</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Lead</w:t>
            </w:r>
          </w:p>
        </w:tc>
        <w:tc>
          <w:tcPr>
            <w:tcW w:type="dxa" w:w="4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Novu services (API, Worker, Web, Bridge) reachable on TPE VPC; Postgres + Mongo + Redis Multi-AZ healthy; daily backup verified; Client SSO operational; runbook v1 reviewed</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49 workflow definitions</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 + CX Lead</w:t>
            </w:r>
          </w:p>
        </w:tc>
        <w:tc>
          <w:tcPr>
            <w:tcW w:type="dxa" w:w="4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49 workflows merged to main, deployed to dev environment, render goldens passing for all (channel × language) combinations; CX Lead has signed off on rendered samples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MSG91 + Karix provider plugins; Gupshup native</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w:t>
            </w:r>
          </w:p>
        </w:tc>
        <w:tc>
          <w:tcPr>
            <w:tcW w:type="dxa" w:w="4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three providers send a sandbox message end-to-end; failover Gupshup → MSG91 → Karix verified on contrived 5xx; plugin docs published</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 (≥ 30 rules across 7 regimes)</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c>
          <w:tcPr>
            <w:tcW w:type="dxa" w:w="4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Rule count meets minimum; CI gate blocks PR on rule failure; pre-execution gate aborts contrived non-compliant trigger; rule-to-regime mapping document signed off</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Multi-tenant insurer registry + tenancy middleware</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4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Per-carrier sender identity correct in audit for each of 11 carriers; insurer-specific MIS template renders correctly; per-insurer brand-voice rules enforced</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Observability stack + audit dashboard</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 + Compliance Lead</w:t>
            </w:r>
          </w:p>
        </w:tc>
        <w:tc>
          <w:tcPr>
            <w:tcW w:type="dxa" w:w="4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Logs and metrics visible in Grafana / CloudWatch; audit row written for every dispatched message; PII tokenised in audit; subject-access export endpoint returns within 60 seconds; full-PII view role-gated to Compliance Lead</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7</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One-time subscriber sync with diff report</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4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Sync covers ≥ 95% of in-scope policyholder and investor records; diff report identifies the remaining records with reasons; Operations has agreed remediation path</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Documentation set (5 documents)</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 + CX Lead</w:t>
            </w:r>
          </w:p>
        </w:tc>
        <w:tc>
          <w:tcPr>
            <w:tcW w:type="dxa" w:w="4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five documents in repository; CX Lead confirms author guide is usable by a non-engineering reviewer; Operations confirms ops runbook covers the runbook scenarios in the QA strategy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9</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Test pack in CI</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Quality Lead</w:t>
            </w:r>
          </w:p>
        </w:tc>
        <w:tc>
          <w:tcPr>
            <w:tcW w:type="dxa" w:w="4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five test levels operational in CI; coverage at least at the targets in Section 10; CI gate blocks merge on red</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cutover plan + 1 week hypercare</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Project Owner</w:t>
            </w:r>
          </w:p>
        </w:tc>
        <w:tc>
          <w:tcPr>
            <w:tcW w:type="dxa" w:w="4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Cutover plan executed against staging without errors; hypercare on-call schedule published; defect SLAs (Section 10.2) honoured during the week</w:t>
            </w:r>
          </w:p>
        </w:tc>
      </w:tr>
    </w:tbl>
    <w:p>
      <w:pPr>
        <w:pStyle w:val="Heading1"/>
        <w:pageBreakBefore/>
        <w:spacing w:after="240" w:before="0"/>
      </w:pPr>
      <w:r>
        <w:rPr>
          <w:rFonts w:ascii="Calibri" w:cs="Calibri" w:eastAsia="Calibri" w:hAnsi="Calibri"/>
          <w:b/>
          <w:bCs/>
          <w:color w:val="1F3864"/>
          <w:sz w:val="36"/>
          <w:szCs w:val="36"/>
        </w:rPr>
        <w:t xml:space="preserve">8. Change Management</w:t>
      </w:r>
    </w:p>
    <w:p>
      <w:pPr>
        <w:spacing w:after="120" w:before="0"/>
      </w:pPr>
      <w:r>
        <w:rPr>
          <w:rFonts w:ascii="Calibri" w:cs="Calibri" w:eastAsia="Calibri" w:hAnsi="Calibri"/>
          <w:color w:val="1A1A1A"/>
          <w:sz w:val="20"/>
          <w:szCs w:val="20"/>
        </w:rPr>
        <w:t xml:space="preserve">Changes to the scope, deliverables, timeline or team allocation in this charter are recorded as written Change Requests, decided by the Project Owner. A Change Request describes the change, its impact on scope, deliverables, timeline and team capacity, and identifies the trade-off being made (what gives way to absorb the change). Verbal agreements and informal requests do not constitute Change Requests.</w:t>
      </w:r>
    </w:p>
    <w:p>
      <w:pPr>
        <w:spacing w:after="120" w:before="0"/>
      </w:pPr>
      <w:r>
        <w:rPr>
          <w:rFonts w:ascii="Calibri" w:cs="Calibri" w:eastAsia="Calibri" w:hAnsi="Calibri"/>
          <w:color w:val="1A1A1A"/>
          <w:sz w:val="20"/>
          <w:szCs w:val="20"/>
        </w:rPr>
        <w:t xml:space="preserve">Approval thresholds: changes affecting one team or one phase are approved by the Project Owner alone. Changes affecting two or more teams, or extending the calendar timeline by more than one week, are approved by the Executive Sponsor. Changes that introduce new audiences, channels or regulatory regimes — i.e. anything in Section 4.12 (Out of Scope) — require Executive Sponsor approval and trigger a charter revision.</w:t>
      </w:r>
    </w:p>
    <w:p>
      <w:pPr>
        <w:pStyle w:val="Heading1"/>
        <w:pageBreakBefore/>
        <w:spacing w:after="240" w:before="0"/>
      </w:pPr>
      <w:r>
        <w:rPr>
          <w:rFonts w:ascii="Calibri" w:cs="Calibri" w:eastAsia="Calibri" w:hAnsi="Calibri"/>
          <w:b/>
          <w:bCs/>
          <w:color w:val="1F3864"/>
          <w:sz w:val="36"/>
          <w:szCs w:val="36"/>
        </w:rPr>
        <w:t xml:space="preserve">9. Risks and Mitigations</w:t>
      </w:r>
    </w:p>
    <w:p>
      <w:pPr>
        <w:spacing w:after="120" w:before="0"/>
      </w:pPr>
      <w:r>
        <w:rPr>
          <w:rFonts w:ascii="Calibri" w:cs="Calibri" w:eastAsia="Calibri" w:hAnsi="Calibri"/>
          <w:color w:val="1A1A1A"/>
          <w:sz w:val="20"/>
          <w:szCs w:val="20"/>
        </w:rPr>
        <w:t xml:space="preserve">Top risks tracked at project level. Lower-level engineering risks are managed in the engineering risk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300"/>
        <w:gridCol w:w="1300"/>
        <w:gridCol w:w="21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Risk</w:t>
            </w:r>
          </w:p>
        </w:tc>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Likelihood</w:t>
            </w:r>
          </w:p>
        </w:tc>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Impact</w:t>
            </w:r>
          </w:p>
        </w:tc>
        <w:tc>
          <w:tcPr>
            <w:tcW w:type="dxa" w:w="21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Mitigation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bandwidth shortfall (CX, Compliance, Brand) delays PR review queue</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Standing weekly slot blocked in calendars; bot-rendered preview attached to PRs; pre-approved disclaimer modules</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registration or BSP credentials slip past Phase 5 start</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begins registration in Phase 1; phase-shift if not ready by Phase 5 kick-off</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MSG91 or Karix provider plugin defect surfaces in production</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L5 sandbox tests in P5; canary deploy; failover to next provider in chain</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Customer-data store schema unstable or under-documented</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sync produces a diff report; non-conforming rows flagged; mapping documented before P2 exit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violation in active workflow post go-live</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Two-layer enforcement (CI + pre-execution); audit trail; runbook for hot-fix</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Region (ap-south-1) outage during build or post-launch</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Multi-AZ within region; documented RPO 24h / RTO 4h; cross-region DR planned for v2</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R7</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Scope creep — unplanned new triggers, channels, audiences mid-build</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Strict Section 8 change-management; trade-offs surfaced explicitly to Project Owner</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R8</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premium-default rate does not improve at 6 months</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If cadence + content + dispatch all working as designed, root cause is non-comms; document and re-scope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R9</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 breaking change between pinned and target version</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 to tested major; quarterly upgrade window; track upstream advisories</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R10</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Rules issued post-charter impose new obligations</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supports rule additions via lint config; structural impact handled as Change Request</w:t>
            </w:r>
          </w:p>
        </w:tc>
      </w:tr>
    </w:tbl>
    <w:p>
      <w:pPr>
        <w:pStyle w:val="Heading1"/>
        <w:pageBreakBefore/>
        <w:spacing w:after="240" w:before="0"/>
      </w:pPr>
      <w:r>
        <w:rPr>
          <w:rFonts w:ascii="Calibri" w:cs="Calibri" w:eastAsia="Calibri" w:hAnsi="Calibri"/>
          <w:b/>
          <w:bCs/>
          <w:color w:val="1F3864"/>
          <w:sz w:val="36"/>
          <w:szCs w:val="36"/>
        </w:rPr>
        <w:t xml:space="preserve">10. Quality Assurance and Testing Strategy</w:t>
      </w:r>
    </w:p>
    <w:p>
      <w:pPr>
        <w:spacing w:after="120" w:before="0"/>
      </w:pPr>
      <w:r>
        <w:rPr>
          <w:rFonts w:ascii="Calibri" w:cs="Calibri" w:eastAsia="Calibri" w:hAnsi="Calibri"/>
          <w:color w:val="1A1A1A"/>
          <w:sz w:val="20"/>
          <w:szCs w:val="20"/>
        </w:rPr>
        <w:t xml:space="preserve">Quality is engineered through layered automated tests and a defined defect SLA. Each of the five test levels below catches a different class of defect; together they form the engineering substrate of the per-deliverable acceptance criteria in Section 7.2. The test pack itself is Deliverable 9 (Section 5). Coverage targets and defect SLAs in this section are contractual within the project.</w:t>
      </w:r>
    </w:p>
    <w:p>
      <w:pPr>
        <w:pStyle w:val="Heading2"/>
        <w:spacing w:after="140" w:before="280"/>
      </w:pPr>
      <w:r>
        <w:rPr>
          <w:rFonts w:ascii="Calibri" w:cs="Calibri" w:eastAsia="Calibri" w:hAnsi="Calibri"/>
          <w:b/>
          <w:bCs/>
          <w:color w:val="1F3864"/>
          <w:sz w:val="28"/>
          <w:szCs w:val="28"/>
        </w:rPr>
        <w:t xml:space="preserve">10.1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2000"/>
        <w:gridCol w:w="20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Level</w:t>
            </w:r>
          </w:p>
        </w:tc>
        <w:tc>
          <w:tcPr>
            <w:tcW w:type="dxa" w:w="4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Catches</w:t>
            </w:r>
          </w:p>
        </w:tc>
        <w:tc>
          <w:tcPr>
            <w:tcW w:type="dxa" w:w="2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Where it runs</w:t>
            </w:r>
          </w:p>
        </w:tc>
        <w:tc>
          <w:tcPr>
            <w:tcW w:type="dxa" w:w="2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Coverage target</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L1 Schema (Zod)</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payload schema, subscriber data shape, registry shape</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Pre-commit + CI on every PR</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of workflows + registry</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L2 Compliance lint</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IRDAI, WA-BSP, DPDPA, FATCA, TDS, brand rule violations on rendered samples</w:t>
            </w:r>
          </w:p>
        </w:tc>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on every PR + runtime pre-execution</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30+ rules; every workflow</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L3 Render goldens</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Channel-render regressions: char limits, button schema, encoding, language</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on every PR</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(workflow × channel × language)</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L4 Workflow execution</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 ordering, delays, branch logic, abort semantics, audit emission</w:t>
            </w:r>
          </w:p>
        </w:tc>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Representative subset on every PR; full pack nightly</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workflows in nightly</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L5 Provider plugin</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MSG91 / Karix plugin behaviour: payload mapping, error handling, retry, DLT pass-through</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 sandbox integration before P5 cutover</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plugin code paths</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L6 End-to-end sandbox</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 lint → workflow → provider dispatch → audit, on real sandbox accounts</w:t>
            </w:r>
          </w:p>
        </w:tc>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 before any production release</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Representative path per audience group</w:t>
            </w:r>
          </w:p>
        </w:tc>
      </w:tr>
    </w:tbl>
    <w:p>
      <w:pPr>
        <w:pStyle w:val="Heading2"/>
        <w:spacing w:after="140" w:before="280"/>
      </w:pPr>
      <w:r>
        <w:rPr>
          <w:rFonts w:ascii="Calibri" w:cs="Calibri" w:eastAsia="Calibri" w:hAnsi="Calibri"/>
          <w:b/>
          <w:bCs/>
          <w:color w:val="1F3864"/>
          <w:sz w:val="28"/>
          <w:szCs w:val="28"/>
        </w:rPr>
        <w:t xml:space="preserve">10.2  Defect Severity and Response SLAs</w:t>
      </w:r>
    </w:p>
    <w:p>
      <w:pPr>
        <w:spacing w:after="120" w:before="0"/>
      </w:pPr>
      <w:r>
        <w:rPr>
          <w:rFonts w:ascii="Calibri" w:cs="Calibri" w:eastAsia="Calibri" w:hAnsi="Calibri"/>
          <w:color w:val="1A1A1A"/>
          <w:sz w:val="20"/>
          <w:szCs w:val="20"/>
        </w:rPr>
        <w:t xml:space="preserve">During build (P1–P5) and hypercare (week post-launch), the build team is on the hook for the SLAs below. After hypercare, post-implementation support SLAs (Section 12) take 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1500"/>
        <w:gridCol w:w="17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Severity</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Definition</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Response</w:t>
            </w:r>
          </w:p>
        </w:tc>
        <w:tc>
          <w:tcPr>
            <w:tcW w:type="dxa" w:w="1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Resolution</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violation in production, PII data leak, Novu service outage, all-channel dispatch failure for a high-impact moment (PH-10 Disbursement, INV-08 T-day, INV-12 Maturity, REG-01 IRDAI filing)</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hour</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business day; rollback if needed</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Sev-2</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workflow broken (cannot dispatch); provider plugin failure cascade; statutory deliverable delivery failure; missing Approved confirmation on closure paths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hours</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business day</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Sev-3</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workflow flawed but still dispatching (typo, mild wording, missing optional field); template rejection from BSP; cosmetic audit-dashboard issue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business day</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sprint (≤ 2 weeks)</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Sev-4</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Cosmetic, documentation, or non-active workflow; nice-to-have improvements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sprint</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Backlog</w:t>
            </w:r>
          </w:p>
        </w:tc>
      </w:tr>
    </w:tbl>
    <w:p>
      <w:pPr>
        <w:pStyle w:val="Heading1"/>
        <w:pageBreakBefore/>
        <w:spacing w:after="240" w:before="0"/>
      </w:pPr>
      <w:r>
        <w:rPr>
          <w:rFonts w:ascii="Calibri" w:cs="Calibri" w:eastAsia="Calibri" w:hAnsi="Calibri"/>
          <w:b/>
          <w:bCs/>
          <w:color w:val="1F3864"/>
          <w:sz w:val="36"/>
          <w:szCs w:val="36"/>
        </w:rPr>
        <w:t xml:space="preserve">11. Security and Privacy Framework</w:t>
      </w:r>
    </w:p>
    <w:p>
      <w:pPr>
        <w:spacing w:after="120" w:before="0"/>
      </w:pPr>
      <w:r>
        <w:rPr>
          <w:rFonts w:ascii="Calibri" w:cs="Calibri" w:eastAsia="Calibri" w:hAnsi="Calibri"/>
          <w:color w:val="1A1A1A"/>
          <w:sz w:val="20"/>
          <w:szCs w:val="20"/>
        </w:rPr>
        <w:t xml:space="preserve">Self-hosting Novu in India makes the security posture TPE-controlled. This section identifies the data classes processed, the controls applied to each, and the alignment to the Digital Personal Data Protection Act, 2023 (DPDPA). Detailed control implementations, encryption configurations, IAM policies, and rotation procedures are in the Infrastructure Runbook deliverable; this section is the SOW-level statement.</w:t>
      </w:r>
    </w:p>
    <w:p>
      <w:pPr>
        <w:pStyle w:val="Heading2"/>
        <w:spacing w:after="140" w:before="280"/>
      </w:pPr>
      <w:r>
        <w:rPr>
          <w:rFonts w:ascii="Calibri" w:cs="Calibri" w:eastAsia="Calibri" w:hAnsi="Calibri"/>
          <w:b/>
          <w:bCs/>
          <w:color w:val="1F3864"/>
          <w:sz w:val="28"/>
          <w:szCs w:val="28"/>
        </w:rPr>
        <w:t xml:space="preserve">11.1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2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Class</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Examples in this system</w:t>
            </w:r>
          </w:p>
        </w:tc>
        <w:tc>
          <w:tcPr>
            <w:tcW w:type="dxa" w:w="4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Handling rule</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 High</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ph_name, ph_phone, ph_email, inv_name, PAN, bank_last4, account number</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Stored in Postgres subscribers; tokenised in audit; never plain in logs; HTTPS only in transit; encrypted at rest with TPE KMS keys</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 Medium</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policy_no, premium_amount, due_date, surrender_value, investment_amount</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Encrypted at rest; least-privilege access; redact in screenshots and dashboards</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workflow_id, execution_id, status, trigger_payload_hash, retry_count</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safe to log; included in audit</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confidential</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Disclaimer texts, brand-voice rules, insurer registry entries, lint-rule definitions</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Internal-only; in repo; not for external comms</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credentials</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 MSG91, Karix API keys; SMTP credentials; database connection strings</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Secrets Manager only; never in repo; never in env vars outside deployment pipeline; rotated per provider policy</w:t>
            </w:r>
          </w:p>
        </w:tc>
      </w:tr>
    </w:tbl>
    <w:p>
      <w:pPr>
        <w:pStyle w:val="Heading2"/>
        <w:spacing w:after="140" w:before="280"/>
      </w:pPr>
      <w:r>
        <w:rPr>
          <w:rFonts w:ascii="Calibri" w:cs="Calibri" w:eastAsia="Calibri" w:hAnsi="Calibri"/>
          <w:b/>
          <w:bCs/>
          <w:color w:val="1F3864"/>
          <w:sz w:val="28"/>
          <w:szCs w:val="28"/>
        </w:rPr>
        <w:t xml:space="preserve">11.2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Control area</w:t>
            </w:r>
          </w:p>
        </w:tc>
        <w:tc>
          <w:tcPr>
            <w:tcW w:type="dxa" w:w="7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Treatment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Access control</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Role-based: workflow-author / reviewer / operator / compliance / admin; least-privilege; reviewed quarterly. SSO via TPE identity provider; MFA mandatory for reviewer / compliance / admin</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Authentication</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SSO (SAML / OIDC) into Novu Web; service-to-service via mutual TLS or signed tokens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Authorisation gates</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Merge-to-main on workflow repo requires CODEOWNERS approval from Compliance + Brand for content changes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Encryption — transit</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TLS 1.2+ between every component within and outside the VPC; certificate-pinned for BSP API calls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Encryption — rest</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RDS, Mongo, Redis encrypted at rest with TPE KMS keys; backups encrypted; key rotation per TPE policy</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Secret management</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Secrets Manager; rotation runbook documented; no secrets in repo; no secrets in environment variables outside deployment pipeline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Network</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VPC-resident; private subnets for app and data tiers; NAT-egress for BSP calls; no inbound from BSPs except via API Gateway with HMAC verification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log</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Append-only Postgres table + S3 Parquet daily export; PII tokenised; tamper-evident via hash chain (v2 roadmap)</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minimisation</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Subscribers carry minimum required attributes; trigger payloads hashed in audit; full PII resolved only at render time</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Backup &amp; recovery</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RDS / Mongo snapshots; weekly full DB exports to S3; documented RPO 24h / RTO 4h; quarterly recovery test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Vulnerability management</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dependency scan; Novu upstream tracked for security advisories; security review at every major version upgrade</w:t>
            </w:r>
          </w:p>
        </w:tc>
      </w:tr>
    </w:tbl>
    <w:p>
      <w:pPr>
        <w:pStyle w:val="Heading2"/>
        <w:spacing w:after="140" w:before="280"/>
      </w:pPr>
      <w:r>
        <w:rPr>
          <w:rFonts w:ascii="Calibri" w:cs="Calibri" w:eastAsia="Calibri" w:hAnsi="Calibri"/>
          <w:b/>
          <w:bCs/>
          <w:color w:val="1F3864"/>
          <w:sz w:val="28"/>
          <w:szCs w:val="28"/>
        </w:rPr>
        <w:t xml:space="preserve">11.3  DPDPA Alignment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DPDPA principle</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How this system aligns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Lawful processing</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Workflows tagged by complianceClass; lint blocks promotional dispatch without consent reference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Purpose limitation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Workflow-as-code makes intent explicit and reviewable; reuse audited at PR time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minimisation</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Subscribers carry minimum required attributes; payloads hashed in audit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Storage limitation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retention tiers (12 months hot, 5 years warm, 8 years cold); subscriber data per TPE policy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Accuracy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sync from system of record; fallbacks prevent broken renders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Notice and consent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Opt-out wiring on every promotional workflow; opt-out persisted in subscriber preferences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Rights of data principals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Subject-access via audit-export endpoint; deletion via subscriber-delete propagating to audit hash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Cross-border transfer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Avoided in normal operation — all PII resident in India VPC; provider egress limited to message-content + DLT IDs only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Breach notification</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Incident runbook covers detection → escalation → Data Protection Board notification per DPDPA</w:t>
            </w:r>
          </w:p>
        </w:tc>
      </w:tr>
    </w:tbl>
    <w:p>
      <w:pPr>
        <w:pStyle w:val="Heading1"/>
        <w:pageBreakBefore/>
        <w:spacing w:after="240" w:before="0"/>
      </w:pPr>
      <w:r>
        <w:rPr>
          <w:rFonts w:ascii="Calibri" w:cs="Calibri" w:eastAsia="Calibri" w:hAnsi="Calibri"/>
          <w:b/>
          <w:bCs/>
          <w:color w:val="1F3864"/>
          <w:sz w:val="36"/>
          <w:szCs w:val="36"/>
        </w:rPr>
        <w:t xml:space="preserve">12. Service Level Agreements</w:t>
      </w:r>
    </w:p>
    <w:p>
      <w:pPr>
        <w:spacing w:after="120" w:before="0"/>
      </w:pPr>
      <w:r>
        <w:rPr>
          <w:rFonts w:ascii="Calibri" w:cs="Calibri" w:eastAsia="Calibri" w:hAnsi="Calibri"/>
          <w:color w:val="1A1A1A"/>
          <w:sz w:val="20"/>
          <w:szCs w:val="20"/>
        </w:rPr>
        <w:t xml:space="preserve">This section specifies operational SLAs for the running system after go-live. Defect SLAs during build and hypercare are in Section 10.2; cross-team review SLAs during build are in the Phase Exit criteria of Section 7. Operational SLAs below take effect at production cutover and apply through the post-implementation support window.</w:t>
      </w:r>
    </w:p>
    <w:p>
      <w:pPr>
        <w:pStyle w:val="Heading2"/>
        <w:spacing w:after="140" w:before="280"/>
      </w:pPr>
      <w:r>
        <w:rPr>
          <w:rFonts w:ascii="Calibri" w:cs="Calibri" w:eastAsia="Calibri" w:hAnsi="Calibri"/>
          <w:b/>
          <w:bCs/>
          <w:color w:val="1F3864"/>
          <w:sz w:val="28"/>
          <w:szCs w:val="28"/>
        </w:rPr>
        <w:t xml:space="preserve">12.1  Platform Operational SLAs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400"/>
        <w:gridCol w:w="20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Metric</w:t>
            </w:r>
          </w:p>
        </w:tc>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Measurement</w:t>
            </w:r>
          </w:p>
        </w:tc>
        <w:tc>
          <w:tcPr>
            <w:tcW w:type="dxa" w:w="2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API availability (95th percentile)</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99.5% per calendar month</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Synthetic health-check from outside VPC, 1-minute interval</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Lead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trigger → first-channel dispatch (p95 latency)</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30 seconds for transactional workflows; ≤ 5 minutes for digest</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timestamp delta</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OTP delivery (PH-02, INV-02 — Sev-1 path)</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p95 ≤ 10 seconds end-to-end (trigger → SMS arrival)</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OTP audit + provider receipt</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row written per dispatched message</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Reconcile audit count vs dispatch count daily</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Subject-access export endpoint response</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60 seconds for any subscriber</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Endpoint timing + audit</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Backup recovery test</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Pass quarterly</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drill log</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Lead</w:t>
            </w:r>
          </w:p>
        </w:tc>
      </w:tr>
    </w:tbl>
    <w:p>
      <w:pPr>
        <w:pStyle w:val="Heading2"/>
        <w:spacing w:after="140" w:before="280"/>
      </w:pPr>
      <w:r>
        <w:rPr>
          <w:rFonts w:ascii="Calibri" w:cs="Calibri" w:eastAsia="Calibri" w:hAnsi="Calibri"/>
          <w:b/>
          <w:bCs/>
          <w:color w:val="1F3864"/>
          <w:sz w:val="28"/>
          <w:szCs w:val="28"/>
        </w:rPr>
        <w:t xml:space="preserve">12.2  Channel Provider SLAs (provider-side, monitored by 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44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Provider-reported SLA</w:t>
            </w:r>
          </w:p>
        </w:tc>
        <w:tc>
          <w:tcPr>
            <w:tcW w:type="dxa" w:w="3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Failover trigger</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via Gupshup / MSG91 / Karix</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SLAs are 99.5% delivery for transactional in normal conditions</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Three consecutive 5xx within 60 seconds OR p95 latency &gt; 60s for 5 minutes</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via BSP → Cloud API</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Meta WA Cloud API SLA per BSP contract</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Three consecutive provider 5xx OR template-rejection rate &gt; 5% over 100 sends</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via SMTP relay</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relay contract</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Two consecutive bounces of same type</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RCS via Gupshup</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Best-effort — carrier-dependent</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Failover to SMS for that workflow execution</w:t>
            </w:r>
          </w:p>
        </w:tc>
      </w:tr>
    </w:tbl>
    <w:p>
      <w:pPr>
        <w:pStyle w:val="Heading2"/>
        <w:spacing w:after="140" w:before="280"/>
      </w:pPr>
      <w:r>
        <w:rPr>
          <w:rFonts w:ascii="Calibri" w:cs="Calibri" w:eastAsia="Calibri" w:hAnsi="Calibri"/>
          <w:b/>
          <w:bCs/>
          <w:color w:val="1F3864"/>
          <w:sz w:val="28"/>
          <w:szCs w:val="28"/>
        </w:rPr>
        <w:t xml:space="preserve">12.3  Cross-team Review SLAs (during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24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Review type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Reviewer</w:t>
            </w:r>
          </w:p>
        </w:tc>
        <w:tc>
          <w:tcPr>
            <w:tcW w:type="dxa" w:w="3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 turnaround</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content PR (CX + Brand)</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Lead + Brand Reviewer</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business days</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rule PR or compliance-classification change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business days</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change (IaC, secrets, IAM)</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Lead</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business days</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Exit Acceptance Notice (Section 7)</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Project Owner</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business days; deemed accepted on day 6</w:t>
            </w:r>
          </w:p>
        </w:tc>
      </w:tr>
    </w:tbl>
    <w:p>
      <w:pPr>
        <w:pStyle w:val="Heading1"/>
        <w:pageBreakBefore/>
        <w:spacing w:after="240" w:before="0"/>
      </w:pPr>
      <w:r>
        <w:rPr>
          <w:rFonts w:ascii="Calibri" w:cs="Calibri" w:eastAsia="Calibri" w:hAnsi="Calibri"/>
          <w:b/>
          <w:bCs/>
          <w:color w:val="1F3864"/>
          <w:sz w:val="36"/>
          <w:szCs w:val="36"/>
        </w:rPr>
        <w:t xml:space="preserve">13. Effort Estimation and Indicative Budget</w:t>
      </w:r>
    </w:p>
    <w:p>
      <w:pPr>
        <w:spacing w:after="120" w:before="0"/>
      </w:pPr>
      <w:r>
        <w:rPr>
          <w:rFonts w:ascii="Calibri" w:cs="Calibri" w:eastAsia="Calibri" w:hAnsi="Calibri"/>
          <w:color w:val="1A1A1A"/>
          <w:sz w:val="20"/>
          <w:szCs w:val="20"/>
        </w:rPr>
        <w:t xml:space="preserve">Section 6 lays out elapsed calendar time (six weeks plus one week hypercare). This section translates that into person-time and indicative loaded cost. These figures are for internal budget alignment and are not externally committed; the actual resource plan is owned by the Engineering Lead in a separate document.</w:t>
      </w:r>
    </w:p>
    <w:p>
      <w:pPr>
        <w:pStyle w:val="Heading2"/>
        <w:spacing w:after="140" w:before="280"/>
      </w:pPr>
      <w:r>
        <w:rPr>
          <w:rFonts w:ascii="Calibri" w:cs="Calibri" w:eastAsia="Calibri" w:hAnsi="Calibri"/>
          <w:b/>
          <w:bCs/>
          <w:color w:val="1F3864"/>
          <w:sz w:val="28"/>
          <w:szCs w:val="28"/>
        </w:rPr>
        <w:t xml:space="preserve">13.1  Person-Effort by Function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5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Function</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FTE-weeks</w:t>
            </w:r>
          </w:p>
        </w:tc>
        <w:tc>
          <w:tcPr>
            <w:tcW w:type="dxa" w:w="4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Backend Engineering</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 (2 engineers × 6 weeks)</w:t>
            </w:r>
          </w:p>
        </w:tc>
        <w:tc>
          <w:tcPr>
            <w:tcW w:type="dxa" w:w="4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authoring, custom Novu provider plugins, compliance middleware, multi-tenant routing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 DevOps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(1 engineer at ≈50%)</w:t>
            </w:r>
          </w:p>
        </w:tc>
        <w:tc>
          <w:tcPr>
            <w:tcW w:type="dxa" w:w="4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deployment, CI/CD, observability, secrets management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Quality Engineering</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(1 engineer at ≈50%)</w:t>
            </w:r>
          </w:p>
        </w:tc>
        <w:tc>
          <w:tcPr>
            <w:tcW w:type="dxa" w:w="4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Schema, lint, render goldens, workflow execution and end-to-end tests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Lead reviews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(≈4h/week × 6 weeks + cutover)</w:t>
            </w:r>
          </w:p>
        </w:tc>
        <w:tc>
          <w:tcPr>
            <w:tcW w:type="dxa" w:w="4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content review on PRs, brand sign-off</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 reviews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(≈4h/week × 6 weeks + cutover)</w:t>
            </w:r>
          </w:p>
        </w:tc>
        <w:tc>
          <w:tcPr>
            <w:tcW w:type="dxa" w:w="4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Lint-rule definition, disclaimer maintenance, regulatory sign-off</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Reviewer</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(continuous, light)</w:t>
            </w:r>
          </w:p>
        </w:tc>
        <w:tc>
          <w:tcPr>
            <w:tcW w:type="dxa" w:w="4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Per-workflow brand-voice sign-off</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 inputs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0.5</w:t>
            </w:r>
          </w:p>
        </w:tc>
        <w:tc>
          <w:tcPr>
            <w:tcW w:type="dxa" w:w="4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registry inputs, day-two operations transition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Project Owner / Engineering Lead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(oversight)</w:t>
            </w:r>
          </w:p>
        </w:tc>
        <w:tc>
          <w:tcPr>
            <w:tcW w:type="dxa" w:w="4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exits, change-management, escalation</w:t>
            </w:r>
          </w:p>
        </w:tc>
      </w:tr>
      <w:t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person-weeks</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 24.5</w:t>
            </w:r>
          </w:p>
        </w:tc>
        <w:tc>
          <w:tcPr>
            <w:tcW w:type="dxa" w:w="4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Equivalent to ≈ 5.6 FTE-months at 80% utilisation</w:t>
            </w:r>
          </w:p>
        </w:tc>
      </w:tr>
    </w:tbl>
    <w:p>
      <w:pPr>
        <w:pStyle w:val="Heading2"/>
        <w:spacing w:after="140" w:before="280"/>
      </w:pPr>
      <w:r>
        <w:rPr>
          <w:rFonts w:ascii="Calibri" w:cs="Calibri" w:eastAsia="Calibri" w:hAnsi="Calibri"/>
          <w:b/>
          <w:bCs/>
          <w:color w:val="1F3864"/>
          <w:sz w:val="28"/>
          <w:szCs w:val="28"/>
        </w:rPr>
        <w:t xml:space="preserve">13.2  Indicative Budget Envelope (loaded cost)</w:t>
      </w:r>
    </w:p>
    <w:p>
      <w:pPr>
        <w:spacing w:after="120" w:before="0"/>
      </w:pPr>
      <w:r>
        <w:rPr>
          <w:rFonts w:ascii="Calibri" w:cs="Calibri" w:eastAsia="Calibri" w:hAnsi="Calibri"/>
          <w:color w:val="1A1A1A"/>
          <w:sz w:val="20"/>
          <w:szCs w:val="20"/>
        </w:rPr>
        <w:t xml:space="preserve">The figures below are indicative for internal planning. Actual costs depend on the specific personnel allocated and prevailing loaded-cost rates at TPE. Replace the placeholder loaded-cost rate with the actual figure from Finance before this charter is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40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Cost head</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Quantum</w:t>
            </w:r>
          </w:p>
        </w:tc>
        <w:tc>
          <w:tcPr>
            <w:tcW w:type="dxa" w:w="4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loaded cost</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5.6 FTE-months × [INR loaded cost / FTE-month]</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Backend + Infra + QA + oversight per Section 13.1</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time (CX, Compliance, Brand, Ops, Lead)</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6.5 FTE-weeks × [INR loaded cost / week]</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Counted as Client-internal time, not engineering build cost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Cloud infrastructure (AWS Mumbai — dev + staging + prod)</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 month × build period + first 12 months]</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Multi-AZ Postgres + Mongo + Redis + ECS/EKS; sized per Section 4.8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Channel-provider commercials (Gupshup / MSG91 / Karix / BSP)</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 month at expected volume]</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and Partnerships own the commercial relationships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Contingency (10–15% of build cost)</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10–15% of engineering loaded cost</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contingency for first-of-its-kind delivery</w:t>
            </w:r>
          </w:p>
        </w:tc>
      </w:tr>
    </w:tbl>
    <w:p>
      <w:pPr>
        <w:spacing w:after="120" w:before="0"/>
      </w:pPr>
      <w:r>
        <w:rPr>
          <w:rFonts w:ascii="Calibri" w:cs="Calibri" w:eastAsia="Calibri" w:hAnsi="Calibri"/>
          <w:i/>
          <w:iCs/>
          <w:color w:val="808080"/>
          <w:sz w:val="18"/>
          <w:szCs w:val="18"/>
        </w:rPr>
        <w:t xml:space="preserve">Placeholders in square brackets above must be filled by Finance before this Charter is approved. The Engineering Lead provides the engineering loaded-cost calculation; Infrastructure Lead provides cloud costs; Operations Lead provides channel-provider commercials.</w:t>
      </w:r>
    </w:p>
    <w:p>
      <w:pPr>
        <w:pStyle w:val="Heading1"/>
        <w:pageBreakBefore/>
        <w:spacing w:after="240" w:before="0"/>
      </w:pPr>
      <w:r>
        <w:rPr>
          <w:rFonts w:ascii="Calibri" w:cs="Calibri" w:eastAsia="Calibri" w:hAnsi="Calibri"/>
          <w:b/>
          <w:bCs/>
          <w:color w:val="1F3864"/>
          <w:sz w:val="36"/>
          <w:szCs w:val="36"/>
        </w:rPr>
        <w:t xml:space="preserve">14. Glossary</w:t>
      </w:r>
    </w:p>
    <w:p>
      <w:pPr>
        <w:spacing w:after="120" w:before="0"/>
      </w:pPr>
      <w:r>
        <w:rPr>
          <w:rFonts w:ascii="Calibri" w:cs="Calibri" w:eastAsia="Calibri" w:hAnsi="Calibri"/>
          <w:color w:val="1A1A1A"/>
          <w:sz w:val="20"/>
          <w:szCs w:val="20"/>
        </w:rPr>
        <w:t xml:space="preserve">Defined terms used in this Charter. Where a term is not defined here but is in capitalised form, its meaning is taken from the relevant statute or industry standard.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Term</w:t>
            </w:r>
          </w:p>
        </w:tc>
        <w:tc>
          <w:tcPr>
            <w:tcW w:type="dxa" w:w="7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Meaning</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ap-south-1</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Mumbai region; the default India-resident hosting region for the self-hosted Novu deployment</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 Solution Provider — Meta-authorised reseller for WhatsApp Business Cloud API (e.g. Gupshup, Karix, MSG91)</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CKYC</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Central KYC — the centralised KYC repository operated by CERSAI under PMLA</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Distributed Ledger Technology — the TRAI mandate for SMS sender registration in India; in practice refers to Principal Entity ID (PE ID) and Template ID assignment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Digital Personal Data Protection Act, 2023 — India’s primary data-protection statute</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Foreign Account Tax Compliance Act — US legislation requiring reporting on US-person investors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FTE</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Full-Time Equivalent — unit of person-effort used in Section 13</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IaC</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as Code — Terraform / Helm definitions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Regulatory and Development Authority of India</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KMS</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Key Management Service — e.g. AWS KMS, used for at-rest encryption keys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MFA</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Multi-factor authentication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Management Information System — in this Charter, refers to the Excel-based remittance reconciliation reports we send to insurer partners (INS-02)</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Multi-AZ</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deployment topology spanning two or more Availability Zones within a region for high availability</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NOC</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No-Objection Certificate — issued by an insurer to confirm assignment is recorded and unobjected</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Open-source / source-available notification infrastructure platform (novu.co) on which this system is built</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Bridge</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Component that synchronises workflow code from the Client repository into the running Novu instance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Framework</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TypeScript SDK in which workflows are authored as code; deployed via Novu Bridge</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OIDC</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OpenID Connect — federated identity protocol used for SSO</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PAN</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Permanent Account Number — Indian Income Tax Department identifier</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 ID</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Principal Entity ID — the DLT registration identifier required on every transactional / promotional SMS in India</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Personally Identifiable Information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PMLA</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Prevention of Money Laundering Act, 2002</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RBAC</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Role-Based Access Control</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RCS</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Rich Communication Services — the SMS-successor messaging standard</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RPO / RTO</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Recovery Point Objective / Recovery Time Objective — backup-recovery targets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SAML</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Security Assertion Markup Language — federated identity protocol used for SSO</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SAR</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Subject Access Request — a data-principal request under DPDPA</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 2 / 3 / 4</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Defect severity levels (Section 10.2)</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Service Level Agreement (Section 12)</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SSO</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Single Sign-On</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Novu’s representation of a recipient (policyholder, investor, partner contact, internal user); carries channel addresses and per-channel preferences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Tax Deducted at Source — under the Income Tax Act, 1961</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The Policy Exchange — operating brand of Fairvalue Insuretech Pvt. Ltd.</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Telecom Regulatory Authority of India</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UTR</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Unique Transaction Reference — the bank-issued reference for a successful interbank transfer</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WA Cloud API</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Business Cloud API; since 23 Oct 2025 the only supported WhatsApp Business API path, accessed via a BSP</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BSP category</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Marketing / Utility / Authentication — Meta’s template categorisation that gates send eligibility</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 Novu, a TypeScript-defined unit that ties a trigger payload to channel steps, cadence and provider routing</w:t>
            </w:r>
          </w:p>
        </w:tc>
      </w:tr>
    </w:tbl>
    <w:p>
      <w:pPr>
        <w:pStyle w:val="Heading1"/>
        <w:pageBreakBefore/>
        <w:spacing w:after="240" w:before="0"/>
      </w:pPr>
      <w:r>
        <w:rPr>
          <w:rFonts w:ascii="Calibri" w:cs="Calibri" w:eastAsia="Calibri" w:hAnsi="Calibri"/>
          <w:b/>
          <w:bCs/>
          <w:color w:val="1F3864"/>
          <w:sz w:val="36"/>
          <w:szCs w:val="36"/>
        </w:rPr>
        <w:t xml:space="preserve">15. Charter Approval</w:t>
      </w:r>
    </w:p>
    <w:p>
      <w:pPr>
        <w:spacing w:after="120" w:before="0"/>
      </w:pPr>
      <w:r>
        <w:rPr>
          <w:rFonts w:ascii="Calibri" w:cs="Calibri" w:eastAsia="Calibri" w:hAnsi="Calibri"/>
          <w:color w:val="1A1A1A"/>
          <w:sz w:val="20"/>
          <w:szCs w:val="20"/>
        </w:rPr>
        <w:t xml:space="preserve">By internal sign-off below, the named role-holders approve this charter as the authoritative scope and ownership document for the TPE Communication System initiative. This is an internal approval, not a contract; commitment of external resources (vendors, channel providers, BSP) is handled through the company’s normal procurement and contracting processes.</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FBFBF" w:sz="4"/>
              <w:left w:val="single" w:color="BFBFBF" w:sz="4"/>
              <w:bottom w:val="single" w:color="BFBFBF" w:sz="4"/>
              <w:right w:val="single" w:color="BFBFBF" w:sz="4"/>
            </w:tcBorders>
            <w:tcMar>
              <w:top w:type="dxa" w:w="200"/>
              <w:left w:type="dxa" w:w="240"/>
              <w:bottom w:type="dxa" w:w="200"/>
              <w:right w:type="dxa" w:w="240"/>
            </w:tcMar>
            <w:vAlign w:val="top"/>
          </w:tcPr>
          <w:p>
            <w:pPr>
              <w:spacing w:after="100"/>
              <w:jc w:val="center"/>
            </w:pPr>
            <w:r>
              <w:rPr>
                <w:rFonts w:ascii="Calibri" w:cs="Calibri" w:eastAsia="Calibri" w:hAnsi="Calibri"/>
                <w:b/>
                <w:bCs/>
                <w:caps/>
                <w:color w:val="808080"/>
                <w:sz w:val="14"/>
                <w:szCs w:val="14"/>
              </w:rPr>
              <w:t xml:space="preserve">APPROVED BY</w:t>
            </w:r>
          </w:p>
          <w:p>
            <w:pPr>
              <w:spacing w:after="60"/>
              <w:jc w:val="center"/>
            </w:pPr>
            <w:r>
              <w:rPr>
                <w:rFonts w:ascii="Calibri" w:cs="Calibri" w:eastAsia="Calibri" w:hAnsi="Calibri"/>
                <w:b/>
                <w:bCs/>
                <w:color w:val="1F3864"/>
                <w:sz w:val="22"/>
                <w:szCs w:val="22"/>
              </w:rPr>
              <w:t xml:space="preserve">Executive Sponsor</w:t>
            </w:r>
          </w:p>
          <w:p>
            <w:pPr>
              <w:spacing w:after="600"/>
              <w:jc w:val="center"/>
            </w:pPr>
            <w:r>
              <w:rPr>
                <w:rFonts w:ascii="Calibri" w:cs="Calibri" w:eastAsia="Calibri" w:hAnsi="Calibri"/>
                <w:i/>
                <w:iCs/>
                <w:color w:val="1A1A1A"/>
                <w:sz w:val="16"/>
                <w:szCs w:val="16"/>
              </w:rPr>
              <w:t xml:space="preserve">[Founder / CEO]</w:t>
            </w:r>
          </w:p>
          <w:p>
            <w:pPr>
              <w:spacing w:after="280"/>
            </w:pPr>
            <w:r>
              <w:rPr>
                <w:rFonts w:ascii="Calibri" w:cs="Calibri" w:eastAsia="Calibri" w:hAnsi="Calibri"/>
                <w:color w:val="1A1A1A"/>
                <w:sz w:val="18"/>
                <w:szCs w:val="18"/>
              </w:rPr>
              <w:t xml:space="preserve">Signature: ___________________________</w:t>
            </w:r>
          </w:p>
          <w:p>
            <w:pPr>
              <w:spacing w:after="280"/>
            </w:pPr>
            <w:r>
              <w:rPr>
                <w:rFonts w:ascii="Calibri" w:cs="Calibri" w:eastAsia="Calibri" w:hAnsi="Calibri"/>
                <w:color w:val="1A1A1A"/>
                <w:sz w:val="18"/>
                <w:szCs w:val="18"/>
              </w:rPr>
              <w:t xml:space="preserve">Name: ___________________________</w:t>
            </w:r>
          </w:p>
          <w:p>
            <w:pPr>
              <w:spacing w:after="280"/>
            </w:pPr>
            <w:r>
              <w:rPr>
                <w:rFonts w:ascii="Calibri" w:cs="Calibri" w:eastAsia="Calibri" w:hAnsi="Calibri"/>
                <w:color w:val="1A1A1A"/>
                <w:sz w:val="18"/>
                <w:szCs w:val="18"/>
              </w:rPr>
              <w:t xml:space="preserve">Date: ___________________________</w:t>
            </w:r>
          </w:p>
        </w:tc>
        <w:tc>
          <w:tcPr>
            <w:tcW w:type="dxa" w:w="4873"/>
            <w:tcBorders>
              <w:top w:val="single" w:color="BFBFBF" w:sz="4"/>
              <w:left w:val="single" w:color="BFBFBF" w:sz="4"/>
              <w:bottom w:val="single" w:color="BFBFBF" w:sz="4"/>
              <w:right w:val="single" w:color="BFBFBF" w:sz="4"/>
            </w:tcBorders>
            <w:tcMar>
              <w:top w:type="dxa" w:w="200"/>
              <w:left w:type="dxa" w:w="240"/>
              <w:bottom w:type="dxa" w:w="200"/>
              <w:right w:type="dxa" w:w="240"/>
            </w:tcMar>
            <w:vAlign w:val="top"/>
          </w:tcPr>
          <w:p>
            <w:pPr>
              <w:spacing w:after="100"/>
              <w:jc w:val="center"/>
            </w:pPr>
            <w:r>
              <w:rPr>
                <w:rFonts w:ascii="Calibri" w:cs="Calibri" w:eastAsia="Calibri" w:hAnsi="Calibri"/>
                <w:b/>
                <w:bCs/>
                <w:caps/>
                <w:color w:val="808080"/>
                <w:sz w:val="14"/>
                <w:szCs w:val="14"/>
              </w:rPr>
              <w:t xml:space="preserve">APPROVED BY</w:t>
            </w:r>
          </w:p>
          <w:p>
            <w:pPr>
              <w:spacing w:after="60"/>
              <w:jc w:val="center"/>
            </w:pPr>
            <w:r>
              <w:rPr>
                <w:rFonts w:ascii="Calibri" w:cs="Calibri" w:eastAsia="Calibri" w:hAnsi="Calibri"/>
                <w:b/>
                <w:bCs/>
                <w:color w:val="1F3864"/>
                <w:sz w:val="22"/>
                <w:szCs w:val="22"/>
              </w:rPr>
              <w:t xml:space="preserve">Project Owner</w:t>
            </w:r>
          </w:p>
          <w:p>
            <w:pPr>
              <w:spacing w:after="600"/>
              <w:jc w:val="center"/>
            </w:pPr>
            <w:r>
              <w:rPr>
                <w:rFonts w:ascii="Calibri" w:cs="Calibri" w:eastAsia="Calibri" w:hAnsi="Calibri"/>
                <w:i/>
                <w:iCs/>
                <w:color w:val="1A1A1A"/>
                <w:sz w:val="16"/>
                <w:szCs w:val="16"/>
              </w:rPr>
              <w:t xml:space="preserve">[CTO]</w:t>
            </w:r>
          </w:p>
          <w:p>
            <w:pPr>
              <w:spacing w:after="280"/>
            </w:pPr>
            <w:r>
              <w:rPr>
                <w:rFonts w:ascii="Calibri" w:cs="Calibri" w:eastAsia="Calibri" w:hAnsi="Calibri"/>
                <w:color w:val="1A1A1A"/>
                <w:sz w:val="18"/>
                <w:szCs w:val="18"/>
              </w:rPr>
              <w:t xml:space="preserve">Signature: ___________________________</w:t>
            </w:r>
          </w:p>
          <w:p>
            <w:pPr>
              <w:spacing w:after="280"/>
            </w:pPr>
            <w:r>
              <w:rPr>
                <w:rFonts w:ascii="Calibri" w:cs="Calibri" w:eastAsia="Calibri" w:hAnsi="Calibri"/>
                <w:color w:val="1A1A1A"/>
                <w:sz w:val="18"/>
                <w:szCs w:val="18"/>
              </w:rPr>
              <w:t xml:space="preserve">Name: ___________________________</w:t>
            </w:r>
          </w:p>
          <w:p>
            <w:pPr>
              <w:spacing w:after="280"/>
            </w:pPr>
            <w:r>
              <w:rPr>
                <w:rFonts w:ascii="Calibri" w:cs="Calibri" w:eastAsia="Calibri" w:hAnsi="Calibri"/>
                <w:color w:val="1A1A1A"/>
                <w:sz w:val="18"/>
                <w:szCs w:val="18"/>
              </w:rPr>
              <w:t xml:space="preserve">Date: ___________________________</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FBFBF" w:sz="4"/>
              <w:left w:val="single" w:color="BFBFBF" w:sz="4"/>
              <w:bottom w:val="single" w:color="BFBFBF" w:sz="4"/>
              <w:right w:val="single" w:color="BFBFBF" w:sz="4"/>
            </w:tcBorders>
            <w:tcMar>
              <w:top w:type="dxa" w:w="200"/>
              <w:left w:type="dxa" w:w="240"/>
              <w:bottom w:type="dxa" w:w="200"/>
              <w:right w:type="dxa" w:w="240"/>
            </w:tcMar>
            <w:vAlign w:val="top"/>
          </w:tcPr>
          <w:p>
            <w:pPr>
              <w:spacing w:after="100"/>
              <w:jc w:val="center"/>
            </w:pPr>
            <w:r>
              <w:rPr>
                <w:rFonts w:ascii="Calibri" w:cs="Calibri" w:eastAsia="Calibri" w:hAnsi="Calibri"/>
                <w:b/>
                <w:bCs/>
                <w:caps/>
                <w:color w:val="808080"/>
                <w:sz w:val="14"/>
                <w:szCs w:val="14"/>
              </w:rPr>
              <w:t xml:space="preserve">ACKNOWLEDGED BY</w:t>
            </w:r>
          </w:p>
          <w:p>
            <w:pPr>
              <w:spacing w:after="60"/>
              <w:jc w:val="center"/>
            </w:pPr>
            <w:r>
              <w:rPr>
                <w:rFonts w:ascii="Calibri" w:cs="Calibri" w:eastAsia="Calibri" w:hAnsi="Calibri"/>
                <w:b/>
                <w:bCs/>
                <w:color w:val="1F3864"/>
                <w:sz w:val="22"/>
                <w:szCs w:val="22"/>
              </w:rPr>
              <w:t xml:space="preserve">Engineering Lead</w:t>
            </w:r>
          </w:p>
          <w:p>
            <w:pPr>
              <w:spacing w:after="600"/>
              <w:jc w:val="center"/>
            </w:pPr>
            <w:r>
              <w:rPr>
                <w:rFonts w:ascii="Calibri" w:cs="Calibri" w:eastAsia="Calibri" w:hAnsi="Calibri"/>
                <w:i/>
                <w:iCs/>
                <w:color w:val="1A1A1A"/>
                <w:sz w:val="16"/>
                <w:szCs w:val="16"/>
              </w:rPr>
              <w:t xml:space="preserve">[Principal Engineer]</w:t>
            </w:r>
          </w:p>
          <w:p>
            <w:pPr>
              <w:spacing w:after="280"/>
            </w:pPr>
            <w:r>
              <w:rPr>
                <w:rFonts w:ascii="Calibri" w:cs="Calibri" w:eastAsia="Calibri" w:hAnsi="Calibri"/>
                <w:color w:val="1A1A1A"/>
                <w:sz w:val="18"/>
                <w:szCs w:val="18"/>
              </w:rPr>
              <w:t xml:space="preserve">Signature: ___________________________</w:t>
            </w:r>
          </w:p>
          <w:p>
            <w:pPr>
              <w:spacing w:after="280"/>
            </w:pPr>
            <w:r>
              <w:rPr>
                <w:rFonts w:ascii="Calibri" w:cs="Calibri" w:eastAsia="Calibri" w:hAnsi="Calibri"/>
                <w:color w:val="1A1A1A"/>
                <w:sz w:val="18"/>
                <w:szCs w:val="18"/>
              </w:rPr>
              <w:t xml:space="preserve">Name: ___________________________</w:t>
            </w:r>
          </w:p>
          <w:p>
            <w:pPr>
              <w:spacing w:after="280"/>
            </w:pPr>
            <w:r>
              <w:rPr>
                <w:rFonts w:ascii="Calibri" w:cs="Calibri" w:eastAsia="Calibri" w:hAnsi="Calibri"/>
                <w:color w:val="1A1A1A"/>
                <w:sz w:val="18"/>
                <w:szCs w:val="18"/>
              </w:rPr>
              <w:t xml:space="preserve">Date: ___________________________</w:t>
            </w:r>
          </w:p>
        </w:tc>
        <w:tc>
          <w:tcPr>
            <w:tcW w:type="dxa" w:w="4873"/>
            <w:tcBorders>
              <w:top w:val="single" w:color="BFBFBF" w:sz="4"/>
              <w:left w:val="single" w:color="BFBFBF" w:sz="4"/>
              <w:bottom w:val="single" w:color="BFBFBF" w:sz="4"/>
              <w:right w:val="single" w:color="BFBFBF" w:sz="4"/>
            </w:tcBorders>
            <w:tcMar>
              <w:top w:type="dxa" w:w="200"/>
              <w:left w:type="dxa" w:w="240"/>
              <w:bottom w:type="dxa" w:w="200"/>
              <w:right w:type="dxa" w:w="240"/>
            </w:tcMar>
            <w:vAlign w:val="top"/>
          </w:tcPr>
          <w:p>
            <w:pPr>
              <w:spacing w:after="100"/>
              <w:jc w:val="center"/>
            </w:pPr>
            <w:r>
              <w:rPr>
                <w:rFonts w:ascii="Calibri" w:cs="Calibri" w:eastAsia="Calibri" w:hAnsi="Calibri"/>
                <w:b/>
                <w:bCs/>
                <w:caps/>
                <w:color w:val="808080"/>
                <w:sz w:val="14"/>
                <w:szCs w:val="14"/>
              </w:rPr>
              <w:t xml:space="preserve">ACKNOWLEDGED BY</w:t>
            </w:r>
          </w:p>
          <w:p>
            <w:pPr>
              <w:spacing w:after="60"/>
              <w:jc w:val="center"/>
            </w:pPr>
            <w:r>
              <w:rPr>
                <w:rFonts w:ascii="Calibri" w:cs="Calibri" w:eastAsia="Calibri" w:hAnsi="Calibri"/>
                <w:b/>
                <w:bCs/>
                <w:color w:val="1F3864"/>
                <w:sz w:val="22"/>
                <w:szCs w:val="22"/>
              </w:rPr>
              <w:t xml:space="preserve">Compliance Lead</w:t>
            </w:r>
          </w:p>
          <w:p>
            <w:pPr>
              <w:spacing w:after="600"/>
              <w:jc w:val="center"/>
            </w:pPr>
            <w:r>
              <w:rPr>
                <w:rFonts w:ascii="Calibri" w:cs="Calibri" w:eastAsia="Calibri" w:hAnsi="Calibri"/>
                <w:i/>
                <w:iCs/>
                <w:color w:val="1A1A1A"/>
                <w:sz w:val="16"/>
                <w:szCs w:val="16"/>
              </w:rPr>
              <w:t xml:space="preserve">[Head of Compliance]</w:t>
            </w:r>
          </w:p>
          <w:p>
            <w:pPr>
              <w:spacing w:after="280"/>
            </w:pPr>
            <w:r>
              <w:rPr>
                <w:rFonts w:ascii="Calibri" w:cs="Calibri" w:eastAsia="Calibri" w:hAnsi="Calibri"/>
                <w:color w:val="1A1A1A"/>
                <w:sz w:val="18"/>
                <w:szCs w:val="18"/>
              </w:rPr>
              <w:t xml:space="preserve">Signature: ___________________________</w:t>
            </w:r>
          </w:p>
          <w:p>
            <w:pPr>
              <w:spacing w:after="280"/>
            </w:pPr>
            <w:r>
              <w:rPr>
                <w:rFonts w:ascii="Calibri" w:cs="Calibri" w:eastAsia="Calibri" w:hAnsi="Calibri"/>
                <w:color w:val="1A1A1A"/>
                <w:sz w:val="18"/>
                <w:szCs w:val="18"/>
              </w:rPr>
              <w:t xml:space="preserve">Name: ___________________________</w:t>
            </w:r>
          </w:p>
          <w:p>
            <w:pPr>
              <w:spacing w:after="280"/>
            </w:pPr>
            <w:r>
              <w:rPr>
                <w:rFonts w:ascii="Calibri" w:cs="Calibri" w:eastAsia="Calibri" w:hAnsi="Calibri"/>
                <w:color w:val="1A1A1A"/>
                <w:sz w:val="18"/>
                <w:szCs w:val="18"/>
              </w:rPr>
              <w:t xml:space="preserve">Date: ___________________________</w:t>
            </w:r>
          </w:p>
        </w:tc>
      </w:tr>
    </w:tbl>
    <w:sectPr>
      <w:headerReference w:type="default" r:id="rId7"/>
      <w:footerReference w:type="default" r:id="rId8"/>
      <w:pgSz w:w="11906" w:h="16838"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center" w:pos="4873"/>
        <w:tab w:val="right" w:pos="9746"/>
      </w:tabs>
      <w:spacing w:before="0"/>
    </w:pPr>
    <w:r>
      <w:rPr>
        <w:rFonts w:ascii="Calibri" w:cs="Calibri" w:eastAsia="Calibri" w:hAnsi="Calibri"/>
        <w:color w:val="808080"/>
        <w:sz w:val="14"/>
        <w:szCs w:val="14"/>
      </w:rPr>
      <w:t xml:space="preserve">Fairvalue Insuretech Pvt. Ltd.  |  TPE-COMMS-CHARTER-2026-001</w:t>
    </w:r>
    <w:r>
      <w:rPr>
        <w:rFonts w:ascii="Calibri" w:cs="Calibri" w:eastAsia="Calibri" w:hAnsi="Calibri"/>
        <w:sz w:val="14"/>
        <w:szCs w:val="14"/>
      </w:rPr>
      <w:t xml:space="preserve">	</w:t>
    </w:r>
    <w:r>
      <w:rPr>
        <w:rFonts w:ascii="Calibri" w:cs="Calibri" w:eastAsia="Calibri" w:hAnsi="Calibri"/>
        <w:color w:val="808080"/>
        <w:sz w:val="14"/>
        <w:szCs w:val="14"/>
      </w:rPr>
      <w:t xml:space="preserve">Page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of </w:t>
    </w:r>
    <w:r>
      <w:rPr>
        <w:rFonts w:ascii="Calibri" w:cs="Calibri" w:eastAsia="Calibri" w:hAnsi="Calibri"/>
        <w:color w:val="808080"/>
        <w:sz w:val="14"/>
        <w:szCs w:val="14"/>
      </w:rPr>
      <w:fldChar w:fldCharType="begin"/>
      <w:instrText xml:space="preserve">NUMPAGES</w:instrText>
      <w:fldChar w:fldCharType="separate"/>
      <w:fldChar w:fldCharType="end"/>
    </w:r>
    <w:r>
      <w:rPr>
        <w:rFonts w:ascii="Calibri" w:cs="Calibri" w:eastAsia="Calibri" w:hAnsi="Calibri"/>
        <w:sz w:val="14"/>
        <w:szCs w:val="14"/>
      </w:rPr>
      <w:t xml:space="preserve">	</w:t>
    </w:r>
    <w:r>
      <w:rPr>
        <w:rFonts w:ascii="Calibri" w:cs="Calibri" w:eastAsia="Calibri" w:hAnsi="Calibri"/>
        <w:i/>
        <w:iCs/>
        <w:color w:val="808080"/>
        <w:sz w:val="14"/>
        <w:szCs w:val="14"/>
      </w:rPr>
      <w:t xml:space="preserve">©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746"/>
      </w:tabs>
      <w:spacing w:after="0"/>
    </w:pPr>
    <w:r>
      <w:rPr>
        <w:rFonts w:ascii="Calibri" w:cs="Calibri" w:eastAsia="Calibri" w:hAnsi="Calibri"/>
        <w:color w:val="808080"/>
        <w:sz w:val="16"/>
        <w:szCs w:val="16"/>
      </w:rPr>
      <w:t xml:space="preserve">TPE Communication System  |  Internal Project Charter  |  v1.0</w:t>
    </w:r>
    <w:r>
      <w:rPr>
        <w:rFonts w:ascii="Calibri" w:cs="Calibri" w:eastAsia="Calibri" w:hAnsi="Calibri"/>
        <w:sz w:val="16"/>
        <w:szCs w:val="16"/>
      </w:rPr>
      <w:t xml:space="preserve">	</w:t>
    </w:r>
    <w:r>
      <w:rPr>
        <w:rFonts w:ascii="Calibri" w:cs="Calibri" w:eastAsia="Calibri" w:hAnsi="Calibri"/>
        <w:i/>
        <w:iCs/>
        <w:color w:val="808080"/>
        <w:sz w:val="16"/>
        <w:szCs w:val="16"/>
      </w:rPr>
      <w:t xml:space="preserve">Internal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TPE Communication System — Internal Project Charter v1.0</dc:title>
  <dc:subject>Internal scope and ownership document for the TPE Communication System initiative</dc:subject>
  <dc:creator>Engineering, The Policy Exchange</dc:creator>
  <dc:description>Internal Project Charter with per-trigger edge-case detail, QA, security, SLAs, effort, glossary; v1.0</dc:description>
  <cp:lastModifiedBy>Un-named</cp:lastModifiedBy>
  <cp:revision>1</cp:revision>
  <dcterms:created xsi:type="dcterms:W3CDTF">2026-04-27T00:41:41.334Z</dcterms:created>
  <dcterms:modified xsi:type="dcterms:W3CDTF">2026-04-27T00:41:41.336Z</dcterms:modified>
</cp:coreProperties>
</file>

<file path=docProps/custom.xml><?xml version="1.0" encoding="utf-8"?>
<Properties xmlns="http://schemas.openxmlformats.org/officeDocument/2006/custom-properties" xmlns:vt="http://schemas.openxmlformats.org/officeDocument/2006/docPropsVTypes"/>
</file>