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2"/>
        <w:tblW w:w="0" w:type="auto"/>
        <w:tblInd w:w="0" w:type="dxa"/>
        <w:tblLayout w:type="fixed"/>
        <w:tblCellMar>
          <w:top w:w="0" w:type="dxa"/>
          <w:left w:w="108" w:type="dxa"/>
          <w:bottom w:w="0" w:type="dxa"/>
          <w:right w:w="108" w:type="dxa"/>
        </w:tblCellMar>
      </w:tblPr>
      <w:tblGrid>
        <w:gridCol w:w="9360"/>
      </w:tblGrid>
      <w:tr w14:paraId="10CE7FAD">
        <w:tc>
          <w:tcPr>
            <w:tcW w:w="9360" w:type="dxa"/>
            <w:shd w:val="clear" w:color="auto" w:fill="1B3A5C"/>
          </w:tcPr>
          <w:p w14:paraId="63BE875E">
            <w:pPr>
              <w:spacing w:before="160" w:after="160"/>
              <w:jc w:val="center"/>
            </w:pPr>
            <w:r>
              <w:rPr>
                <w:rFonts w:ascii="Arial" w:hAnsi="Arial" w:eastAsia="Arial" w:cs="Arial"/>
                <w:b/>
                <w:i w:val="0"/>
                <w:color w:val="FFFFFF"/>
                <w:sz w:val="28"/>
              </w:rPr>
              <w:t>THE POLICY EXCHANGE</w:t>
            </w:r>
          </w:p>
        </w:tc>
      </w:tr>
    </w:tbl>
    <w:p w14:paraId="40A5B22D">
      <w:pPr>
        <w:spacing w:before="240" w:after="480"/>
        <w:jc w:val="center"/>
      </w:pPr>
      <w:r>
        <w:rPr>
          <w:rFonts w:ascii="Arial" w:hAnsi="Arial" w:eastAsia="Arial" w:cs="Arial"/>
          <w:b/>
          <w:i w:val="0"/>
          <w:color w:val="E74C3C"/>
          <w:sz w:val="22"/>
        </w:rPr>
        <w:t>Internal / Confidential</w:t>
      </w:r>
    </w:p>
    <w:p w14:paraId="34F5D0C4">
      <w:pPr>
        <w:spacing w:before="0" w:after="80"/>
        <w:jc w:val="center"/>
      </w:pPr>
      <w:r>
        <w:rPr>
          <w:rFonts w:ascii="Arial" w:hAnsi="Arial" w:eastAsia="Arial" w:cs="Arial"/>
          <w:b/>
          <w:i w:val="0"/>
          <w:color w:val="1B3A5C"/>
          <w:sz w:val="72"/>
        </w:rPr>
        <w:t>END USER GUIDE</w:t>
      </w:r>
    </w:p>
    <w:p w14:paraId="5EC4CFEA">
      <w:pPr>
        <w:spacing w:before="0" w:after="360"/>
        <w:jc w:val="center"/>
      </w:pPr>
      <w:r>
        <w:rPr>
          <w:rFonts w:ascii="Arial" w:hAnsi="Arial" w:eastAsia="Arial" w:cs="Arial"/>
          <w:b w:val="0"/>
          <w:i/>
          <w:color w:val="2C3E50"/>
          <w:sz w:val="28"/>
        </w:rPr>
        <w:t>TPE Communication System — Operator Manual</w:t>
      </w:r>
    </w:p>
    <w:tbl>
      <w:tblPr>
        <w:tblStyle w:val="12"/>
        <w:tblW w:w="0" w:type="auto"/>
        <w:jc w:val="center"/>
        <w:tblLayout w:type="autofit"/>
        <w:tblCellMar>
          <w:top w:w="0" w:type="dxa"/>
          <w:left w:w="108" w:type="dxa"/>
          <w:bottom w:w="0" w:type="dxa"/>
          <w:right w:w="108" w:type="dxa"/>
        </w:tblCellMar>
      </w:tblPr>
      <w:tblGrid>
        <w:gridCol w:w="3600"/>
      </w:tblGrid>
      <w:tr w14:paraId="6DFDA708">
        <w:trPr>
          <w:jc w:val="center"/>
        </w:trPr>
        <w:tc>
          <w:tcPr>
            <w:tcW w:w="3600" w:type="dxa"/>
            <w:shd w:val="clear" w:color="auto" w:fill="1B3A5C"/>
          </w:tcPr>
          <w:p w14:paraId="6B9A9247">
            <w:pPr>
              <w:spacing w:before="0" w:after="0"/>
            </w:pPr>
            <w:r>
              <w:rPr>
                <w:rFonts w:ascii="Arial" w:hAnsi="Arial" w:eastAsia="Arial" w:cs="Arial"/>
                <w:b w:val="0"/>
                <w:i w:val="0"/>
                <w:sz w:val="4"/>
              </w:rPr>
              <w:t xml:space="preserve"> </w:t>
            </w:r>
          </w:p>
        </w:tc>
      </w:tr>
    </w:tbl>
    <w:p w14:paraId="2E5A3CB1">
      <w:pPr>
        <w:spacing w:before="0" w:after="360"/>
      </w:pPr>
    </w:p>
    <w:tbl>
      <w:tblPr>
        <w:tblStyle w:val="12"/>
        <w:tblW w:w="0" w:type="auto"/>
        <w:tblInd w:w="0" w:type="dxa"/>
        <w:tblLayout w:type="fixed"/>
        <w:tblCellMar>
          <w:top w:w="0" w:type="dxa"/>
          <w:left w:w="108" w:type="dxa"/>
          <w:bottom w:w="0" w:type="dxa"/>
          <w:right w:w="108" w:type="dxa"/>
        </w:tblCellMar>
      </w:tblPr>
      <w:tblGrid>
        <w:gridCol w:w="2304"/>
        <w:gridCol w:w="7056"/>
      </w:tblGrid>
      <w:tr w14:paraId="623E5CE5">
        <w:tc>
          <w:tcPr>
            <w:tcW w:w="2304" w:type="dxa"/>
            <w:tcBorders>
              <w:top w:val="single" w:color="FFFFFF" w:sz="4" w:space="0"/>
              <w:left w:val="single" w:color="FFFFFF" w:sz="4" w:space="0"/>
              <w:bottom w:val="single" w:color="FFFFFF" w:sz="4" w:space="0"/>
              <w:right w:val="single" w:color="FFFFFF" w:sz="4" w:space="0"/>
            </w:tcBorders>
            <w:shd w:val="clear" w:color="auto" w:fill="1B3A5C"/>
            <w:vAlign w:val="center"/>
          </w:tcPr>
          <w:p w14:paraId="5C7FACFE">
            <w:pPr>
              <w:spacing w:before="40" w:after="40"/>
            </w:pPr>
            <w:r>
              <w:rPr>
                <w:rFonts w:ascii="Arial" w:hAnsi="Arial" w:eastAsia="Arial" w:cs="Arial"/>
                <w:b/>
                <w:i w:val="0"/>
                <w:color w:val="FFFFFF"/>
                <w:sz w:val="20"/>
              </w:rPr>
              <w:t>Field</w:t>
            </w:r>
          </w:p>
        </w:tc>
        <w:tc>
          <w:tcPr>
            <w:tcW w:w="7056" w:type="dxa"/>
            <w:tcBorders>
              <w:top w:val="single" w:color="FFFFFF" w:sz="4" w:space="0"/>
              <w:left w:val="single" w:color="FFFFFF" w:sz="4" w:space="0"/>
              <w:bottom w:val="single" w:color="FFFFFF" w:sz="4" w:space="0"/>
              <w:right w:val="single" w:color="FFFFFF" w:sz="4" w:space="0"/>
            </w:tcBorders>
            <w:shd w:val="clear" w:color="auto" w:fill="1B3A5C"/>
            <w:vAlign w:val="center"/>
          </w:tcPr>
          <w:p w14:paraId="5CCF522A">
            <w:pPr>
              <w:spacing w:before="40" w:after="40"/>
            </w:pPr>
            <w:r>
              <w:rPr>
                <w:rFonts w:ascii="Arial" w:hAnsi="Arial" w:eastAsia="Arial" w:cs="Arial"/>
                <w:b/>
                <w:i w:val="0"/>
                <w:color w:val="FFFFFF"/>
                <w:sz w:val="20"/>
              </w:rPr>
              <w:t>Value</w:t>
            </w:r>
          </w:p>
        </w:tc>
      </w:tr>
      <w:tr w14:paraId="4871550B">
        <w:tc>
          <w:tcPr>
            <w:tcW w:w="2304" w:type="dxa"/>
            <w:tcBorders>
              <w:top w:val="single" w:color="DDDDDD" w:sz="4" w:space="0"/>
              <w:left w:val="single" w:color="DDDDDD" w:sz="4" w:space="0"/>
              <w:bottom w:val="single" w:color="DDDDDD" w:sz="4" w:space="0"/>
              <w:right w:val="single" w:color="DDDDDD" w:sz="4" w:space="0"/>
            </w:tcBorders>
            <w:vAlign w:val="top"/>
          </w:tcPr>
          <w:p w14:paraId="0B6DB412">
            <w:pPr>
              <w:spacing w:before="40" w:after="40"/>
            </w:pPr>
            <w:r>
              <w:rPr>
                <w:rFonts w:ascii="Arial" w:hAnsi="Arial" w:eastAsia="Arial" w:cs="Arial"/>
                <w:b w:val="0"/>
                <w:i w:val="0"/>
                <w:color w:val="2C3E50"/>
                <w:sz w:val="20"/>
              </w:rPr>
              <w:t>Document ID</w:t>
            </w:r>
          </w:p>
        </w:tc>
        <w:tc>
          <w:tcPr>
            <w:tcW w:w="7056" w:type="dxa"/>
            <w:tcBorders>
              <w:top w:val="single" w:color="DDDDDD" w:sz="4" w:space="0"/>
              <w:left w:val="single" w:color="DDDDDD" w:sz="4" w:space="0"/>
              <w:bottom w:val="single" w:color="DDDDDD" w:sz="4" w:space="0"/>
              <w:right w:val="single" w:color="DDDDDD" w:sz="4" w:space="0"/>
            </w:tcBorders>
            <w:vAlign w:val="top"/>
          </w:tcPr>
          <w:p w14:paraId="17A0F654">
            <w:pPr>
              <w:spacing w:before="40" w:after="40"/>
            </w:pPr>
            <w:r>
              <w:rPr>
                <w:rFonts w:ascii="Arial" w:hAnsi="Arial" w:eastAsia="Arial" w:cs="Arial"/>
                <w:b w:val="0"/>
                <w:i w:val="0"/>
                <w:color w:val="2C3E50"/>
                <w:sz w:val="20"/>
              </w:rPr>
              <w:t>TPE-COMMS-EUG-2026-001</w:t>
            </w:r>
          </w:p>
        </w:tc>
      </w:tr>
      <w:tr w14:paraId="34A5F92F">
        <w:tc>
          <w:tcPr>
            <w:tcW w:w="2304" w:type="dxa"/>
            <w:tcBorders>
              <w:top w:val="single" w:color="DDDDDD" w:sz="4" w:space="0"/>
              <w:left w:val="single" w:color="DDDDDD" w:sz="4" w:space="0"/>
              <w:bottom w:val="single" w:color="DDDDDD" w:sz="4" w:space="0"/>
              <w:right w:val="single" w:color="DDDDDD" w:sz="4" w:space="0"/>
            </w:tcBorders>
            <w:shd w:val="clear" w:color="auto" w:fill="F8F9FA"/>
            <w:vAlign w:val="top"/>
          </w:tcPr>
          <w:p w14:paraId="6DA6D927">
            <w:pPr>
              <w:spacing w:before="40" w:after="40"/>
            </w:pPr>
            <w:r>
              <w:rPr>
                <w:rFonts w:ascii="Arial" w:hAnsi="Arial" w:eastAsia="Arial" w:cs="Arial"/>
                <w:b w:val="0"/>
                <w:i w:val="0"/>
                <w:color w:val="2C3E50"/>
                <w:sz w:val="20"/>
              </w:rPr>
              <w:t>Version</w:t>
            </w:r>
          </w:p>
        </w:tc>
        <w:tc>
          <w:tcPr>
            <w:tcW w:w="7056" w:type="dxa"/>
            <w:tcBorders>
              <w:top w:val="single" w:color="DDDDDD" w:sz="4" w:space="0"/>
              <w:left w:val="single" w:color="DDDDDD" w:sz="4" w:space="0"/>
              <w:bottom w:val="single" w:color="DDDDDD" w:sz="4" w:space="0"/>
              <w:right w:val="single" w:color="DDDDDD" w:sz="4" w:space="0"/>
            </w:tcBorders>
            <w:shd w:val="clear" w:color="auto" w:fill="F8F9FA"/>
            <w:vAlign w:val="top"/>
          </w:tcPr>
          <w:p w14:paraId="71309E9D">
            <w:pPr>
              <w:spacing w:before="40" w:after="40"/>
            </w:pPr>
            <w:r>
              <w:rPr>
                <w:rFonts w:ascii="Arial" w:hAnsi="Arial" w:eastAsia="Arial" w:cs="Arial"/>
                <w:b w:val="0"/>
                <w:i w:val="0"/>
                <w:color w:val="2C3E50"/>
                <w:sz w:val="20"/>
              </w:rPr>
              <w:t>1.0</w:t>
            </w:r>
          </w:p>
        </w:tc>
      </w:tr>
      <w:tr w14:paraId="45C02732">
        <w:tc>
          <w:tcPr>
            <w:tcW w:w="2304" w:type="dxa"/>
            <w:tcBorders>
              <w:top w:val="single" w:color="DDDDDD" w:sz="4" w:space="0"/>
              <w:left w:val="single" w:color="DDDDDD" w:sz="4" w:space="0"/>
              <w:bottom w:val="single" w:color="DDDDDD" w:sz="4" w:space="0"/>
              <w:right w:val="single" w:color="DDDDDD" w:sz="4" w:space="0"/>
            </w:tcBorders>
            <w:vAlign w:val="top"/>
          </w:tcPr>
          <w:p w14:paraId="631A49A6">
            <w:pPr>
              <w:spacing w:before="40" w:after="40"/>
            </w:pPr>
            <w:r>
              <w:rPr>
                <w:rFonts w:ascii="Arial" w:hAnsi="Arial" w:eastAsia="Arial" w:cs="Arial"/>
                <w:b w:val="0"/>
                <w:i w:val="0"/>
                <w:color w:val="2C3E50"/>
                <w:sz w:val="20"/>
              </w:rPr>
              <w:t>Date</w:t>
            </w:r>
          </w:p>
        </w:tc>
        <w:tc>
          <w:tcPr>
            <w:tcW w:w="7056" w:type="dxa"/>
            <w:tcBorders>
              <w:top w:val="single" w:color="DDDDDD" w:sz="4" w:space="0"/>
              <w:left w:val="single" w:color="DDDDDD" w:sz="4" w:space="0"/>
              <w:bottom w:val="single" w:color="DDDDDD" w:sz="4" w:space="0"/>
              <w:right w:val="single" w:color="DDDDDD" w:sz="4" w:space="0"/>
            </w:tcBorders>
            <w:vAlign w:val="top"/>
          </w:tcPr>
          <w:p w14:paraId="355774E8">
            <w:pPr>
              <w:spacing w:before="40" w:after="40"/>
            </w:pPr>
            <w:r>
              <w:rPr>
                <w:rFonts w:ascii="Arial" w:hAnsi="Arial" w:eastAsia="Arial" w:cs="Arial"/>
                <w:b w:val="0"/>
                <w:i w:val="0"/>
                <w:color w:val="2C3E50"/>
                <w:sz w:val="20"/>
              </w:rPr>
              <w:t>01 May 2026</w:t>
            </w:r>
          </w:p>
        </w:tc>
      </w:tr>
      <w:tr w14:paraId="731F6E0B">
        <w:tc>
          <w:tcPr>
            <w:tcW w:w="2304" w:type="dxa"/>
            <w:tcBorders>
              <w:top w:val="single" w:color="DDDDDD" w:sz="4" w:space="0"/>
              <w:left w:val="single" w:color="DDDDDD" w:sz="4" w:space="0"/>
              <w:bottom w:val="single" w:color="DDDDDD" w:sz="4" w:space="0"/>
              <w:right w:val="single" w:color="DDDDDD" w:sz="4" w:space="0"/>
            </w:tcBorders>
            <w:shd w:val="clear" w:color="auto" w:fill="F8F9FA"/>
            <w:vAlign w:val="top"/>
          </w:tcPr>
          <w:p w14:paraId="193AC573">
            <w:pPr>
              <w:spacing w:before="40" w:after="40"/>
            </w:pPr>
            <w:r>
              <w:rPr>
                <w:rFonts w:ascii="Arial" w:hAnsi="Arial" w:eastAsia="Arial" w:cs="Arial"/>
                <w:b w:val="0"/>
                <w:i w:val="0"/>
                <w:color w:val="2C3E50"/>
                <w:sz w:val="20"/>
              </w:rPr>
              <w:t>Classification</w:t>
            </w:r>
          </w:p>
        </w:tc>
        <w:tc>
          <w:tcPr>
            <w:tcW w:w="7056" w:type="dxa"/>
            <w:tcBorders>
              <w:top w:val="single" w:color="DDDDDD" w:sz="4" w:space="0"/>
              <w:left w:val="single" w:color="DDDDDD" w:sz="4" w:space="0"/>
              <w:bottom w:val="single" w:color="DDDDDD" w:sz="4" w:space="0"/>
              <w:right w:val="single" w:color="DDDDDD" w:sz="4" w:space="0"/>
            </w:tcBorders>
            <w:shd w:val="clear" w:color="auto" w:fill="F8F9FA"/>
            <w:vAlign w:val="top"/>
          </w:tcPr>
          <w:p w14:paraId="69FAA69D">
            <w:pPr>
              <w:spacing w:before="40" w:after="40"/>
            </w:pPr>
            <w:r>
              <w:rPr>
                <w:rFonts w:ascii="Arial" w:hAnsi="Arial" w:eastAsia="Arial" w:cs="Arial"/>
                <w:b w:val="0"/>
                <w:i w:val="0"/>
                <w:color w:val="2C3E50"/>
                <w:sz w:val="20"/>
              </w:rPr>
              <w:t>Internal / Confidential</w:t>
            </w:r>
          </w:p>
        </w:tc>
      </w:tr>
      <w:tr w14:paraId="65824F12">
        <w:tc>
          <w:tcPr>
            <w:tcW w:w="2304" w:type="dxa"/>
            <w:tcBorders>
              <w:top w:val="single" w:color="DDDDDD" w:sz="4" w:space="0"/>
              <w:left w:val="single" w:color="DDDDDD" w:sz="4" w:space="0"/>
              <w:bottom w:val="single" w:color="DDDDDD" w:sz="4" w:space="0"/>
              <w:right w:val="single" w:color="DDDDDD" w:sz="4" w:space="0"/>
            </w:tcBorders>
            <w:vAlign w:val="top"/>
          </w:tcPr>
          <w:p w14:paraId="26DD3F2B">
            <w:pPr>
              <w:spacing w:before="40" w:after="40"/>
            </w:pPr>
            <w:r>
              <w:rPr>
                <w:rFonts w:ascii="Arial" w:hAnsi="Arial" w:eastAsia="Arial" w:cs="Arial"/>
                <w:b w:val="0"/>
                <w:i w:val="0"/>
                <w:color w:val="2C3E50"/>
                <w:sz w:val="20"/>
              </w:rPr>
              <w:t>Author</w:t>
            </w:r>
          </w:p>
        </w:tc>
        <w:tc>
          <w:tcPr>
            <w:tcW w:w="7056" w:type="dxa"/>
            <w:tcBorders>
              <w:top w:val="single" w:color="DDDDDD" w:sz="4" w:space="0"/>
              <w:left w:val="single" w:color="DDDDDD" w:sz="4" w:space="0"/>
              <w:bottom w:val="single" w:color="DDDDDD" w:sz="4" w:space="0"/>
              <w:right w:val="single" w:color="DDDDDD" w:sz="4" w:space="0"/>
            </w:tcBorders>
            <w:vAlign w:val="top"/>
          </w:tcPr>
          <w:p w14:paraId="03EC57A4">
            <w:pPr>
              <w:spacing w:before="40" w:after="40"/>
            </w:pPr>
            <w:r>
              <w:rPr>
                <w:rFonts w:ascii="Arial" w:hAnsi="Arial" w:eastAsia="Arial" w:cs="Arial"/>
                <w:b w:val="0"/>
                <w:i w:val="0"/>
                <w:color w:val="2C3E50"/>
                <w:sz w:val="20"/>
              </w:rPr>
              <w:t>Ashish Kumar Satyam</w:t>
            </w:r>
          </w:p>
        </w:tc>
      </w:tr>
      <w:tr w14:paraId="22C162FE">
        <w:tc>
          <w:tcPr>
            <w:tcW w:w="2304" w:type="dxa"/>
            <w:tcBorders>
              <w:top w:val="single" w:color="DDDDDD" w:sz="4" w:space="0"/>
              <w:left w:val="single" w:color="DDDDDD" w:sz="4" w:space="0"/>
              <w:bottom w:val="single" w:color="DDDDDD" w:sz="4" w:space="0"/>
              <w:right w:val="single" w:color="DDDDDD" w:sz="4" w:space="0"/>
            </w:tcBorders>
            <w:shd w:val="clear" w:color="auto" w:fill="F8F9FA"/>
            <w:vAlign w:val="top"/>
          </w:tcPr>
          <w:p w14:paraId="4530DEA7">
            <w:pPr>
              <w:spacing w:before="40" w:after="40"/>
            </w:pPr>
            <w:r>
              <w:rPr>
                <w:rFonts w:ascii="Arial" w:hAnsi="Arial" w:eastAsia="Arial" w:cs="Arial"/>
                <w:b w:val="0"/>
                <w:i w:val="0"/>
                <w:color w:val="2C3E50"/>
                <w:sz w:val="20"/>
              </w:rPr>
              <w:t>Prepared By</w:t>
            </w:r>
          </w:p>
        </w:tc>
        <w:tc>
          <w:tcPr>
            <w:tcW w:w="7056" w:type="dxa"/>
            <w:tcBorders>
              <w:top w:val="single" w:color="DDDDDD" w:sz="4" w:space="0"/>
              <w:left w:val="single" w:color="DDDDDD" w:sz="4" w:space="0"/>
              <w:bottom w:val="single" w:color="DDDDDD" w:sz="4" w:space="0"/>
              <w:right w:val="single" w:color="DDDDDD" w:sz="4" w:space="0"/>
            </w:tcBorders>
            <w:shd w:val="clear" w:color="auto" w:fill="F8F9FA"/>
            <w:vAlign w:val="top"/>
          </w:tcPr>
          <w:p w14:paraId="0CAA2BE9">
            <w:pPr>
              <w:spacing w:before="40" w:after="40"/>
            </w:pPr>
            <w:r>
              <w:rPr>
                <w:rFonts w:ascii="Arial" w:hAnsi="Arial" w:eastAsia="Arial" w:cs="Arial"/>
                <w:b w:val="0"/>
                <w:i w:val="0"/>
                <w:color w:val="2C3E50"/>
                <w:sz w:val="20"/>
              </w:rPr>
              <w:t>TechDigital WishTree</w:t>
            </w:r>
          </w:p>
        </w:tc>
      </w:tr>
      <w:tr w14:paraId="68FBF7D5">
        <w:tc>
          <w:tcPr>
            <w:tcW w:w="2304" w:type="dxa"/>
            <w:tcBorders>
              <w:top w:val="single" w:color="DDDDDD" w:sz="4" w:space="0"/>
              <w:left w:val="single" w:color="DDDDDD" w:sz="4" w:space="0"/>
              <w:bottom w:val="single" w:color="DDDDDD" w:sz="4" w:space="0"/>
              <w:right w:val="single" w:color="DDDDDD" w:sz="4" w:space="0"/>
            </w:tcBorders>
            <w:vAlign w:val="top"/>
          </w:tcPr>
          <w:p w14:paraId="371B5036">
            <w:pPr>
              <w:spacing w:before="40" w:after="40"/>
            </w:pPr>
            <w:r>
              <w:rPr>
                <w:rFonts w:ascii="Arial" w:hAnsi="Arial" w:eastAsia="Arial" w:cs="Arial"/>
                <w:b w:val="0"/>
                <w:i w:val="0"/>
                <w:color w:val="2C3E50"/>
                <w:sz w:val="20"/>
              </w:rPr>
              <w:t>Prepared For</w:t>
            </w:r>
          </w:p>
        </w:tc>
        <w:tc>
          <w:tcPr>
            <w:tcW w:w="7056" w:type="dxa"/>
            <w:tcBorders>
              <w:top w:val="single" w:color="DDDDDD" w:sz="4" w:space="0"/>
              <w:left w:val="single" w:color="DDDDDD" w:sz="4" w:space="0"/>
              <w:bottom w:val="single" w:color="DDDDDD" w:sz="4" w:space="0"/>
              <w:right w:val="single" w:color="DDDDDD" w:sz="4" w:space="0"/>
            </w:tcBorders>
            <w:vAlign w:val="top"/>
          </w:tcPr>
          <w:p w14:paraId="325B5964">
            <w:pPr>
              <w:spacing w:before="40" w:after="40"/>
            </w:pPr>
            <w:r>
              <w:rPr>
                <w:rFonts w:ascii="Arial" w:hAnsi="Arial" w:eastAsia="Arial" w:cs="Arial"/>
                <w:b w:val="0"/>
                <w:i w:val="0"/>
                <w:color w:val="2C3E50"/>
                <w:sz w:val="20"/>
              </w:rPr>
              <w:t>The Policy Exchange</w:t>
            </w:r>
          </w:p>
        </w:tc>
      </w:tr>
      <w:tr w14:paraId="2C50408C">
        <w:tc>
          <w:tcPr>
            <w:tcW w:w="2304" w:type="dxa"/>
            <w:tcBorders>
              <w:top w:val="single" w:color="DDDDDD" w:sz="4" w:space="0"/>
              <w:left w:val="single" w:color="DDDDDD" w:sz="4" w:space="0"/>
              <w:bottom w:val="single" w:color="DDDDDD" w:sz="4" w:space="0"/>
              <w:right w:val="single" w:color="DDDDDD" w:sz="4" w:space="0"/>
            </w:tcBorders>
            <w:shd w:val="clear" w:color="auto" w:fill="F8F9FA"/>
            <w:vAlign w:val="top"/>
          </w:tcPr>
          <w:p w14:paraId="1762E0EC">
            <w:pPr>
              <w:spacing w:before="40" w:after="40"/>
            </w:pPr>
            <w:r>
              <w:rPr>
                <w:rFonts w:ascii="Arial" w:hAnsi="Arial" w:eastAsia="Arial" w:cs="Arial"/>
                <w:b w:val="0"/>
                <w:i w:val="0"/>
                <w:color w:val="2C3E50"/>
                <w:sz w:val="20"/>
              </w:rPr>
              <w:t>Audience</w:t>
            </w:r>
          </w:p>
        </w:tc>
        <w:tc>
          <w:tcPr>
            <w:tcW w:w="7056" w:type="dxa"/>
            <w:tcBorders>
              <w:top w:val="single" w:color="DDDDDD" w:sz="4" w:space="0"/>
              <w:left w:val="single" w:color="DDDDDD" w:sz="4" w:space="0"/>
              <w:bottom w:val="single" w:color="DDDDDD" w:sz="4" w:space="0"/>
              <w:right w:val="single" w:color="DDDDDD" w:sz="4" w:space="0"/>
            </w:tcBorders>
            <w:shd w:val="clear" w:color="auto" w:fill="F8F9FA"/>
            <w:vAlign w:val="top"/>
          </w:tcPr>
          <w:p w14:paraId="330E9F6C">
            <w:pPr>
              <w:spacing w:before="40" w:after="40"/>
            </w:pPr>
            <w:r>
              <w:rPr>
                <w:rFonts w:ascii="Arial" w:hAnsi="Arial" w:eastAsia="Arial" w:cs="Arial"/>
                <w:b w:val="0"/>
                <w:i w:val="0"/>
                <w:color w:val="2C3E50"/>
                <w:sz w:val="20"/>
              </w:rPr>
              <w:t>Operations / Customer-Care / Marketing — operators of the TPE Comms platform</w:t>
            </w:r>
          </w:p>
        </w:tc>
      </w:tr>
    </w:tbl>
    <w:p w14:paraId="432E2F6E">
      <w:pPr>
        <w:spacing w:before="0" w:after="480"/>
      </w:pPr>
    </w:p>
    <w:tbl>
      <w:tblPr>
        <w:tblStyle w:val="12"/>
        <w:tblW w:w="0" w:type="auto"/>
        <w:tblInd w:w="0" w:type="dxa"/>
        <w:tblLayout w:type="fixed"/>
        <w:tblCellMar>
          <w:top w:w="0" w:type="dxa"/>
          <w:left w:w="108" w:type="dxa"/>
          <w:bottom w:w="0" w:type="dxa"/>
          <w:right w:w="108" w:type="dxa"/>
        </w:tblCellMar>
      </w:tblPr>
      <w:tblGrid>
        <w:gridCol w:w="9360"/>
      </w:tblGrid>
      <w:tr w14:paraId="4D6EBA93">
        <w:tc>
          <w:tcPr>
            <w:tcW w:w="9360" w:type="dxa"/>
            <w:shd w:val="clear" w:color="auto" w:fill="1B3A5C"/>
          </w:tcPr>
          <w:p w14:paraId="783B91E0">
            <w:pPr>
              <w:spacing w:before="80" w:after="40"/>
              <w:jc w:val="center"/>
            </w:pPr>
            <w:r>
              <w:rPr>
                <w:rFonts w:ascii="Arial" w:hAnsi="Arial" w:eastAsia="Arial" w:cs="Arial"/>
                <w:b/>
                <w:i w:val="0"/>
                <w:color w:val="FFFFFF"/>
                <w:sz w:val="24"/>
              </w:rPr>
              <w:t>Prepared by TechDigital WishTree</w:t>
            </w:r>
          </w:p>
        </w:tc>
      </w:tr>
      <w:tr w14:paraId="02F3B924">
        <w:tc>
          <w:tcPr>
            <w:tcW w:w="9360" w:type="dxa"/>
            <w:shd w:val="clear" w:color="auto" w:fill="1B3A5C"/>
          </w:tcPr>
          <w:p w14:paraId="27EC01E6">
            <w:pPr>
              <w:spacing w:before="40" w:after="80"/>
              <w:jc w:val="center"/>
            </w:pPr>
            <w:r>
              <w:rPr>
                <w:rFonts w:ascii="Arial" w:hAnsi="Arial" w:eastAsia="Arial" w:cs="Arial"/>
                <w:b w:val="0"/>
                <w:i w:val="0"/>
                <w:color w:val="FFFFFF"/>
                <w:sz w:val="20"/>
              </w:rPr>
              <w:t>For The Policy Exchange  •  www.thepolicyexchange.com  •  01 May 2026</w:t>
            </w:r>
          </w:p>
        </w:tc>
      </w:tr>
    </w:tbl>
    <w:p w14:paraId="4EDDB9AF">
      <w:r>
        <w:br w:type="page"/>
      </w:r>
    </w:p>
    <w:p w14:paraId="1201F2B9">
      <w:pPr>
        <w:keepNext/>
        <w:spacing w:before="240" w:after="160"/>
      </w:pPr>
      <w:r>
        <w:rPr>
          <w:rFonts w:ascii="Arial" w:hAnsi="Arial" w:eastAsia="Arial" w:cs="Arial"/>
          <w:b/>
          <w:i w:val="0"/>
          <w:color w:val="1B3A5C"/>
          <w:sz w:val="36"/>
        </w:rPr>
        <w:t>1.  Document Control</w:t>
      </w:r>
    </w:p>
    <w:p w14:paraId="1E88BAD9">
      <w:pPr>
        <w:spacing w:before="0" w:after="80"/>
      </w:pPr>
      <w:r>
        <w:rPr>
          <w:rFonts w:ascii="Arial" w:hAnsi="Arial" w:eastAsia="Arial" w:cs="Arial"/>
          <w:b/>
          <w:i w:val="0"/>
          <w:color w:val="1B3A5C"/>
          <w:sz w:val="22"/>
        </w:rPr>
        <w:t>Version history</w:t>
      </w:r>
    </w:p>
    <w:tbl>
      <w:tblPr>
        <w:tblStyle w:val="12"/>
        <w:tblW w:w="0" w:type="auto"/>
        <w:tblInd w:w="0" w:type="dxa"/>
        <w:tblLayout w:type="fixed"/>
        <w:tblCellMar>
          <w:top w:w="0" w:type="dxa"/>
          <w:left w:w="108" w:type="dxa"/>
          <w:bottom w:w="0" w:type="dxa"/>
          <w:right w:w="108" w:type="dxa"/>
        </w:tblCellMar>
      </w:tblPr>
      <w:tblGrid>
        <w:gridCol w:w="1008"/>
        <w:gridCol w:w="1584"/>
        <w:gridCol w:w="2304"/>
        <w:gridCol w:w="4464"/>
      </w:tblGrid>
      <w:tr w14:paraId="29F0B69D">
        <w:tc>
          <w:tcPr>
            <w:tcW w:w="1008" w:type="dxa"/>
            <w:tcBorders>
              <w:top w:val="single" w:color="FFFFFF" w:sz="4" w:space="0"/>
              <w:left w:val="single" w:color="FFFFFF" w:sz="4" w:space="0"/>
              <w:bottom w:val="single" w:color="FFFFFF" w:sz="4" w:space="0"/>
              <w:right w:val="single" w:color="FFFFFF" w:sz="4" w:space="0"/>
            </w:tcBorders>
            <w:shd w:val="clear" w:color="auto" w:fill="1B3A5C"/>
            <w:vAlign w:val="center"/>
          </w:tcPr>
          <w:p w14:paraId="6B9DE4A7">
            <w:pPr>
              <w:spacing w:before="40" w:after="40"/>
            </w:pPr>
            <w:r>
              <w:rPr>
                <w:rFonts w:ascii="Arial" w:hAnsi="Arial" w:eastAsia="Arial" w:cs="Arial"/>
                <w:b/>
                <w:i w:val="0"/>
                <w:color w:val="FFFFFF"/>
                <w:sz w:val="20"/>
              </w:rPr>
              <w:t>Version</w:t>
            </w:r>
          </w:p>
        </w:tc>
        <w:tc>
          <w:tcPr>
            <w:tcW w:w="1584" w:type="dxa"/>
            <w:tcBorders>
              <w:top w:val="single" w:color="FFFFFF" w:sz="4" w:space="0"/>
              <w:left w:val="single" w:color="FFFFFF" w:sz="4" w:space="0"/>
              <w:bottom w:val="single" w:color="FFFFFF" w:sz="4" w:space="0"/>
              <w:right w:val="single" w:color="FFFFFF" w:sz="4" w:space="0"/>
            </w:tcBorders>
            <w:shd w:val="clear" w:color="auto" w:fill="1B3A5C"/>
            <w:vAlign w:val="center"/>
          </w:tcPr>
          <w:p w14:paraId="599EC3CF">
            <w:pPr>
              <w:spacing w:before="40" w:after="40"/>
            </w:pPr>
            <w:r>
              <w:rPr>
                <w:rFonts w:ascii="Arial" w:hAnsi="Arial" w:eastAsia="Arial" w:cs="Arial"/>
                <w:b/>
                <w:i w:val="0"/>
                <w:color w:val="FFFFFF"/>
                <w:sz w:val="20"/>
              </w:rPr>
              <w:t>Date</w:t>
            </w:r>
          </w:p>
        </w:tc>
        <w:tc>
          <w:tcPr>
            <w:tcW w:w="2304" w:type="dxa"/>
            <w:tcBorders>
              <w:top w:val="single" w:color="FFFFFF" w:sz="4" w:space="0"/>
              <w:left w:val="single" w:color="FFFFFF" w:sz="4" w:space="0"/>
              <w:bottom w:val="single" w:color="FFFFFF" w:sz="4" w:space="0"/>
              <w:right w:val="single" w:color="FFFFFF" w:sz="4" w:space="0"/>
            </w:tcBorders>
            <w:shd w:val="clear" w:color="auto" w:fill="1B3A5C"/>
            <w:vAlign w:val="center"/>
          </w:tcPr>
          <w:p w14:paraId="5D9113EC">
            <w:pPr>
              <w:spacing w:before="40" w:after="40"/>
            </w:pPr>
            <w:r>
              <w:rPr>
                <w:rFonts w:ascii="Arial" w:hAnsi="Arial" w:eastAsia="Arial" w:cs="Arial"/>
                <w:b/>
                <w:i w:val="0"/>
                <w:color w:val="FFFFFF"/>
                <w:sz w:val="20"/>
              </w:rPr>
              <w:t>Author</w:t>
            </w:r>
          </w:p>
        </w:tc>
        <w:tc>
          <w:tcPr>
            <w:tcW w:w="4464" w:type="dxa"/>
            <w:tcBorders>
              <w:top w:val="single" w:color="FFFFFF" w:sz="4" w:space="0"/>
              <w:left w:val="single" w:color="FFFFFF" w:sz="4" w:space="0"/>
              <w:bottom w:val="single" w:color="FFFFFF" w:sz="4" w:space="0"/>
              <w:right w:val="single" w:color="FFFFFF" w:sz="4" w:space="0"/>
            </w:tcBorders>
            <w:shd w:val="clear" w:color="auto" w:fill="1B3A5C"/>
            <w:vAlign w:val="center"/>
          </w:tcPr>
          <w:p w14:paraId="18EFC35A">
            <w:pPr>
              <w:spacing w:before="40" w:after="40"/>
            </w:pPr>
            <w:r>
              <w:rPr>
                <w:rFonts w:ascii="Arial" w:hAnsi="Arial" w:eastAsia="Arial" w:cs="Arial"/>
                <w:b/>
                <w:i w:val="0"/>
                <w:color w:val="FFFFFF"/>
                <w:sz w:val="20"/>
              </w:rPr>
              <w:t>Summary of changes</w:t>
            </w:r>
          </w:p>
        </w:tc>
      </w:tr>
      <w:tr w14:paraId="0FFAF3BB">
        <w:tc>
          <w:tcPr>
            <w:tcW w:w="1008" w:type="dxa"/>
            <w:tcBorders>
              <w:top w:val="single" w:color="DDDDDD" w:sz="4" w:space="0"/>
              <w:left w:val="single" w:color="DDDDDD" w:sz="4" w:space="0"/>
              <w:bottom w:val="single" w:color="DDDDDD" w:sz="4" w:space="0"/>
              <w:right w:val="single" w:color="DDDDDD" w:sz="4" w:space="0"/>
            </w:tcBorders>
            <w:vAlign w:val="top"/>
          </w:tcPr>
          <w:p w14:paraId="23575BC8">
            <w:pPr>
              <w:spacing w:before="40" w:after="40"/>
            </w:pPr>
            <w:r>
              <w:rPr>
                <w:rFonts w:ascii="Arial" w:hAnsi="Arial" w:eastAsia="Arial" w:cs="Arial"/>
                <w:b w:val="0"/>
                <w:i w:val="0"/>
                <w:color w:val="2C3E50"/>
                <w:sz w:val="20"/>
              </w:rPr>
              <w:t>1.0</w:t>
            </w:r>
          </w:p>
        </w:tc>
        <w:tc>
          <w:tcPr>
            <w:tcW w:w="1584" w:type="dxa"/>
            <w:tcBorders>
              <w:top w:val="single" w:color="DDDDDD" w:sz="4" w:space="0"/>
              <w:left w:val="single" w:color="DDDDDD" w:sz="4" w:space="0"/>
              <w:bottom w:val="single" w:color="DDDDDD" w:sz="4" w:space="0"/>
              <w:right w:val="single" w:color="DDDDDD" w:sz="4" w:space="0"/>
            </w:tcBorders>
            <w:vAlign w:val="top"/>
          </w:tcPr>
          <w:p w14:paraId="6FA514D4">
            <w:pPr>
              <w:spacing w:before="40" w:after="40"/>
            </w:pPr>
            <w:r>
              <w:rPr>
                <w:rFonts w:ascii="Arial" w:hAnsi="Arial" w:eastAsia="Arial" w:cs="Arial"/>
                <w:b w:val="0"/>
                <w:i w:val="0"/>
                <w:color w:val="2C3E50"/>
                <w:sz w:val="20"/>
              </w:rPr>
              <w:t>01 May 2026</w:t>
            </w:r>
          </w:p>
        </w:tc>
        <w:tc>
          <w:tcPr>
            <w:tcW w:w="2304" w:type="dxa"/>
            <w:tcBorders>
              <w:top w:val="single" w:color="DDDDDD" w:sz="4" w:space="0"/>
              <w:left w:val="single" w:color="DDDDDD" w:sz="4" w:space="0"/>
              <w:bottom w:val="single" w:color="DDDDDD" w:sz="4" w:space="0"/>
              <w:right w:val="single" w:color="DDDDDD" w:sz="4" w:space="0"/>
            </w:tcBorders>
            <w:vAlign w:val="top"/>
          </w:tcPr>
          <w:p w14:paraId="7668D820">
            <w:pPr>
              <w:spacing w:before="40" w:after="40"/>
            </w:pPr>
            <w:r>
              <w:rPr>
                <w:rFonts w:ascii="Arial" w:hAnsi="Arial" w:eastAsia="Arial" w:cs="Arial"/>
                <w:b w:val="0"/>
                <w:i w:val="0"/>
                <w:color w:val="2C3E50"/>
                <w:sz w:val="20"/>
              </w:rPr>
              <w:t>Ashish Kumar Satyam</w:t>
            </w:r>
          </w:p>
        </w:tc>
        <w:tc>
          <w:tcPr>
            <w:tcW w:w="4464" w:type="dxa"/>
            <w:tcBorders>
              <w:top w:val="single" w:color="DDDDDD" w:sz="4" w:space="0"/>
              <w:left w:val="single" w:color="DDDDDD" w:sz="4" w:space="0"/>
              <w:bottom w:val="single" w:color="DDDDDD" w:sz="4" w:space="0"/>
              <w:right w:val="single" w:color="DDDDDD" w:sz="4" w:space="0"/>
            </w:tcBorders>
            <w:vAlign w:val="top"/>
          </w:tcPr>
          <w:p w14:paraId="560E22EF">
            <w:pPr>
              <w:spacing w:before="40" w:after="40"/>
            </w:pPr>
            <w:r>
              <w:rPr>
                <w:rFonts w:ascii="Arial" w:hAnsi="Arial" w:eastAsia="Arial" w:cs="Arial"/>
                <w:b w:val="0"/>
                <w:i w:val="0"/>
                <w:color w:val="2C3E50"/>
                <w:sz w:val="20"/>
              </w:rPr>
              <w:t>Initial publication. Covers TPE Admin Console (Phase 1A–1C) + Novu CE 2.3.0 Studio dashboard authoring.</w:t>
            </w:r>
          </w:p>
        </w:tc>
      </w:tr>
    </w:tbl>
    <w:p w14:paraId="11C3E554">
      <w:pPr>
        <w:spacing w:before="0" w:after="120"/>
      </w:pPr>
    </w:p>
    <w:p w14:paraId="1B0E9AF9">
      <w:pPr>
        <w:spacing w:before="0" w:after="80"/>
      </w:pPr>
      <w:r>
        <w:rPr>
          <w:rFonts w:ascii="Arial" w:hAnsi="Arial" w:eastAsia="Arial" w:cs="Arial"/>
          <w:b/>
          <w:i w:val="0"/>
          <w:color w:val="1B3A5C"/>
          <w:sz w:val="22"/>
        </w:rPr>
        <w:t>Document owner &amp; distribution</w:t>
      </w:r>
    </w:p>
    <w:tbl>
      <w:tblPr>
        <w:tblStyle w:val="12"/>
        <w:tblW w:w="0" w:type="auto"/>
        <w:tblInd w:w="0" w:type="dxa"/>
        <w:tblLayout w:type="fixed"/>
        <w:tblCellMar>
          <w:top w:w="0" w:type="dxa"/>
          <w:left w:w="108" w:type="dxa"/>
          <w:bottom w:w="0" w:type="dxa"/>
          <w:right w:w="108" w:type="dxa"/>
        </w:tblCellMar>
      </w:tblPr>
      <w:tblGrid>
        <w:gridCol w:w="2592"/>
        <w:gridCol w:w="6768"/>
      </w:tblGrid>
      <w:tr w14:paraId="3927BB43">
        <w:tc>
          <w:tcPr>
            <w:tcW w:w="2592" w:type="dxa"/>
            <w:tcBorders>
              <w:top w:val="single" w:color="FFFFFF" w:sz="4" w:space="0"/>
              <w:left w:val="single" w:color="FFFFFF" w:sz="4" w:space="0"/>
              <w:bottom w:val="single" w:color="FFFFFF" w:sz="4" w:space="0"/>
              <w:right w:val="single" w:color="FFFFFF" w:sz="4" w:space="0"/>
            </w:tcBorders>
            <w:shd w:val="clear" w:color="auto" w:fill="1B3A5C"/>
            <w:vAlign w:val="center"/>
          </w:tcPr>
          <w:p w14:paraId="30BFFA87">
            <w:pPr>
              <w:spacing w:before="40" w:after="40"/>
            </w:pPr>
            <w:r>
              <w:rPr>
                <w:rFonts w:ascii="Arial" w:hAnsi="Arial" w:eastAsia="Arial" w:cs="Arial"/>
                <w:b/>
                <w:i w:val="0"/>
                <w:color w:val="FFFFFF"/>
                <w:sz w:val="20"/>
              </w:rPr>
              <w:t>Role</w:t>
            </w:r>
          </w:p>
        </w:tc>
        <w:tc>
          <w:tcPr>
            <w:tcW w:w="6768" w:type="dxa"/>
            <w:tcBorders>
              <w:top w:val="single" w:color="FFFFFF" w:sz="4" w:space="0"/>
              <w:left w:val="single" w:color="FFFFFF" w:sz="4" w:space="0"/>
              <w:bottom w:val="single" w:color="FFFFFF" w:sz="4" w:space="0"/>
              <w:right w:val="single" w:color="FFFFFF" w:sz="4" w:space="0"/>
            </w:tcBorders>
            <w:shd w:val="clear" w:color="auto" w:fill="1B3A5C"/>
            <w:vAlign w:val="center"/>
          </w:tcPr>
          <w:p w14:paraId="53AFB3E8">
            <w:pPr>
              <w:spacing w:before="40" w:after="40"/>
            </w:pPr>
            <w:r>
              <w:rPr>
                <w:rFonts w:ascii="Arial" w:hAnsi="Arial" w:eastAsia="Arial" w:cs="Arial"/>
                <w:b/>
                <w:i w:val="0"/>
                <w:color w:val="FFFFFF"/>
                <w:sz w:val="20"/>
              </w:rPr>
              <w:t>Name / team</w:t>
            </w:r>
          </w:p>
        </w:tc>
      </w:tr>
      <w:tr w14:paraId="31E10F69">
        <w:tc>
          <w:tcPr>
            <w:tcW w:w="2592" w:type="dxa"/>
            <w:tcBorders>
              <w:top w:val="single" w:color="DDDDDD" w:sz="4" w:space="0"/>
              <w:left w:val="single" w:color="DDDDDD" w:sz="4" w:space="0"/>
              <w:bottom w:val="single" w:color="DDDDDD" w:sz="4" w:space="0"/>
              <w:right w:val="single" w:color="DDDDDD" w:sz="4" w:space="0"/>
            </w:tcBorders>
            <w:vAlign w:val="top"/>
          </w:tcPr>
          <w:p w14:paraId="527EA9C6">
            <w:pPr>
              <w:spacing w:before="40" w:after="40"/>
            </w:pPr>
            <w:r>
              <w:rPr>
                <w:rFonts w:ascii="Arial" w:hAnsi="Arial" w:eastAsia="Arial" w:cs="Arial"/>
                <w:b w:val="0"/>
                <w:i w:val="0"/>
                <w:color w:val="2C3E50"/>
                <w:sz w:val="20"/>
              </w:rPr>
              <w:t>Document Owner</w:t>
            </w:r>
          </w:p>
        </w:tc>
        <w:tc>
          <w:tcPr>
            <w:tcW w:w="6768" w:type="dxa"/>
            <w:tcBorders>
              <w:top w:val="single" w:color="DDDDDD" w:sz="4" w:space="0"/>
              <w:left w:val="single" w:color="DDDDDD" w:sz="4" w:space="0"/>
              <w:bottom w:val="single" w:color="DDDDDD" w:sz="4" w:space="0"/>
              <w:right w:val="single" w:color="DDDDDD" w:sz="4" w:space="0"/>
            </w:tcBorders>
            <w:vAlign w:val="top"/>
          </w:tcPr>
          <w:p w14:paraId="373FE117">
            <w:pPr>
              <w:spacing w:before="40" w:after="40"/>
            </w:pPr>
            <w:r>
              <w:rPr>
                <w:rFonts w:ascii="Arial" w:hAnsi="Arial" w:eastAsia="Arial" w:cs="Arial"/>
                <w:b w:val="0"/>
                <w:i w:val="0"/>
                <w:color w:val="2C3E50"/>
                <w:sz w:val="20"/>
              </w:rPr>
              <w:t>Engineering Lead, TechDigital WishTree</w:t>
            </w:r>
          </w:p>
        </w:tc>
      </w:tr>
      <w:tr w14:paraId="16D28510">
        <w:tc>
          <w:tcPr>
            <w:tcW w:w="2592" w:type="dxa"/>
            <w:tcBorders>
              <w:top w:val="single" w:color="DDDDDD" w:sz="4" w:space="0"/>
              <w:left w:val="single" w:color="DDDDDD" w:sz="4" w:space="0"/>
              <w:bottom w:val="single" w:color="DDDDDD" w:sz="4" w:space="0"/>
              <w:right w:val="single" w:color="DDDDDD" w:sz="4" w:space="0"/>
            </w:tcBorders>
            <w:shd w:val="clear" w:color="auto" w:fill="F8F9FA"/>
            <w:vAlign w:val="top"/>
          </w:tcPr>
          <w:p w14:paraId="64685F79">
            <w:pPr>
              <w:spacing w:before="40" w:after="40"/>
            </w:pPr>
            <w:r>
              <w:rPr>
                <w:rFonts w:ascii="Arial" w:hAnsi="Arial" w:eastAsia="Arial" w:cs="Arial"/>
                <w:b w:val="0"/>
                <w:i w:val="0"/>
                <w:color w:val="2C3E50"/>
                <w:sz w:val="20"/>
              </w:rPr>
              <w:t>Reviewer (Compliance)</w:t>
            </w:r>
          </w:p>
        </w:tc>
        <w:tc>
          <w:tcPr>
            <w:tcW w:w="6768" w:type="dxa"/>
            <w:tcBorders>
              <w:top w:val="single" w:color="DDDDDD" w:sz="4" w:space="0"/>
              <w:left w:val="single" w:color="DDDDDD" w:sz="4" w:space="0"/>
              <w:bottom w:val="single" w:color="DDDDDD" w:sz="4" w:space="0"/>
              <w:right w:val="single" w:color="DDDDDD" w:sz="4" w:space="0"/>
            </w:tcBorders>
            <w:shd w:val="clear" w:color="auto" w:fill="F8F9FA"/>
            <w:vAlign w:val="top"/>
          </w:tcPr>
          <w:p w14:paraId="5C690839">
            <w:pPr>
              <w:spacing w:before="40" w:after="40"/>
            </w:pPr>
            <w:r>
              <w:rPr>
                <w:rFonts w:ascii="Arial" w:hAnsi="Arial" w:eastAsia="Arial" w:cs="Arial"/>
                <w:b w:val="0"/>
                <w:i w:val="0"/>
                <w:color w:val="2C3E50"/>
                <w:sz w:val="20"/>
              </w:rPr>
              <w:t>Compliance Lead, The Policy Exchange</w:t>
            </w:r>
          </w:p>
        </w:tc>
      </w:tr>
      <w:tr w14:paraId="648C6E9E">
        <w:tc>
          <w:tcPr>
            <w:tcW w:w="2592" w:type="dxa"/>
            <w:tcBorders>
              <w:top w:val="single" w:color="DDDDDD" w:sz="4" w:space="0"/>
              <w:left w:val="single" w:color="DDDDDD" w:sz="4" w:space="0"/>
              <w:bottom w:val="single" w:color="DDDDDD" w:sz="4" w:space="0"/>
              <w:right w:val="single" w:color="DDDDDD" w:sz="4" w:space="0"/>
            </w:tcBorders>
            <w:vAlign w:val="top"/>
          </w:tcPr>
          <w:p w14:paraId="7557C94A">
            <w:pPr>
              <w:spacing w:before="40" w:after="40"/>
            </w:pPr>
            <w:r>
              <w:rPr>
                <w:rFonts w:ascii="Arial" w:hAnsi="Arial" w:eastAsia="Arial" w:cs="Arial"/>
                <w:b w:val="0"/>
                <w:i w:val="0"/>
                <w:color w:val="2C3E50"/>
                <w:sz w:val="20"/>
              </w:rPr>
              <w:t>Reviewer (CX)</w:t>
            </w:r>
          </w:p>
        </w:tc>
        <w:tc>
          <w:tcPr>
            <w:tcW w:w="6768" w:type="dxa"/>
            <w:tcBorders>
              <w:top w:val="single" w:color="DDDDDD" w:sz="4" w:space="0"/>
              <w:left w:val="single" w:color="DDDDDD" w:sz="4" w:space="0"/>
              <w:bottom w:val="single" w:color="DDDDDD" w:sz="4" w:space="0"/>
              <w:right w:val="single" w:color="DDDDDD" w:sz="4" w:space="0"/>
            </w:tcBorders>
            <w:vAlign w:val="top"/>
          </w:tcPr>
          <w:p w14:paraId="474020D0">
            <w:pPr>
              <w:spacing w:before="40" w:after="40"/>
            </w:pPr>
            <w:r>
              <w:rPr>
                <w:rFonts w:ascii="Arial" w:hAnsi="Arial" w:eastAsia="Arial" w:cs="Arial"/>
                <w:b w:val="0"/>
                <w:i w:val="0"/>
                <w:color w:val="2C3E50"/>
                <w:sz w:val="20"/>
              </w:rPr>
              <w:t>Customer Experience Lead, The Policy Exchange</w:t>
            </w:r>
          </w:p>
        </w:tc>
      </w:tr>
      <w:tr w14:paraId="5D3DCE55">
        <w:tc>
          <w:tcPr>
            <w:tcW w:w="2592" w:type="dxa"/>
            <w:tcBorders>
              <w:top w:val="single" w:color="DDDDDD" w:sz="4" w:space="0"/>
              <w:left w:val="single" w:color="DDDDDD" w:sz="4" w:space="0"/>
              <w:bottom w:val="single" w:color="DDDDDD" w:sz="4" w:space="0"/>
              <w:right w:val="single" w:color="DDDDDD" w:sz="4" w:space="0"/>
            </w:tcBorders>
            <w:shd w:val="clear" w:color="auto" w:fill="F8F9FA"/>
            <w:vAlign w:val="top"/>
          </w:tcPr>
          <w:p w14:paraId="7C429858">
            <w:pPr>
              <w:spacing w:before="40" w:after="40"/>
            </w:pPr>
            <w:r>
              <w:rPr>
                <w:rFonts w:ascii="Arial" w:hAnsi="Arial" w:eastAsia="Arial" w:cs="Arial"/>
                <w:b w:val="0"/>
                <w:i w:val="0"/>
                <w:color w:val="2C3E50"/>
                <w:sz w:val="20"/>
              </w:rPr>
              <w:t>Approver</w:t>
            </w:r>
          </w:p>
        </w:tc>
        <w:tc>
          <w:tcPr>
            <w:tcW w:w="6768" w:type="dxa"/>
            <w:tcBorders>
              <w:top w:val="single" w:color="DDDDDD" w:sz="4" w:space="0"/>
              <w:left w:val="single" w:color="DDDDDD" w:sz="4" w:space="0"/>
              <w:bottom w:val="single" w:color="DDDDDD" w:sz="4" w:space="0"/>
              <w:right w:val="single" w:color="DDDDDD" w:sz="4" w:space="0"/>
            </w:tcBorders>
            <w:shd w:val="clear" w:color="auto" w:fill="F8F9FA"/>
            <w:vAlign w:val="top"/>
          </w:tcPr>
          <w:p w14:paraId="11C0DFE7">
            <w:pPr>
              <w:spacing w:before="40" w:after="40"/>
            </w:pPr>
            <w:r>
              <w:rPr>
                <w:rFonts w:ascii="Arial" w:hAnsi="Arial" w:eastAsia="Arial" w:cs="Arial"/>
                <w:b w:val="0"/>
                <w:i w:val="0"/>
                <w:color w:val="2C3E50"/>
                <w:sz w:val="20"/>
              </w:rPr>
              <w:t>Project Owner / CTO, The Policy Exchange</w:t>
            </w:r>
          </w:p>
        </w:tc>
      </w:tr>
      <w:tr w14:paraId="4099E7A3">
        <w:tc>
          <w:tcPr>
            <w:tcW w:w="2592" w:type="dxa"/>
            <w:tcBorders>
              <w:top w:val="single" w:color="DDDDDD" w:sz="4" w:space="0"/>
              <w:left w:val="single" w:color="DDDDDD" w:sz="4" w:space="0"/>
              <w:bottom w:val="single" w:color="DDDDDD" w:sz="4" w:space="0"/>
              <w:right w:val="single" w:color="DDDDDD" w:sz="4" w:space="0"/>
            </w:tcBorders>
            <w:vAlign w:val="top"/>
          </w:tcPr>
          <w:p w14:paraId="2D3300C0">
            <w:pPr>
              <w:spacing w:before="40" w:after="40"/>
            </w:pPr>
            <w:r>
              <w:rPr>
                <w:rFonts w:ascii="Arial" w:hAnsi="Arial" w:eastAsia="Arial" w:cs="Arial"/>
                <w:b w:val="0"/>
                <w:i w:val="0"/>
                <w:color w:val="2C3E50"/>
                <w:sz w:val="20"/>
              </w:rPr>
              <w:t>Distribution</w:t>
            </w:r>
          </w:p>
        </w:tc>
        <w:tc>
          <w:tcPr>
            <w:tcW w:w="6768" w:type="dxa"/>
            <w:tcBorders>
              <w:top w:val="single" w:color="DDDDDD" w:sz="4" w:space="0"/>
              <w:left w:val="single" w:color="DDDDDD" w:sz="4" w:space="0"/>
              <w:bottom w:val="single" w:color="DDDDDD" w:sz="4" w:space="0"/>
              <w:right w:val="single" w:color="DDDDDD" w:sz="4" w:space="0"/>
            </w:tcBorders>
            <w:vAlign w:val="top"/>
          </w:tcPr>
          <w:p w14:paraId="07FA484F">
            <w:pPr>
              <w:spacing w:before="40" w:after="40"/>
            </w:pPr>
            <w:r>
              <w:rPr>
                <w:rFonts w:ascii="Arial" w:hAnsi="Arial" w:eastAsia="Arial" w:cs="Arial"/>
                <w:b w:val="0"/>
                <w:i w:val="0"/>
                <w:color w:val="2C3E50"/>
                <w:sz w:val="20"/>
              </w:rPr>
              <w:t>Operations, Customer-Care, Marketing operators of the TPE Comms platform; copy on file with the Project Owner</w:t>
            </w:r>
          </w:p>
        </w:tc>
      </w:tr>
      <w:tr w14:paraId="54FAB323">
        <w:tc>
          <w:tcPr>
            <w:tcW w:w="2592" w:type="dxa"/>
            <w:tcBorders>
              <w:top w:val="single" w:color="DDDDDD" w:sz="4" w:space="0"/>
              <w:left w:val="single" w:color="DDDDDD" w:sz="4" w:space="0"/>
              <w:bottom w:val="single" w:color="DDDDDD" w:sz="4" w:space="0"/>
              <w:right w:val="single" w:color="DDDDDD" w:sz="4" w:space="0"/>
            </w:tcBorders>
            <w:shd w:val="clear" w:color="auto" w:fill="F8F9FA"/>
            <w:vAlign w:val="top"/>
          </w:tcPr>
          <w:p w14:paraId="4F02A090">
            <w:pPr>
              <w:spacing w:before="40" w:after="40"/>
            </w:pPr>
            <w:r>
              <w:rPr>
                <w:rFonts w:ascii="Arial" w:hAnsi="Arial" w:eastAsia="Arial" w:cs="Arial"/>
                <w:b w:val="0"/>
                <w:i w:val="0"/>
                <w:color w:val="2C3E50"/>
                <w:sz w:val="20"/>
              </w:rPr>
              <w:t>Classification</w:t>
            </w:r>
          </w:p>
        </w:tc>
        <w:tc>
          <w:tcPr>
            <w:tcW w:w="6768" w:type="dxa"/>
            <w:tcBorders>
              <w:top w:val="single" w:color="DDDDDD" w:sz="4" w:space="0"/>
              <w:left w:val="single" w:color="DDDDDD" w:sz="4" w:space="0"/>
              <w:bottom w:val="single" w:color="DDDDDD" w:sz="4" w:space="0"/>
              <w:right w:val="single" w:color="DDDDDD" w:sz="4" w:space="0"/>
            </w:tcBorders>
            <w:shd w:val="clear" w:color="auto" w:fill="F8F9FA"/>
            <w:vAlign w:val="top"/>
          </w:tcPr>
          <w:p w14:paraId="17D7236A">
            <w:pPr>
              <w:spacing w:before="40" w:after="40"/>
            </w:pPr>
            <w:r>
              <w:rPr>
                <w:rFonts w:ascii="Arial" w:hAnsi="Arial" w:eastAsia="Arial" w:cs="Arial"/>
                <w:b w:val="0"/>
                <w:i w:val="0"/>
                <w:color w:val="2C3E50"/>
                <w:sz w:val="20"/>
              </w:rPr>
              <w:t>Internal / Confidential</w:t>
            </w:r>
          </w:p>
        </w:tc>
      </w:tr>
      <w:tr w14:paraId="3B02975A">
        <w:tc>
          <w:tcPr>
            <w:tcW w:w="2592" w:type="dxa"/>
            <w:tcBorders>
              <w:top w:val="single" w:color="DDDDDD" w:sz="4" w:space="0"/>
              <w:left w:val="single" w:color="DDDDDD" w:sz="4" w:space="0"/>
              <w:bottom w:val="single" w:color="DDDDDD" w:sz="4" w:space="0"/>
              <w:right w:val="single" w:color="DDDDDD" w:sz="4" w:space="0"/>
            </w:tcBorders>
            <w:vAlign w:val="top"/>
          </w:tcPr>
          <w:p w14:paraId="67AF494C">
            <w:pPr>
              <w:spacing w:before="40" w:after="40"/>
            </w:pPr>
            <w:r>
              <w:rPr>
                <w:rFonts w:ascii="Arial" w:hAnsi="Arial" w:eastAsia="Arial" w:cs="Arial"/>
                <w:b w:val="0"/>
                <w:i w:val="0"/>
                <w:color w:val="2C3E50"/>
                <w:sz w:val="20"/>
              </w:rPr>
              <w:t>Retention</w:t>
            </w:r>
          </w:p>
        </w:tc>
        <w:tc>
          <w:tcPr>
            <w:tcW w:w="6768" w:type="dxa"/>
            <w:tcBorders>
              <w:top w:val="single" w:color="DDDDDD" w:sz="4" w:space="0"/>
              <w:left w:val="single" w:color="DDDDDD" w:sz="4" w:space="0"/>
              <w:bottom w:val="single" w:color="DDDDDD" w:sz="4" w:space="0"/>
              <w:right w:val="single" w:color="DDDDDD" w:sz="4" w:space="0"/>
            </w:tcBorders>
            <w:vAlign w:val="top"/>
          </w:tcPr>
          <w:p w14:paraId="5D178572">
            <w:pPr>
              <w:spacing w:before="40" w:after="40"/>
            </w:pPr>
            <w:r>
              <w:rPr>
                <w:rFonts w:ascii="Arial" w:hAnsi="Arial" w:eastAsia="Arial" w:cs="Arial"/>
                <w:b w:val="0"/>
                <w:i w:val="0"/>
                <w:color w:val="2C3E50"/>
                <w:sz w:val="20"/>
              </w:rPr>
              <w:t>Living document — superseded versions archived for 7 years per Charter §4.8</w:t>
            </w:r>
          </w:p>
        </w:tc>
      </w:tr>
    </w:tbl>
    <w:p w14:paraId="708B7EA8">
      <w:r>
        <w:br w:type="page"/>
      </w:r>
    </w:p>
    <w:p w14:paraId="34D9F9BC">
      <w:pPr>
        <w:keepNext/>
        <w:spacing w:before="240" w:after="160"/>
      </w:pPr>
      <w:r>
        <w:rPr>
          <w:rFonts w:ascii="Arial" w:hAnsi="Arial" w:eastAsia="Arial" w:cs="Arial"/>
          <w:b/>
          <w:i w:val="0"/>
          <w:color w:val="1B3A5C"/>
          <w:sz w:val="36"/>
        </w:rPr>
        <w:t>2.  Introduction</w:t>
      </w:r>
    </w:p>
    <w:p w14:paraId="4E8E0ACD">
      <w:pPr>
        <w:keepNext/>
        <w:spacing w:before="160" w:after="120"/>
      </w:pPr>
      <w:r>
        <w:rPr>
          <w:rFonts w:ascii="Arial" w:hAnsi="Arial" w:eastAsia="Arial" w:cs="Arial"/>
          <w:b/>
          <w:i w:val="0"/>
          <w:color w:val="1B3A5C"/>
          <w:sz w:val="28"/>
        </w:rPr>
        <w:t>2.1  What this guide is</w:t>
      </w:r>
    </w:p>
    <w:p w14:paraId="674460D3">
      <w:pPr>
        <w:spacing w:before="0" w:after="80"/>
      </w:pPr>
      <w:r>
        <w:rPr>
          <w:rFonts w:ascii="Arial" w:hAnsi="Arial" w:eastAsia="Arial" w:cs="Arial"/>
          <w:b w:val="0"/>
          <w:i w:val="0"/>
          <w:sz w:val="22"/>
        </w:rPr>
        <w:t>The TPE Communication System is a self-hosted notification platform that lets operators send transactional and operational notifications across in-app, SMS, WhatsApp, and email — driven either by individual triggers or by data-selected campaigns from the analytics database. This guide is the operator-facing manual: it walks through every screen and action in the TPE Admin Console and the Novu CE dashboard, end to end.</w:t>
      </w:r>
    </w:p>
    <w:p w14:paraId="1D8B0940">
      <w:pPr>
        <w:keepNext/>
        <w:spacing w:before="160" w:after="120"/>
      </w:pPr>
      <w:r>
        <w:rPr>
          <w:rFonts w:ascii="Arial" w:hAnsi="Arial" w:eastAsia="Arial" w:cs="Arial"/>
          <w:b/>
          <w:i w:val="0"/>
          <w:color w:val="1B3A5C"/>
          <w:sz w:val="28"/>
        </w:rPr>
        <w:t>2.2  Audience</w:t>
      </w:r>
    </w:p>
    <w:p w14:paraId="1F3DA5C2">
      <w:pPr>
        <w:spacing w:before="0" w:after="80"/>
      </w:pPr>
      <w:r>
        <w:rPr>
          <w:rFonts w:ascii="Arial" w:hAnsi="Arial" w:eastAsia="Arial" w:cs="Arial"/>
          <w:b w:val="0"/>
          <w:i w:val="0"/>
          <w:sz w:val="22"/>
        </w:rPr>
        <w:t>This guide is written for non-developer operators in Operations, Customer-Care, and Marketing who will run the platform day-to-day. It assumes you can use a web browser and read a table; it does not assume any programming knowledge. Any task that requires code changes is explicitly called out and routed to Engineering.</w:t>
      </w:r>
    </w:p>
    <w:p w14:paraId="77E633DA">
      <w:pPr>
        <w:keepNext/>
        <w:spacing w:before="160" w:after="120"/>
      </w:pPr>
      <w:r>
        <w:rPr>
          <w:rFonts w:ascii="Arial" w:hAnsi="Arial" w:eastAsia="Arial" w:cs="Arial"/>
          <w:b/>
          <w:i w:val="0"/>
          <w:color w:val="1B3A5C"/>
          <w:sz w:val="28"/>
        </w:rPr>
        <w:t>2.3  Prerequisites</w:t>
      </w:r>
    </w:p>
    <w:p w14:paraId="2731D68F">
      <w:pPr>
        <w:spacing w:before="0" w:after="40"/>
        <w:ind w:left="360"/>
      </w:pPr>
      <w:r>
        <w:rPr>
          <w:rFonts w:ascii="Arial" w:hAnsi="Arial" w:eastAsia="Arial" w:cs="Arial"/>
          <w:b/>
          <w:i w:val="0"/>
          <w:color w:val="1B3A5C"/>
          <w:sz w:val="22"/>
        </w:rPr>
        <w:t xml:space="preserve">•  </w:t>
      </w:r>
      <w:r>
        <w:rPr>
          <w:rFonts w:ascii="Arial" w:hAnsi="Arial" w:eastAsia="Arial" w:cs="Arial"/>
          <w:b w:val="0"/>
          <w:i w:val="0"/>
          <w:color w:val="2C3E50"/>
          <w:sz w:val="22"/>
        </w:rPr>
        <w:t>A laptop or desktop with a modern browser (Chrome, Edge, Firefox, Safari).</w:t>
      </w:r>
    </w:p>
    <w:p w14:paraId="15038F8E">
      <w:pPr>
        <w:spacing w:before="0" w:after="40"/>
        <w:ind w:left="360"/>
      </w:pPr>
      <w:r>
        <w:rPr>
          <w:rFonts w:ascii="Arial" w:hAnsi="Arial" w:eastAsia="Arial" w:cs="Arial"/>
          <w:b/>
          <w:i w:val="0"/>
          <w:color w:val="1B3A5C"/>
          <w:sz w:val="22"/>
        </w:rPr>
        <w:t xml:space="preserve">•  </w:t>
      </w:r>
      <w:r>
        <w:rPr>
          <w:rFonts w:ascii="Arial" w:hAnsi="Arial" w:eastAsia="Arial" w:cs="Arial"/>
          <w:b w:val="0"/>
          <w:i w:val="0"/>
          <w:color w:val="2C3E50"/>
          <w:sz w:val="22"/>
        </w:rPr>
        <w:t>Network access to the staging hostname (currently the IP address 103.138.96.180; DNS will land later).</w:t>
      </w:r>
    </w:p>
    <w:p w14:paraId="1DCE36BB">
      <w:pPr>
        <w:spacing w:before="0" w:after="40"/>
        <w:ind w:left="360"/>
      </w:pPr>
      <w:r>
        <w:rPr>
          <w:rFonts w:ascii="Arial" w:hAnsi="Arial" w:eastAsia="Arial" w:cs="Arial"/>
          <w:b/>
          <w:i w:val="0"/>
          <w:color w:val="1B3A5C"/>
          <w:sz w:val="22"/>
        </w:rPr>
        <w:t xml:space="preserve">•  </w:t>
      </w:r>
      <w:r>
        <w:rPr>
          <w:rFonts w:ascii="Arial" w:hAnsi="Arial" w:eastAsia="Arial" w:cs="Arial"/>
          <w:b w:val="0"/>
          <w:i w:val="0"/>
          <w:color w:val="2C3E50"/>
          <w:sz w:val="22"/>
        </w:rPr>
        <w:t>Login credentials for the TPE Admin Console (operator password) and the Novu CE Dashboard (operator account).</w:t>
      </w:r>
    </w:p>
    <w:p w14:paraId="28C14CFF">
      <w:pPr>
        <w:spacing w:before="0" w:after="40"/>
        <w:ind w:left="360"/>
      </w:pPr>
      <w:r>
        <w:rPr>
          <w:rFonts w:ascii="Arial" w:hAnsi="Arial" w:eastAsia="Arial" w:cs="Arial"/>
          <w:b/>
          <w:i w:val="0"/>
          <w:color w:val="1B3A5C"/>
          <w:sz w:val="22"/>
        </w:rPr>
        <w:t xml:space="preserve">•  </w:t>
      </w:r>
      <w:r>
        <w:rPr>
          <w:rFonts w:ascii="Arial" w:hAnsi="Arial" w:eastAsia="Arial" w:cs="Arial"/>
          <w:b w:val="0"/>
          <w:i w:val="0"/>
          <w:color w:val="2C3E50"/>
          <w:sz w:val="22"/>
        </w:rPr>
        <w:t>For email-touching workflows: confirmation that AWS SES credentials have been provisioned by Engineering. Until then, email steps gracefully skip.</w:t>
      </w:r>
    </w:p>
    <w:p w14:paraId="2EC0DA6E">
      <w:pPr>
        <w:keepNext/>
        <w:spacing w:before="160" w:after="120"/>
      </w:pPr>
      <w:r>
        <w:rPr>
          <w:rFonts w:ascii="Arial" w:hAnsi="Arial" w:eastAsia="Arial" w:cs="Arial"/>
          <w:b/>
          <w:i w:val="0"/>
          <w:color w:val="1B3A5C"/>
          <w:sz w:val="28"/>
        </w:rPr>
        <w:t>2.4  What this guide does NOT cover</w:t>
      </w:r>
    </w:p>
    <w:p w14:paraId="5A30B2FC">
      <w:pPr>
        <w:spacing w:before="0" w:after="40"/>
        <w:ind w:left="360"/>
      </w:pPr>
      <w:r>
        <w:rPr>
          <w:rFonts w:ascii="Arial" w:hAnsi="Arial" w:eastAsia="Arial" w:cs="Arial"/>
          <w:b/>
          <w:i w:val="0"/>
          <w:color w:val="1B3A5C"/>
          <w:sz w:val="22"/>
        </w:rPr>
        <w:t xml:space="preserve">•  </w:t>
      </w:r>
      <w:r>
        <w:rPr>
          <w:rFonts w:ascii="Arial" w:hAnsi="Arial" w:eastAsia="Arial" w:cs="Arial"/>
          <w:b w:val="0"/>
          <w:i w:val="0"/>
          <w:color w:val="2C3E50"/>
          <w:sz w:val="22"/>
        </w:rPr>
        <w:t>Server administration, container restarts, or any task requiring SSH — those live in the Combined Deployment Guide.</w:t>
      </w:r>
    </w:p>
    <w:p w14:paraId="3FD6F622">
      <w:pPr>
        <w:spacing w:before="0" w:after="40"/>
        <w:ind w:left="360"/>
      </w:pPr>
      <w:r>
        <w:rPr>
          <w:rFonts w:ascii="Arial" w:hAnsi="Arial" w:eastAsia="Arial" w:cs="Arial"/>
          <w:b/>
          <w:i w:val="0"/>
          <w:color w:val="1B3A5C"/>
          <w:sz w:val="22"/>
        </w:rPr>
        <w:t xml:space="preserve">•  </w:t>
      </w:r>
      <w:r>
        <w:rPr>
          <w:rFonts w:ascii="Arial" w:hAnsi="Arial" w:eastAsia="Arial" w:cs="Arial"/>
          <w:b w:val="0"/>
          <w:i w:val="0"/>
          <w:color w:val="2C3E50"/>
          <w:sz w:val="22"/>
        </w:rPr>
        <w:t>Authoring Bridge (TypeScript) workflows — that is engineering-owned and documented separately in bridge/workflows/AUTHORING.md.</w:t>
      </w:r>
    </w:p>
    <w:p w14:paraId="008AB7A0">
      <w:pPr>
        <w:spacing w:before="0" w:after="40"/>
        <w:ind w:left="360"/>
      </w:pPr>
      <w:r>
        <w:rPr>
          <w:rFonts w:ascii="Arial" w:hAnsi="Arial" w:eastAsia="Arial" w:cs="Arial"/>
          <w:b/>
          <w:i w:val="0"/>
          <w:color w:val="1B3A5C"/>
          <w:sz w:val="22"/>
        </w:rPr>
        <w:t xml:space="preserve">•  </w:t>
      </w:r>
      <w:r>
        <w:rPr>
          <w:rFonts w:ascii="Arial" w:hAnsi="Arial" w:eastAsia="Arial" w:cs="Arial"/>
          <w:b w:val="0"/>
          <w:i w:val="0"/>
          <w:color w:val="2C3E50"/>
          <w:sz w:val="22"/>
        </w:rPr>
        <w:t>Integration setup (creating MSG91 / ICPaaS / SES accounts, registering DLT templates) — those one-time setups live in the Solution Document and the Provider Strategy memo.</w:t>
      </w:r>
    </w:p>
    <w:p w14:paraId="34025D12">
      <w:r>
        <w:br w:type="page"/>
      </w:r>
    </w:p>
    <w:p w14:paraId="0B1EBA10">
      <w:pPr>
        <w:keepNext/>
        <w:spacing w:before="240" w:after="160"/>
      </w:pPr>
      <w:r>
        <w:rPr>
          <w:rFonts w:ascii="Arial" w:hAnsi="Arial" w:eastAsia="Arial" w:cs="Arial"/>
          <w:b/>
          <w:i w:val="0"/>
          <w:color w:val="1B3A5C"/>
          <w:sz w:val="36"/>
        </w:rPr>
        <w:t>3.  System Overview</w:t>
      </w:r>
    </w:p>
    <w:p w14:paraId="7E398A3E">
      <w:pPr>
        <w:spacing w:before="0" w:after="80"/>
      </w:pPr>
      <w:r>
        <w:rPr>
          <w:rFonts w:ascii="Arial" w:hAnsi="Arial" w:eastAsia="Arial" w:cs="Arial"/>
          <w:b w:val="0"/>
          <w:i w:val="0"/>
          <w:sz w:val="22"/>
        </w:rPr>
        <w:t>The platform has two operator-facing surfaces. Most day-to-day work is in the TPE Admin Console; advanced workflow authoring and integration configuration is in the Novu CE Dashboard. Both run on the same server.</w:t>
      </w:r>
    </w:p>
    <w:p w14:paraId="4832AEA9">
      <w:pPr>
        <w:keepNext/>
        <w:spacing w:before="160" w:after="120"/>
      </w:pPr>
      <w:r>
        <w:rPr>
          <w:rFonts w:ascii="Arial" w:hAnsi="Arial" w:eastAsia="Arial" w:cs="Arial"/>
          <w:b/>
          <w:i w:val="0"/>
          <w:color w:val="1B3A5C"/>
          <w:sz w:val="28"/>
        </w:rPr>
        <w:t>3.1  The two surfaces</w:t>
      </w:r>
    </w:p>
    <w:tbl>
      <w:tblPr>
        <w:tblStyle w:val="12"/>
        <w:tblW w:w="0" w:type="auto"/>
        <w:tblInd w:w="0" w:type="dxa"/>
        <w:tblLayout w:type="fixed"/>
        <w:tblCellMar>
          <w:top w:w="0" w:type="dxa"/>
          <w:left w:w="108" w:type="dxa"/>
          <w:bottom w:w="0" w:type="dxa"/>
          <w:right w:w="108" w:type="dxa"/>
        </w:tblCellMar>
      </w:tblPr>
      <w:tblGrid>
        <w:gridCol w:w="2160"/>
        <w:gridCol w:w="2880"/>
        <w:gridCol w:w="2880"/>
        <w:gridCol w:w="1440"/>
      </w:tblGrid>
      <w:tr w14:paraId="230B4C21">
        <w:tc>
          <w:tcPr>
            <w:tcW w:w="2160" w:type="dxa"/>
            <w:tcBorders>
              <w:top w:val="single" w:color="FFFFFF" w:sz="4" w:space="0"/>
              <w:left w:val="single" w:color="FFFFFF" w:sz="4" w:space="0"/>
              <w:bottom w:val="single" w:color="FFFFFF" w:sz="4" w:space="0"/>
              <w:right w:val="single" w:color="FFFFFF" w:sz="4" w:space="0"/>
            </w:tcBorders>
            <w:shd w:val="clear" w:color="auto" w:fill="1B3A5C"/>
            <w:vAlign w:val="center"/>
          </w:tcPr>
          <w:p w14:paraId="254DAF7D">
            <w:pPr>
              <w:spacing w:before="40" w:after="40"/>
            </w:pPr>
            <w:r>
              <w:rPr>
                <w:rFonts w:ascii="Arial" w:hAnsi="Arial" w:eastAsia="Arial" w:cs="Arial"/>
                <w:b/>
                <w:i w:val="0"/>
                <w:color w:val="FFFFFF"/>
                <w:sz w:val="20"/>
              </w:rPr>
              <w:t>Surface</w:t>
            </w:r>
          </w:p>
        </w:tc>
        <w:tc>
          <w:tcPr>
            <w:tcW w:w="2880" w:type="dxa"/>
            <w:tcBorders>
              <w:top w:val="single" w:color="FFFFFF" w:sz="4" w:space="0"/>
              <w:left w:val="single" w:color="FFFFFF" w:sz="4" w:space="0"/>
              <w:bottom w:val="single" w:color="FFFFFF" w:sz="4" w:space="0"/>
              <w:right w:val="single" w:color="FFFFFF" w:sz="4" w:space="0"/>
            </w:tcBorders>
            <w:shd w:val="clear" w:color="auto" w:fill="1B3A5C"/>
            <w:vAlign w:val="center"/>
          </w:tcPr>
          <w:p w14:paraId="5CF9D19D">
            <w:pPr>
              <w:spacing w:before="40" w:after="40"/>
            </w:pPr>
            <w:r>
              <w:rPr>
                <w:rFonts w:ascii="Arial" w:hAnsi="Arial" w:eastAsia="Arial" w:cs="Arial"/>
                <w:b/>
                <w:i w:val="0"/>
                <w:color w:val="FFFFFF"/>
                <w:sz w:val="20"/>
              </w:rPr>
              <w:t>URL</w:t>
            </w:r>
          </w:p>
        </w:tc>
        <w:tc>
          <w:tcPr>
            <w:tcW w:w="2880" w:type="dxa"/>
            <w:tcBorders>
              <w:top w:val="single" w:color="FFFFFF" w:sz="4" w:space="0"/>
              <w:left w:val="single" w:color="FFFFFF" w:sz="4" w:space="0"/>
              <w:bottom w:val="single" w:color="FFFFFF" w:sz="4" w:space="0"/>
              <w:right w:val="single" w:color="FFFFFF" w:sz="4" w:space="0"/>
            </w:tcBorders>
            <w:shd w:val="clear" w:color="auto" w:fill="1B3A5C"/>
            <w:vAlign w:val="center"/>
          </w:tcPr>
          <w:p w14:paraId="186E2B9C">
            <w:pPr>
              <w:spacing w:before="40" w:after="40"/>
            </w:pPr>
            <w:r>
              <w:rPr>
                <w:rFonts w:ascii="Arial" w:hAnsi="Arial" w:eastAsia="Arial" w:cs="Arial"/>
                <w:b/>
                <w:i w:val="0"/>
                <w:color w:val="FFFFFF"/>
                <w:sz w:val="20"/>
              </w:rPr>
              <w:t>What you do here</w:t>
            </w:r>
          </w:p>
        </w:tc>
        <w:tc>
          <w:tcPr>
            <w:tcW w:w="1440" w:type="dxa"/>
            <w:tcBorders>
              <w:top w:val="single" w:color="FFFFFF" w:sz="4" w:space="0"/>
              <w:left w:val="single" w:color="FFFFFF" w:sz="4" w:space="0"/>
              <w:bottom w:val="single" w:color="FFFFFF" w:sz="4" w:space="0"/>
              <w:right w:val="single" w:color="FFFFFF" w:sz="4" w:space="0"/>
            </w:tcBorders>
            <w:shd w:val="clear" w:color="auto" w:fill="1B3A5C"/>
            <w:vAlign w:val="center"/>
          </w:tcPr>
          <w:p w14:paraId="57DEE036">
            <w:pPr>
              <w:spacing w:before="40" w:after="40"/>
            </w:pPr>
            <w:r>
              <w:rPr>
                <w:rFonts w:ascii="Arial" w:hAnsi="Arial" w:eastAsia="Arial" w:cs="Arial"/>
                <w:b/>
                <w:i w:val="0"/>
                <w:color w:val="FFFFFF"/>
                <w:sz w:val="20"/>
              </w:rPr>
              <w:t>Login</w:t>
            </w:r>
          </w:p>
        </w:tc>
      </w:tr>
      <w:tr w14:paraId="10FB432B">
        <w:tc>
          <w:tcPr>
            <w:tcW w:w="2160" w:type="dxa"/>
            <w:tcBorders>
              <w:top w:val="single" w:color="DDDDDD" w:sz="4" w:space="0"/>
              <w:left w:val="single" w:color="DDDDDD" w:sz="4" w:space="0"/>
              <w:bottom w:val="single" w:color="DDDDDD" w:sz="4" w:space="0"/>
              <w:right w:val="single" w:color="DDDDDD" w:sz="4" w:space="0"/>
            </w:tcBorders>
            <w:vAlign w:val="top"/>
          </w:tcPr>
          <w:p w14:paraId="0C1C3A1A">
            <w:pPr>
              <w:spacing w:before="40" w:after="40"/>
              <w:rPr>
                <w:sz w:val="20"/>
                <w:szCs w:val="20"/>
              </w:rPr>
            </w:pPr>
            <w:r>
              <w:rPr>
                <w:rFonts w:ascii="Arial" w:hAnsi="Arial" w:eastAsia="Arial" w:cs="Arial"/>
                <w:b w:val="0"/>
                <w:i w:val="0"/>
                <w:color w:val="2C3E50"/>
                <w:sz w:val="16"/>
                <w:szCs w:val="20"/>
              </w:rPr>
              <w:t>TPE Admin Console</w:t>
            </w:r>
          </w:p>
        </w:tc>
        <w:tc>
          <w:tcPr>
            <w:tcW w:w="2880" w:type="dxa"/>
            <w:tcBorders>
              <w:top w:val="single" w:color="DDDDDD" w:sz="4" w:space="0"/>
              <w:left w:val="single" w:color="DDDDDD" w:sz="4" w:space="0"/>
              <w:bottom w:val="single" w:color="DDDDDD" w:sz="4" w:space="0"/>
              <w:right w:val="single" w:color="DDDDDD" w:sz="4" w:space="0"/>
            </w:tcBorders>
            <w:vAlign w:val="top"/>
          </w:tcPr>
          <w:p w14:paraId="5891324D">
            <w:pPr>
              <w:spacing w:before="40" w:after="40"/>
              <w:rPr>
                <w:sz w:val="20"/>
                <w:szCs w:val="20"/>
              </w:rPr>
            </w:pPr>
            <w:r>
              <w:rPr>
                <w:rFonts w:ascii="Arial" w:hAnsi="Arial" w:eastAsia="Arial" w:cs="Arial"/>
                <w:b w:val="0"/>
                <w:i w:val="0"/>
                <w:color w:val="2C3E50"/>
                <w:sz w:val="16"/>
                <w:szCs w:val="20"/>
              </w:rPr>
              <w:t>http://103.138.96.180/admin</w:t>
            </w:r>
          </w:p>
        </w:tc>
        <w:tc>
          <w:tcPr>
            <w:tcW w:w="2880" w:type="dxa"/>
            <w:tcBorders>
              <w:top w:val="single" w:color="DDDDDD" w:sz="4" w:space="0"/>
              <w:left w:val="single" w:color="DDDDDD" w:sz="4" w:space="0"/>
              <w:bottom w:val="single" w:color="DDDDDD" w:sz="4" w:space="0"/>
              <w:right w:val="single" w:color="DDDDDD" w:sz="4" w:space="0"/>
            </w:tcBorders>
            <w:vAlign w:val="top"/>
          </w:tcPr>
          <w:p w14:paraId="36F300D8">
            <w:pPr>
              <w:spacing w:before="40" w:after="40"/>
              <w:rPr>
                <w:sz w:val="20"/>
                <w:szCs w:val="20"/>
              </w:rPr>
            </w:pPr>
            <w:r>
              <w:rPr>
                <w:rFonts w:ascii="Arial" w:hAnsi="Arial" w:eastAsia="Arial" w:cs="Arial"/>
                <w:b w:val="0"/>
                <w:i w:val="0"/>
                <w:color w:val="2C3E50"/>
                <w:sz w:val="16"/>
                <w:szCs w:val="20"/>
              </w:rPr>
              <w:t>Channel allowlist, operator email/in-app templates, audience campaigns from analytics_db, scheduled triggers, activity history.</w:t>
            </w:r>
          </w:p>
        </w:tc>
        <w:tc>
          <w:tcPr>
            <w:tcW w:w="1440" w:type="dxa"/>
            <w:tcBorders>
              <w:top w:val="single" w:color="DDDDDD" w:sz="4" w:space="0"/>
              <w:left w:val="single" w:color="DDDDDD" w:sz="4" w:space="0"/>
              <w:bottom w:val="single" w:color="DDDDDD" w:sz="4" w:space="0"/>
              <w:right w:val="single" w:color="DDDDDD" w:sz="4" w:space="0"/>
            </w:tcBorders>
            <w:vAlign w:val="top"/>
          </w:tcPr>
          <w:p w14:paraId="58C76A5C">
            <w:pPr>
              <w:spacing w:before="40" w:after="40"/>
              <w:rPr>
                <w:sz w:val="20"/>
                <w:szCs w:val="20"/>
              </w:rPr>
            </w:pPr>
            <w:r>
              <w:rPr>
                <w:rFonts w:ascii="Arial" w:hAnsi="Arial" w:eastAsia="Arial" w:cs="Arial"/>
                <w:b w:val="0"/>
                <w:i w:val="0"/>
                <w:color w:val="2C3E50"/>
                <w:sz w:val="16"/>
                <w:szCs w:val="20"/>
              </w:rPr>
              <w:t>Single shared password (issued by Engineering).</w:t>
            </w:r>
          </w:p>
        </w:tc>
      </w:tr>
      <w:tr w14:paraId="73EC51AD">
        <w:tc>
          <w:tcPr>
            <w:tcW w:w="2160" w:type="dxa"/>
            <w:tcBorders>
              <w:top w:val="single" w:color="DDDDDD" w:sz="4" w:space="0"/>
              <w:left w:val="single" w:color="DDDDDD" w:sz="4" w:space="0"/>
              <w:bottom w:val="single" w:color="DDDDDD" w:sz="4" w:space="0"/>
              <w:right w:val="single" w:color="DDDDDD" w:sz="4" w:space="0"/>
            </w:tcBorders>
            <w:shd w:val="clear" w:color="auto" w:fill="F8F9FA"/>
            <w:vAlign w:val="top"/>
          </w:tcPr>
          <w:p w14:paraId="53523731">
            <w:pPr>
              <w:spacing w:before="40" w:after="40"/>
              <w:rPr>
                <w:sz w:val="20"/>
                <w:szCs w:val="20"/>
              </w:rPr>
            </w:pPr>
            <w:r>
              <w:rPr>
                <w:rFonts w:ascii="Arial" w:hAnsi="Arial" w:eastAsia="Arial" w:cs="Arial"/>
                <w:b w:val="0"/>
                <w:i w:val="0"/>
                <w:color w:val="2C3E50"/>
                <w:sz w:val="16"/>
                <w:szCs w:val="20"/>
              </w:rPr>
              <w:t>Novu CE Dashboard</w:t>
            </w:r>
          </w:p>
        </w:tc>
        <w:tc>
          <w:tcPr>
            <w:tcW w:w="2880" w:type="dxa"/>
            <w:tcBorders>
              <w:top w:val="single" w:color="DDDDDD" w:sz="4" w:space="0"/>
              <w:left w:val="single" w:color="DDDDDD" w:sz="4" w:space="0"/>
              <w:bottom w:val="single" w:color="DDDDDD" w:sz="4" w:space="0"/>
              <w:right w:val="single" w:color="DDDDDD" w:sz="4" w:space="0"/>
            </w:tcBorders>
            <w:shd w:val="clear" w:color="auto" w:fill="F8F9FA"/>
            <w:vAlign w:val="top"/>
          </w:tcPr>
          <w:p w14:paraId="26C379E1">
            <w:pPr>
              <w:spacing w:before="40" w:after="40"/>
              <w:rPr>
                <w:sz w:val="20"/>
                <w:szCs w:val="20"/>
              </w:rPr>
            </w:pPr>
            <w:r>
              <w:rPr>
                <w:rFonts w:ascii="Arial" w:hAnsi="Arial" w:eastAsia="Arial" w:cs="Arial"/>
                <w:b w:val="0"/>
                <w:i w:val="0"/>
                <w:color w:val="2C3E50"/>
                <w:sz w:val="16"/>
                <w:szCs w:val="20"/>
              </w:rPr>
              <w:t>http://103.138.96.180/</w:t>
            </w:r>
          </w:p>
        </w:tc>
        <w:tc>
          <w:tcPr>
            <w:tcW w:w="2880" w:type="dxa"/>
            <w:tcBorders>
              <w:top w:val="single" w:color="DDDDDD" w:sz="4" w:space="0"/>
              <w:left w:val="single" w:color="DDDDDD" w:sz="4" w:space="0"/>
              <w:bottom w:val="single" w:color="DDDDDD" w:sz="4" w:space="0"/>
              <w:right w:val="single" w:color="DDDDDD" w:sz="4" w:space="0"/>
            </w:tcBorders>
            <w:shd w:val="clear" w:color="auto" w:fill="F8F9FA"/>
            <w:vAlign w:val="top"/>
          </w:tcPr>
          <w:p w14:paraId="2FA99305">
            <w:pPr>
              <w:spacing w:before="40" w:after="40"/>
              <w:rPr>
                <w:sz w:val="20"/>
                <w:szCs w:val="20"/>
              </w:rPr>
            </w:pPr>
            <w:r>
              <w:rPr>
                <w:rFonts w:ascii="Arial" w:hAnsi="Arial" w:eastAsia="Arial" w:cs="Arial"/>
                <w:b w:val="0"/>
                <w:i w:val="0"/>
                <w:color w:val="2C3E50"/>
                <w:sz w:val="16"/>
                <w:szCs w:val="20"/>
              </w:rPr>
              <w:t>Workflow authoring (Studio), integration providers, subscribers list, environment settings, API keys.</w:t>
            </w:r>
          </w:p>
        </w:tc>
        <w:tc>
          <w:tcPr>
            <w:tcW w:w="1440" w:type="dxa"/>
            <w:tcBorders>
              <w:top w:val="single" w:color="DDDDDD" w:sz="4" w:space="0"/>
              <w:left w:val="single" w:color="DDDDDD" w:sz="4" w:space="0"/>
              <w:bottom w:val="single" w:color="DDDDDD" w:sz="4" w:space="0"/>
              <w:right w:val="single" w:color="DDDDDD" w:sz="4" w:space="0"/>
            </w:tcBorders>
            <w:shd w:val="clear" w:color="auto" w:fill="F8F9FA"/>
            <w:vAlign w:val="top"/>
          </w:tcPr>
          <w:p w14:paraId="082441DD">
            <w:pPr>
              <w:spacing w:before="40" w:after="40"/>
              <w:rPr>
                <w:sz w:val="20"/>
                <w:szCs w:val="20"/>
              </w:rPr>
            </w:pPr>
            <w:r>
              <w:rPr>
                <w:rFonts w:ascii="Arial" w:hAnsi="Arial" w:eastAsia="Arial" w:cs="Arial"/>
                <w:b w:val="0"/>
                <w:i w:val="0"/>
                <w:color w:val="2C3E50"/>
                <w:sz w:val="16"/>
                <w:szCs w:val="20"/>
              </w:rPr>
              <w:t>Operator account (issued by Engineering).</w:t>
            </w:r>
          </w:p>
        </w:tc>
      </w:tr>
    </w:tbl>
    <w:p w14:paraId="3F807FBB">
      <w:pPr>
        <w:keepNext/>
        <w:spacing w:before="160" w:after="120"/>
      </w:pPr>
      <w:r>
        <w:rPr>
          <w:rFonts w:ascii="Arial" w:hAnsi="Arial" w:eastAsia="Arial" w:cs="Arial"/>
          <w:b/>
          <w:i w:val="0"/>
          <w:color w:val="1B3A5C"/>
          <w:sz w:val="28"/>
        </w:rPr>
        <w:t>3.2  How they fit together</w:t>
      </w:r>
    </w:p>
    <w:p w14:paraId="7C202729">
      <w:pPr>
        <w:pBdr>
          <w:top w:val="single" w:color="C0C0C0" w:sz="4" w:space="0"/>
          <w:left w:val="single" w:color="C0C0C0" w:sz="4" w:space="0"/>
          <w:bottom w:val="single" w:color="C0C0C0" w:sz="4" w:space="0"/>
          <w:right w:val="single" w:color="C0C0C0" w:sz="4" w:space="0"/>
        </w:pBdr>
        <w:shd w:val="clear" w:color="auto" w:fill="F5F5F5"/>
        <w:spacing w:before="40" w:after="160"/>
        <w:ind w:left="216"/>
      </w:pPr>
      <w:r>
        <w:rPr>
          <w:rFonts w:ascii="Consolas" w:hAnsi="Consolas" w:eastAsia="Consolas" w:cs="Consolas"/>
          <w:b w:val="0"/>
          <w:i w:val="0"/>
          <w:color w:val="2C3E50"/>
          <w:sz w:val="18"/>
        </w:rPr>
        <w:t>(operator)</w:t>
      </w:r>
      <w:r>
        <w:br w:type="textWrapping"/>
      </w:r>
      <w:r>
        <w:rPr>
          <w:rFonts w:ascii="Consolas" w:hAnsi="Consolas" w:eastAsia="Consolas" w:cs="Consolas"/>
          <w:b w:val="0"/>
          <w:i w:val="0"/>
          <w:color w:val="2C3E50"/>
          <w:sz w:val="18"/>
        </w:rPr>
        <w:t xml:space="preserve">   │</w:t>
      </w:r>
      <w:r>
        <w:br w:type="textWrapping"/>
      </w:r>
      <w:r>
        <w:rPr>
          <w:rFonts w:ascii="Consolas" w:hAnsi="Consolas" w:eastAsia="Consolas" w:cs="Consolas"/>
          <w:b w:val="0"/>
          <w:i w:val="0"/>
          <w:color w:val="2C3E50"/>
          <w:sz w:val="18"/>
        </w:rPr>
        <w:t xml:space="preserve">   ├─ Novu CE Dashboard ─── authors a Workflow → registers it on the API</w:t>
      </w:r>
      <w:r>
        <w:br w:type="textWrapping"/>
      </w:r>
      <w:r>
        <w:rPr>
          <w:rFonts w:ascii="Consolas" w:hAnsi="Consolas" w:eastAsia="Consolas" w:cs="Consolas"/>
          <w:b w:val="0"/>
          <w:i w:val="0"/>
          <w:color w:val="2C3E50"/>
          <w:sz w:val="18"/>
        </w:rPr>
        <w:t xml:space="preserve">   │                        wires Integrations (e.g. Email = SES)</w:t>
      </w:r>
      <w:r>
        <w:br w:type="textWrapping"/>
      </w:r>
      <w:r>
        <w:rPr>
          <w:rFonts w:ascii="Consolas" w:hAnsi="Consolas" w:eastAsia="Consolas" w:cs="Consolas"/>
          <w:b w:val="0"/>
          <w:i w:val="0"/>
          <w:color w:val="2C3E50"/>
          <w:sz w:val="18"/>
        </w:rPr>
        <w:t xml:space="preserve">   │                        manages Subscribers (recipients)</w:t>
      </w:r>
      <w:r>
        <w:br w:type="textWrapping"/>
      </w:r>
      <w:r>
        <w:rPr>
          <w:rFonts w:ascii="Consolas" w:hAnsi="Consolas" w:eastAsia="Consolas" w:cs="Consolas"/>
          <w:b w:val="0"/>
          <w:i w:val="0"/>
          <w:color w:val="2C3E50"/>
          <w:sz w:val="18"/>
        </w:rPr>
        <w:t xml:space="preserve">   │</w:t>
      </w:r>
      <w:r>
        <w:br w:type="textWrapping"/>
      </w:r>
      <w:r>
        <w:rPr>
          <w:rFonts w:ascii="Consolas" w:hAnsi="Consolas" w:eastAsia="Consolas" w:cs="Consolas"/>
          <w:b w:val="0"/>
          <w:i w:val="0"/>
          <w:color w:val="2C3E50"/>
          <w:sz w:val="18"/>
        </w:rPr>
        <w:t xml:space="preserve">   └─ TPE Admin Console ─── builds a Campaign that targets a Workflow</w:t>
      </w:r>
      <w:r>
        <w:br w:type="textWrapping"/>
      </w:r>
      <w:r>
        <w:rPr>
          <w:rFonts w:ascii="Consolas" w:hAnsi="Consolas" w:eastAsia="Consolas" w:cs="Consolas"/>
          <w:b w:val="0"/>
          <w:i w:val="0"/>
          <w:color w:val="2C3E50"/>
          <w:sz w:val="18"/>
        </w:rPr>
        <w:t xml:space="preserve">                            picks a data slice (analytics_db tables)</w:t>
      </w:r>
      <w:r>
        <w:br w:type="textWrapping"/>
      </w:r>
      <w:r>
        <w:rPr>
          <w:rFonts w:ascii="Consolas" w:hAnsi="Consolas" w:eastAsia="Consolas" w:cs="Consolas"/>
          <w:b w:val="0"/>
          <w:i w:val="0"/>
          <w:color w:val="2C3E50"/>
          <w:sz w:val="18"/>
        </w:rPr>
        <w:t xml:space="preserve">                            schedules / fires it</w:t>
      </w:r>
      <w:r>
        <w:br w:type="textWrapping"/>
      </w:r>
      <w:r>
        <w:rPr>
          <w:rFonts w:ascii="Consolas" w:hAnsi="Consolas" w:eastAsia="Consolas" w:cs="Consolas"/>
          <w:b w:val="0"/>
          <w:i w:val="0"/>
          <w:color w:val="2C3E50"/>
          <w:sz w:val="18"/>
        </w:rPr>
        <w:t xml:space="preserve">                            audits past runs</w:t>
      </w:r>
      <w:r>
        <w:br w:type="textWrapping"/>
      </w:r>
      <w:r>
        <w:br w:type="textWrapping"/>
      </w:r>
      <w:r>
        <w:rPr>
          <w:rFonts w:ascii="Consolas" w:hAnsi="Consolas" w:eastAsia="Consolas" w:cs="Consolas"/>
          <w:b w:val="0"/>
          <w:i w:val="0"/>
          <w:color w:val="2C3E50"/>
          <w:sz w:val="18"/>
        </w:rPr>
        <w:t>Behind the scenes:</w:t>
      </w:r>
      <w:r>
        <w:br w:type="textWrapping"/>
      </w:r>
      <w:r>
        <w:rPr>
          <w:rFonts w:ascii="Consolas" w:hAnsi="Consolas" w:eastAsia="Consolas" w:cs="Consolas"/>
          <w:b w:val="0"/>
          <w:i w:val="0"/>
          <w:color w:val="2C3E50"/>
          <w:sz w:val="18"/>
        </w:rPr>
        <w:t xml:space="preserve">   campaign fire → /v1/events/trigger on Novu API</w:t>
      </w:r>
      <w:r>
        <w:br w:type="textWrapping"/>
      </w:r>
      <w:r>
        <w:rPr>
          <w:rFonts w:ascii="Consolas" w:hAnsi="Consolas" w:eastAsia="Consolas" w:cs="Consolas"/>
          <w:b w:val="0"/>
          <w:i w:val="0"/>
          <w:color w:val="2C3E50"/>
          <w:sz w:val="18"/>
        </w:rPr>
        <w:t xml:space="preserve">                 → Novu Worker picks up</w:t>
      </w:r>
      <w:r>
        <w:br w:type="textWrapping"/>
      </w:r>
      <w:r>
        <w:rPr>
          <w:rFonts w:ascii="Consolas" w:hAnsi="Consolas" w:eastAsia="Consolas" w:cs="Consolas"/>
          <w:b w:val="0"/>
          <w:i w:val="0"/>
          <w:color w:val="2C3E50"/>
          <w:sz w:val="18"/>
        </w:rPr>
        <w:t xml:space="preserve">                 → executes workflow steps (in-app / email / SMS / WhatsApp)</w:t>
      </w:r>
      <w:r>
        <w:br w:type="textWrapping"/>
      </w:r>
      <w:r>
        <w:rPr>
          <w:rFonts w:ascii="Consolas" w:hAnsi="Consolas" w:eastAsia="Consolas" w:cs="Consolas"/>
          <w:b w:val="0"/>
          <w:i w:val="0"/>
          <w:color w:val="2C3E50"/>
          <w:sz w:val="18"/>
        </w:rPr>
        <w:t xml:space="preserve">                 → audit row written to bridge stdout + Mongo</w:t>
      </w:r>
    </w:p>
    <w:p w14:paraId="118F13AF">
      <w:pPr>
        <w:keepNext/>
        <w:spacing w:before="160" w:after="120"/>
      </w:pPr>
      <w:r>
        <w:rPr>
          <w:rFonts w:ascii="Arial" w:hAnsi="Arial" w:eastAsia="Arial" w:cs="Arial"/>
          <w:b/>
          <w:i w:val="0"/>
          <w:color w:val="1B3A5C"/>
          <w:sz w:val="28"/>
        </w:rPr>
        <w:t>3.3  Roles &amp; responsibilities</w:t>
      </w:r>
    </w:p>
    <w:tbl>
      <w:tblPr>
        <w:tblStyle w:val="12"/>
        <w:tblW w:w="0" w:type="auto"/>
        <w:tblInd w:w="0" w:type="dxa"/>
        <w:tblLayout w:type="fixed"/>
        <w:tblCellMar>
          <w:top w:w="0" w:type="dxa"/>
          <w:left w:w="108" w:type="dxa"/>
          <w:bottom w:w="0" w:type="dxa"/>
          <w:right w:w="108" w:type="dxa"/>
        </w:tblCellMar>
      </w:tblPr>
      <w:tblGrid>
        <w:gridCol w:w="2016"/>
        <w:gridCol w:w="7344"/>
      </w:tblGrid>
      <w:tr w14:paraId="38E592F0">
        <w:tc>
          <w:tcPr>
            <w:tcW w:w="2016" w:type="dxa"/>
            <w:tcBorders>
              <w:top w:val="single" w:color="FFFFFF" w:sz="4" w:space="0"/>
              <w:left w:val="single" w:color="FFFFFF" w:sz="4" w:space="0"/>
              <w:bottom w:val="single" w:color="FFFFFF" w:sz="4" w:space="0"/>
              <w:right w:val="single" w:color="FFFFFF" w:sz="4" w:space="0"/>
            </w:tcBorders>
            <w:shd w:val="clear" w:color="auto" w:fill="1B3A5C"/>
            <w:vAlign w:val="center"/>
          </w:tcPr>
          <w:p w14:paraId="359FA865">
            <w:pPr>
              <w:spacing w:before="40" w:after="40"/>
            </w:pPr>
            <w:r>
              <w:rPr>
                <w:rFonts w:ascii="Arial" w:hAnsi="Arial" w:eastAsia="Arial" w:cs="Arial"/>
                <w:b/>
                <w:i w:val="0"/>
                <w:color w:val="FFFFFF"/>
                <w:sz w:val="20"/>
              </w:rPr>
              <w:t>Role</w:t>
            </w:r>
          </w:p>
        </w:tc>
        <w:tc>
          <w:tcPr>
            <w:tcW w:w="7344" w:type="dxa"/>
            <w:tcBorders>
              <w:top w:val="single" w:color="FFFFFF" w:sz="4" w:space="0"/>
              <w:left w:val="single" w:color="FFFFFF" w:sz="4" w:space="0"/>
              <w:bottom w:val="single" w:color="FFFFFF" w:sz="4" w:space="0"/>
              <w:right w:val="single" w:color="FFFFFF" w:sz="4" w:space="0"/>
            </w:tcBorders>
            <w:shd w:val="clear" w:color="auto" w:fill="1B3A5C"/>
            <w:vAlign w:val="center"/>
          </w:tcPr>
          <w:p w14:paraId="296A0155">
            <w:pPr>
              <w:spacing w:before="40" w:after="40"/>
            </w:pPr>
            <w:r>
              <w:rPr>
                <w:rFonts w:ascii="Arial" w:hAnsi="Arial" w:eastAsia="Arial" w:cs="Arial"/>
                <w:b/>
                <w:i w:val="0"/>
                <w:color w:val="FFFFFF"/>
                <w:sz w:val="20"/>
              </w:rPr>
              <w:t>Owns these screens / actions</w:t>
            </w:r>
          </w:p>
        </w:tc>
      </w:tr>
      <w:tr w14:paraId="1AE2E080">
        <w:tc>
          <w:tcPr>
            <w:tcW w:w="2016" w:type="dxa"/>
            <w:tcBorders>
              <w:top w:val="single" w:color="DDDDDD" w:sz="4" w:space="0"/>
              <w:left w:val="single" w:color="DDDDDD" w:sz="4" w:space="0"/>
              <w:bottom w:val="single" w:color="DDDDDD" w:sz="4" w:space="0"/>
              <w:right w:val="single" w:color="DDDDDD" w:sz="4" w:space="0"/>
            </w:tcBorders>
            <w:vAlign w:val="top"/>
          </w:tcPr>
          <w:p w14:paraId="2B354C58">
            <w:pPr>
              <w:spacing w:before="40" w:after="40"/>
            </w:pPr>
            <w:r>
              <w:rPr>
                <w:rFonts w:ascii="Arial" w:hAnsi="Arial" w:eastAsia="Arial" w:cs="Arial"/>
                <w:b w:val="0"/>
                <w:i w:val="0"/>
                <w:color w:val="2C3E50"/>
                <w:sz w:val="20"/>
              </w:rPr>
              <w:t>Operations</w:t>
            </w:r>
          </w:p>
        </w:tc>
        <w:tc>
          <w:tcPr>
            <w:tcW w:w="7344" w:type="dxa"/>
            <w:tcBorders>
              <w:top w:val="single" w:color="DDDDDD" w:sz="4" w:space="0"/>
              <w:left w:val="single" w:color="DDDDDD" w:sz="4" w:space="0"/>
              <w:bottom w:val="single" w:color="DDDDDD" w:sz="4" w:space="0"/>
              <w:right w:val="single" w:color="DDDDDD" w:sz="4" w:space="0"/>
            </w:tcBorders>
            <w:vAlign w:val="top"/>
          </w:tcPr>
          <w:p w14:paraId="1DF8CAE0">
            <w:pPr>
              <w:spacing w:before="40" w:after="40"/>
            </w:pPr>
            <w:r>
              <w:rPr>
                <w:rFonts w:ascii="Arial" w:hAnsi="Arial" w:eastAsia="Arial" w:cs="Arial"/>
                <w:b w:val="0"/>
                <w:i w:val="0"/>
                <w:color w:val="2C3E50"/>
                <w:sz w:val="20"/>
              </w:rPr>
              <w:t>/admin/channels (allowlist), /admin/schedules (one-off triggers), Novu Subscribers</w:t>
            </w:r>
          </w:p>
        </w:tc>
      </w:tr>
      <w:tr w14:paraId="21CD3B52">
        <w:tc>
          <w:tcPr>
            <w:tcW w:w="2016" w:type="dxa"/>
            <w:tcBorders>
              <w:top w:val="single" w:color="DDDDDD" w:sz="4" w:space="0"/>
              <w:left w:val="single" w:color="DDDDDD" w:sz="4" w:space="0"/>
              <w:bottom w:val="single" w:color="DDDDDD" w:sz="4" w:space="0"/>
              <w:right w:val="single" w:color="DDDDDD" w:sz="4" w:space="0"/>
            </w:tcBorders>
            <w:shd w:val="clear" w:color="auto" w:fill="F8F9FA"/>
            <w:vAlign w:val="top"/>
          </w:tcPr>
          <w:p w14:paraId="38296FAD">
            <w:pPr>
              <w:spacing w:before="40" w:after="40"/>
            </w:pPr>
            <w:r>
              <w:rPr>
                <w:rFonts w:ascii="Arial" w:hAnsi="Arial" w:eastAsia="Arial" w:cs="Arial"/>
                <w:b w:val="0"/>
                <w:i w:val="0"/>
                <w:color w:val="2C3E50"/>
                <w:sz w:val="20"/>
              </w:rPr>
              <w:t>Customer-Care</w:t>
            </w:r>
          </w:p>
        </w:tc>
        <w:tc>
          <w:tcPr>
            <w:tcW w:w="7344" w:type="dxa"/>
            <w:tcBorders>
              <w:top w:val="single" w:color="DDDDDD" w:sz="4" w:space="0"/>
              <w:left w:val="single" w:color="DDDDDD" w:sz="4" w:space="0"/>
              <w:bottom w:val="single" w:color="DDDDDD" w:sz="4" w:space="0"/>
              <w:right w:val="single" w:color="DDDDDD" w:sz="4" w:space="0"/>
            </w:tcBorders>
            <w:shd w:val="clear" w:color="auto" w:fill="F8F9FA"/>
            <w:vAlign w:val="top"/>
          </w:tcPr>
          <w:p w14:paraId="0F20BB78">
            <w:pPr>
              <w:spacing w:before="40" w:after="40"/>
            </w:pPr>
            <w:r>
              <w:rPr>
                <w:rFonts w:ascii="Arial" w:hAnsi="Arial" w:eastAsia="Arial" w:cs="Arial"/>
                <w:b w:val="0"/>
                <w:i w:val="0"/>
                <w:color w:val="2C3E50"/>
                <w:sz w:val="20"/>
              </w:rPr>
              <w:t>Replies in /admin/history (audit), retry-failed-rows on campaigns</w:t>
            </w:r>
          </w:p>
        </w:tc>
      </w:tr>
      <w:tr w14:paraId="01CE2E96">
        <w:tc>
          <w:tcPr>
            <w:tcW w:w="2016" w:type="dxa"/>
            <w:tcBorders>
              <w:top w:val="single" w:color="DDDDDD" w:sz="4" w:space="0"/>
              <w:left w:val="single" w:color="DDDDDD" w:sz="4" w:space="0"/>
              <w:bottom w:val="single" w:color="DDDDDD" w:sz="4" w:space="0"/>
              <w:right w:val="single" w:color="DDDDDD" w:sz="4" w:space="0"/>
            </w:tcBorders>
            <w:vAlign w:val="top"/>
          </w:tcPr>
          <w:p w14:paraId="5AAD7209">
            <w:pPr>
              <w:spacing w:before="40" w:after="40"/>
            </w:pPr>
            <w:r>
              <w:rPr>
                <w:rFonts w:ascii="Arial" w:hAnsi="Arial" w:eastAsia="Arial" w:cs="Arial"/>
                <w:b w:val="0"/>
                <w:i w:val="0"/>
                <w:color w:val="2C3E50"/>
                <w:sz w:val="20"/>
              </w:rPr>
              <w:t>Marketing</w:t>
            </w:r>
          </w:p>
        </w:tc>
        <w:tc>
          <w:tcPr>
            <w:tcW w:w="7344" w:type="dxa"/>
            <w:tcBorders>
              <w:top w:val="single" w:color="DDDDDD" w:sz="4" w:space="0"/>
              <w:left w:val="single" w:color="DDDDDD" w:sz="4" w:space="0"/>
              <w:bottom w:val="single" w:color="DDDDDD" w:sz="4" w:space="0"/>
              <w:right w:val="single" w:color="DDDDDD" w:sz="4" w:space="0"/>
            </w:tcBorders>
            <w:vAlign w:val="top"/>
          </w:tcPr>
          <w:p w14:paraId="28BAAA20">
            <w:pPr>
              <w:spacing w:before="40" w:after="40"/>
            </w:pPr>
            <w:r>
              <w:rPr>
                <w:rFonts w:ascii="Arial" w:hAnsi="Arial" w:eastAsia="Arial" w:cs="Arial"/>
                <w:b w:val="0"/>
                <w:i w:val="0"/>
                <w:color w:val="2C3E50"/>
                <w:sz w:val="20"/>
              </w:rPr>
              <w:t>/admin/campaigns (audience-driven sends), /admin/templates (email + in-app HTML)</w:t>
            </w:r>
          </w:p>
        </w:tc>
      </w:tr>
      <w:tr w14:paraId="37C3B716">
        <w:tc>
          <w:tcPr>
            <w:tcW w:w="2016" w:type="dxa"/>
            <w:tcBorders>
              <w:top w:val="single" w:color="DDDDDD" w:sz="4" w:space="0"/>
              <w:left w:val="single" w:color="DDDDDD" w:sz="4" w:space="0"/>
              <w:bottom w:val="single" w:color="DDDDDD" w:sz="4" w:space="0"/>
              <w:right w:val="single" w:color="DDDDDD" w:sz="4" w:space="0"/>
            </w:tcBorders>
            <w:shd w:val="clear" w:color="auto" w:fill="F8F9FA"/>
            <w:vAlign w:val="top"/>
          </w:tcPr>
          <w:p w14:paraId="3BF3B9A0">
            <w:pPr>
              <w:spacing w:before="40" w:after="40"/>
            </w:pPr>
            <w:r>
              <w:rPr>
                <w:rFonts w:ascii="Arial" w:hAnsi="Arial" w:eastAsia="Arial" w:cs="Arial"/>
                <w:b w:val="0"/>
                <w:i w:val="0"/>
                <w:color w:val="2C3E50"/>
                <w:sz w:val="20"/>
              </w:rPr>
              <w:t>Engineering</w:t>
            </w:r>
          </w:p>
        </w:tc>
        <w:tc>
          <w:tcPr>
            <w:tcW w:w="7344" w:type="dxa"/>
            <w:tcBorders>
              <w:top w:val="single" w:color="DDDDDD" w:sz="4" w:space="0"/>
              <w:left w:val="single" w:color="DDDDDD" w:sz="4" w:space="0"/>
              <w:bottom w:val="single" w:color="DDDDDD" w:sz="4" w:space="0"/>
              <w:right w:val="single" w:color="DDDDDD" w:sz="4" w:space="0"/>
            </w:tcBorders>
            <w:shd w:val="clear" w:color="auto" w:fill="F8F9FA"/>
            <w:vAlign w:val="top"/>
          </w:tcPr>
          <w:p w14:paraId="76DD97FA">
            <w:pPr>
              <w:spacing w:before="40" w:after="40"/>
            </w:pPr>
            <w:r>
              <w:rPr>
                <w:rFonts w:ascii="Arial" w:hAnsi="Arial" w:eastAsia="Arial" w:cs="Arial"/>
                <w:b w:val="0"/>
                <w:i w:val="0"/>
                <w:color w:val="2C3E50"/>
                <w:sz w:val="20"/>
              </w:rPr>
              <w:t>Workflow authoring on Novu CE Dashboard, integration setup, server administration</w:t>
            </w:r>
          </w:p>
        </w:tc>
      </w:tr>
      <w:tr w14:paraId="74DA6844">
        <w:tc>
          <w:tcPr>
            <w:tcW w:w="2016" w:type="dxa"/>
            <w:tcBorders>
              <w:top w:val="single" w:color="DDDDDD" w:sz="4" w:space="0"/>
              <w:left w:val="single" w:color="DDDDDD" w:sz="4" w:space="0"/>
              <w:bottom w:val="single" w:color="DDDDDD" w:sz="4" w:space="0"/>
              <w:right w:val="single" w:color="DDDDDD" w:sz="4" w:space="0"/>
            </w:tcBorders>
            <w:vAlign w:val="top"/>
          </w:tcPr>
          <w:p w14:paraId="4F543A44">
            <w:pPr>
              <w:spacing w:before="40" w:after="40"/>
            </w:pPr>
            <w:r>
              <w:rPr>
                <w:rFonts w:ascii="Arial" w:hAnsi="Arial" w:eastAsia="Arial" w:cs="Arial"/>
                <w:b w:val="0"/>
                <w:i w:val="0"/>
                <w:color w:val="2C3E50"/>
                <w:sz w:val="20"/>
              </w:rPr>
              <w:t>Compliance Lead</w:t>
            </w:r>
          </w:p>
        </w:tc>
        <w:tc>
          <w:tcPr>
            <w:tcW w:w="7344" w:type="dxa"/>
            <w:tcBorders>
              <w:top w:val="single" w:color="DDDDDD" w:sz="4" w:space="0"/>
              <w:left w:val="single" w:color="DDDDDD" w:sz="4" w:space="0"/>
              <w:bottom w:val="single" w:color="DDDDDD" w:sz="4" w:space="0"/>
              <w:right w:val="single" w:color="DDDDDD" w:sz="4" w:space="0"/>
            </w:tcBorders>
            <w:vAlign w:val="top"/>
          </w:tcPr>
          <w:p w14:paraId="2358DEFE">
            <w:pPr>
              <w:spacing w:before="40" w:after="40"/>
            </w:pPr>
            <w:r>
              <w:rPr>
                <w:rFonts w:ascii="Arial" w:hAnsi="Arial" w:eastAsia="Arial" w:cs="Arial"/>
                <w:b w:val="0"/>
                <w:i w:val="0"/>
                <w:color w:val="2C3E50"/>
                <w:sz w:val="20"/>
              </w:rPr>
              <w:t>Approves new templates, audits the activity feed, owns Charter §4.8 retention</w:t>
            </w:r>
          </w:p>
        </w:tc>
      </w:tr>
    </w:tbl>
    <w:p w14:paraId="598CA170">
      <w:r>
        <w:br w:type="page"/>
      </w:r>
    </w:p>
    <w:p w14:paraId="58E82351">
      <w:pPr>
        <w:keepNext/>
        <w:spacing w:before="240" w:after="160"/>
      </w:pPr>
      <w:r>
        <w:rPr>
          <w:rFonts w:ascii="Arial" w:hAnsi="Arial" w:eastAsia="Arial" w:cs="Arial"/>
          <w:b/>
          <w:i w:val="0"/>
          <w:color w:val="1B3A5C"/>
          <w:sz w:val="36"/>
        </w:rPr>
        <w:t>4.  Access &amp; Login</w:t>
      </w:r>
    </w:p>
    <w:p w14:paraId="21CDF554">
      <w:pPr>
        <w:keepNext/>
        <w:spacing w:before="160" w:after="120"/>
      </w:pPr>
      <w:r>
        <w:rPr>
          <w:rFonts w:ascii="Arial" w:hAnsi="Arial" w:eastAsia="Arial" w:cs="Arial"/>
          <w:b/>
          <w:i w:val="0"/>
          <w:color w:val="1B3A5C"/>
          <w:sz w:val="28"/>
        </w:rPr>
        <w:t>4.1  Logging into the TPE Admin Console</w:t>
      </w:r>
    </w:p>
    <w:p w14:paraId="3DDF6C43">
      <w:pPr>
        <w:spacing w:after="60"/>
        <w:ind w:left="360"/>
      </w:pPr>
      <w:r>
        <w:rPr>
          <w:rFonts w:ascii="Arial" w:hAnsi="Arial" w:eastAsia="Arial" w:cs="Arial"/>
          <w:b/>
          <w:i w:val="0"/>
          <w:color w:val="1B3A5C"/>
          <w:sz w:val="22"/>
        </w:rPr>
        <w:t xml:space="preserve">1.  </w:t>
      </w:r>
      <w:r>
        <w:rPr>
          <w:rFonts w:ascii="Arial" w:hAnsi="Arial" w:eastAsia="Arial" w:cs="Arial"/>
          <w:b w:val="0"/>
          <w:i w:val="0"/>
          <w:color w:val="2C3E50"/>
          <w:sz w:val="22"/>
        </w:rPr>
        <w:t>Open http://103.138.96.180/admin in a browser. The page shows a single password field on a card titled “TPE Admin”.</w:t>
      </w:r>
    </w:p>
    <w:p w14:paraId="485C63E1">
      <w:pPr>
        <w:spacing w:after="60"/>
        <w:ind w:left="360"/>
      </w:pPr>
      <w:r>
        <w:rPr>
          <w:rFonts w:ascii="Arial" w:hAnsi="Arial" w:eastAsia="Arial" w:cs="Arial"/>
          <w:b/>
          <w:i w:val="0"/>
          <w:color w:val="1B3A5C"/>
          <w:sz w:val="22"/>
        </w:rPr>
        <w:t xml:space="preserve">2.  </w:t>
      </w:r>
      <w:r>
        <w:rPr>
          <w:rFonts w:ascii="Arial" w:hAnsi="Arial" w:eastAsia="Arial" w:cs="Arial"/>
          <w:b w:val="0"/>
          <w:i w:val="0"/>
          <w:color w:val="2C3E50"/>
          <w:sz w:val="22"/>
        </w:rPr>
        <w:t>Type the operator password (issued by Engineering — never circulate over chat). Click Sign in.</w:t>
      </w:r>
    </w:p>
    <w:p w14:paraId="0489D931">
      <w:pPr>
        <w:spacing w:after="60"/>
        <w:ind w:left="360"/>
      </w:pPr>
      <w:r>
        <w:rPr>
          <w:rFonts w:ascii="Arial" w:hAnsi="Arial" w:eastAsia="Arial" w:cs="Arial"/>
          <w:b/>
          <w:i w:val="0"/>
          <w:color w:val="1B3A5C"/>
          <w:sz w:val="22"/>
        </w:rPr>
        <w:t xml:space="preserve">3.  </w:t>
      </w:r>
      <w:r>
        <w:rPr>
          <w:rFonts w:ascii="Arial" w:hAnsi="Arial" w:eastAsia="Arial" w:cs="Arial"/>
          <w:b w:val="0"/>
          <w:i w:val="0"/>
          <w:color w:val="2C3E50"/>
          <w:sz w:val="22"/>
        </w:rPr>
        <w:t>On success the browser lands on /admin (the Operator Dashboard). A session cookie keeps you logged in for 12 hours; after that, sign in again.</w:t>
      </w:r>
    </w:p>
    <w:p w14:paraId="0D752216">
      <w:pPr>
        <w:spacing w:after="60"/>
        <w:ind w:left="360"/>
      </w:pPr>
      <w:r>
        <w:rPr>
          <w:rFonts w:ascii="Arial" w:hAnsi="Arial" w:eastAsia="Arial" w:cs="Arial"/>
          <w:b/>
          <w:i w:val="0"/>
          <w:color w:val="1B3A5C"/>
          <w:sz w:val="22"/>
        </w:rPr>
        <w:t xml:space="preserve">4.  </w:t>
      </w:r>
      <w:r>
        <w:rPr>
          <w:rFonts w:ascii="Arial" w:hAnsi="Arial" w:eastAsia="Arial" w:cs="Arial"/>
          <w:b w:val="0"/>
          <w:i w:val="0"/>
          <w:color w:val="2C3E50"/>
          <w:sz w:val="22"/>
        </w:rPr>
        <w:t>Sign out via the operator avatar (top-right) → Sign out.</w:t>
      </w:r>
    </w:p>
    <w:tbl>
      <w:tblPr>
        <w:tblStyle w:val="12"/>
        <w:tblW w:w="0" w:type="auto"/>
        <w:tblInd w:w="0" w:type="dxa"/>
        <w:tblLayout w:type="fixed"/>
        <w:tblCellMar>
          <w:top w:w="0" w:type="dxa"/>
          <w:left w:w="108" w:type="dxa"/>
          <w:bottom w:w="0" w:type="dxa"/>
          <w:right w:w="108" w:type="dxa"/>
        </w:tblCellMar>
      </w:tblPr>
      <w:tblGrid>
        <w:gridCol w:w="9360"/>
      </w:tblGrid>
      <w:tr w14:paraId="458021AE">
        <w:tc>
          <w:tcPr>
            <w:tcW w:w="9360" w:type="dxa"/>
            <w:tcBorders>
              <w:top w:val="single" w:color="C0C0C0" w:sz="6" w:space="0"/>
              <w:left w:val="single" w:color="C0C0C0" w:sz="6" w:space="0"/>
              <w:bottom w:val="single" w:color="C0C0C0" w:sz="6" w:space="0"/>
              <w:right w:val="single" w:color="C0C0C0" w:sz="6" w:space="0"/>
            </w:tcBorders>
            <w:shd w:val="clear" w:color="auto" w:fill="FFF8E1"/>
          </w:tcPr>
          <w:p w14:paraId="63E18899">
            <w:pPr>
              <w:spacing w:before="80" w:after="80"/>
            </w:pPr>
            <w:r>
              <w:rPr>
                <w:rFonts w:ascii="Arial" w:hAnsi="Arial" w:eastAsia="Arial" w:cs="Arial"/>
                <w:b/>
                <w:i w:val="0"/>
                <w:color w:val="E67E22"/>
                <w:sz w:val="20"/>
              </w:rPr>
              <w:t xml:space="preserve">Reminder. </w:t>
            </w:r>
            <w:r>
              <w:rPr>
                <w:rFonts w:ascii="Arial" w:hAnsi="Arial" w:eastAsia="Arial" w:cs="Arial"/>
                <w:b w:val="0"/>
                <w:i w:val="0"/>
                <w:color w:val="2C3E50"/>
                <w:sz w:val="20"/>
              </w:rPr>
              <w:t>The admin password is shared across all operators in this MVP. Do not commit it to chat, tickets, or screenshots. If you suspect compromise, ask Engineering to rotate the TPE_ADMIN_PASSWORD environment variable — every active session is invalidated when the password changes (the session token is derived from the password).</w:t>
            </w:r>
          </w:p>
        </w:tc>
      </w:tr>
    </w:tbl>
    <w:p w14:paraId="40522C9B">
      <w:pPr>
        <w:spacing w:before="0" w:after="120"/>
      </w:pPr>
    </w:p>
    <w:p w14:paraId="7676C4E7">
      <w:pPr>
        <w:keepNext/>
        <w:spacing w:before="160" w:after="120"/>
      </w:pPr>
      <w:r>
        <w:rPr>
          <w:rFonts w:ascii="Arial" w:hAnsi="Arial" w:eastAsia="Arial" w:cs="Arial"/>
          <w:b/>
          <w:i w:val="0"/>
          <w:color w:val="1B3A5C"/>
          <w:sz w:val="28"/>
        </w:rPr>
        <w:t>4.2  Logging into the Novu CE Dashboard</w:t>
      </w:r>
    </w:p>
    <w:p w14:paraId="61224C10">
      <w:pPr>
        <w:spacing w:after="60"/>
        <w:ind w:left="360"/>
      </w:pPr>
      <w:r>
        <w:rPr>
          <w:rFonts w:ascii="Arial" w:hAnsi="Arial" w:eastAsia="Arial" w:cs="Arial"/>
          <w:b/>
          <w:i w:val="0"/>
          <w:color w:val="1B3A5C"/>
          <w:sz w:val="22"/>
        </w:rPr>
        <w:t xml:space="preserve">1.  </w:t>
      </w:r>
      <w:r>
        <w:rPr>
          <w:rFonts w:ascii="Arial" w:hAnsi="Arial" w:eastAsia="Arial" w:cs="Arial"/>
          <w:b w:val="0"/>
          <w:i w:val="0"/>
          <w:color w:val="2C3E50"/>
          <w:sz w:val="22"/>
        </w:rPr>
        <w:t>Open http://103.138.96.180/ — the Novu sign-in page loads.</w:t>
      </w:r>
    </w:p>
    <w:p w14:paraId="2FA68A56">
      <w:pPr>
        <w:spacing w:after="60"/>
        <w:ind w:left="360"/>
      </w:pPr>
      <w:r>
        <w:rPr>
          <w:rFonts w:ascii="Arial" w:hAnsi="Arial" w:eastAsia="Arial" w:cs="Arial"/>
          <w:b/>
          <w:i w:val="0"/>
          <w:color w:val="1B3A5C"/>
          <w:sz w:val="22"/>
        </w:rPr>
        <w:t xml:space="preserve">2.  </w:t>
      </w:r>
      <w:r>
        <w:rPr>
          <w:rFonts w:ascii="Arial" w:hAnsi="Arial" w:eastAsia="Arial" w:cs="Arial"/>
          <w:b w:val="0"/>
          <w:i w:val="0"/>
          <w:color w:val="2C3E50"/>
          <w:sz w:val="22"/>
        </w:rPr>
        <w:t>Enter the operator email + password issued to you. There is no public sign-up on this instance — accounts are created by Engineering on request.</w:t>
      </w:r>
    </w:p>
    <w:p w14:paraId="236A9850">
      <w:pPr>
        <w:spacing w:after="60"/>
        <w:ind w:left="360"/>
      </w:pPr>
      <w:r>
        <w:rPr>
          <w:rFonts w:ascii="Arial" w:hAnsi="Arial" w:eastAsia="Arial" w:cs="Arial"/>
          <w:b/>
          <w:i w:val="0"/>
          <w:color w:val="1B3A5C"/>
          <w:sz w:val="22"/>
        </w:rPr>
        <w:t xml:space="preserve">3.  </w:t>
      </w:r>
      <w:r>
        <w:rPr>
          <w:rFonts w:ascii="Arial" w:hAnsi="Arial" w:eastAsia="Arial" w:cs="Arial"/>
          <w:b w:val="0"/>
          <w:i w:val="0"/>
          <w:color w:val="2C3E50"/>
          <w:sz w:val="22"/>
        </w:rPr>
        <w:t>On success you land on the Workflows tab of the Development environment. The environment switcher (top-left, below the org name) lets you flip between Development and Production (when Production is provisioned).</w:t>
      </w:r>
    </w:p>
    <w:p w14:paraId="2A8E89D9">
      <w:pPr>
        <w:keepNext/>
        <w:spacing w:before="160" w:after="120"/>
      </w:pPr>
      <w:r>
        <w:rPr>
          <w:rFonts w:ascii="Arial" w:hAnsi="Arial" w:eastAsia="Arial" w:cs="Arial"/>
          <w:b/>
          <w:i w:val="0"/>
          <w:color w:val="1B3A5C"/>
          <w:sz w:val="28"/>
        </w:rPr>
        <w:t>4.3  Session timeouts &amp; multi-tab use</w:t>
      </w:r>
    </w:p>
    <w:p w14:paraId="45898962">
      <w:pPr>
        <w:spacing w:before="0" w:after="40"/>
        <w:ind w:left="360"/>
      </w:pPr>
      <w:r>
        <w:rPr>
          <w:rFonts w:ascii="Arial" w:hAnsi="Arial" w:eastAsia="Arial" w:cs="Arial"/>
          <w:b/>
          <w:i w:val="0"/>
          <w:color w:val="1B3A5C"/>
          <w:sz w:val="22"/>
        </w:rPr>
        <w:t xml:space="preserve">•  </w:t>
      </w:r>
      <w:r>
        <w:rPr>
          <w:rFonts w:ascii="Arial" w:hAnsi="Arial" w:eastAsia="Arial" w:cs="Arial"/>
          <w:b w:val="0"/>
          <w:i w:val="0"/>
          <w:color w:val="2C3E50"/>
          <w:sz w:val="22"/>
        </w:rPr>
        <w:t>Both consoles are safe to open in multiple browser tabs at once. State is shared via cookies.</w:t>
      </w:r>
    </w:p>
    <w:p w14:paraId="627926CA">
      <w:pPr>
        <w:spacing w:before="0" w:after="40"/>
        <w:ind w:left="360"/>
      </w:pPr>
      <w:r>
        <w:rPr>
          <w:rFonts w:ascii="Arial" w:hAnsi="Arial" w:eastAsia="Arial" w:cs="Arial"/>
          <w:b/>
          <w:i w:val="0"/>
          <w:color w:val="1B3A5C"/>
          <w:sz w:val="22"/>
        </w:rPr>
        <w:t xml:space="preserve">•  </w:t>
      </w:r>
      <w:r>
        <w:rPr>
          <w:rFonts w:ascii="Arial" w:hAnsi="Arial" w:eastAsia="Arial" w:cs="Arial"/>
          <w:b w:val="0"/>
          <w:i w:val="0"/>
          <w:color w:val="2C3E50"/>
          <w:sz w:val="22"/>
        </w:rPr>
        <w:t>If a Save or Fire button suddenly stops working with a 401 error, your session has expired. Refresh the page to be redirected to the sign-in screen.</w:t>
      </w:r>
    </w:p>
    <w:p w14:paraId="73F4E189">
      <w:pPr>
        <w:spacing w:before="0" w:after="40"/>
        <w:ind w:left="360"/>
      </w:pPr>
      <w:r>
        <w:rPr>
          <w:rFonts w:ascii="Arial" w:hAnsi="Arial" w:eastAsia="Arial" w:cs="Arial"/>
          <w:b/>
          <w:i w:val="0"/>
          <w:color w:val="1B3A5C"/>
          <w:sz w:val="22"/>
        </w:rPr>
        <w:t xml:space="preserve">•  </w:t>
      </w:r>
      <w:r>
        <w:rPr>
          <w:rFonts w:ascii="Arial" w:hAnsi="Arial" w:eastAsia="Arial" w:cs="Arial"/>
          <w:b w:val="0"/>
          <w:i w:val="0"/>
          <w:color w:val="2C3E50"/>
          <w:sz w:val="22"/>
        </w:rPr>
        <w:t>Always sign out when leaving a shared workstation.</w:t>
      </w:r>
    </w:p>
    <w:p w14:paraId="7D50A602">
      <w:r>
        <w:br w:type="page"/>
      </w:r>
    </w:p>
    <w:p w14:paraId="2D935EEA">
      <w:pPr>
        <w:keepNext/>
        <w:spacing w:before="240" w:after="160"/>
      </w:pPr>
      <w:r>
        <w:rPr>
          <w:rFonts w:ascii="Arial" w:hAnsi="Arial" w:eastAsia="Arial" w:cs="Arial"/>
          <w:b/>
          <w:i w:val="0"/>
          <w:color w:val="1B3A5C"/>
          <w:sz w:val="36"/>
        </w:rPr>
        <w:t>5.  Authoring a Notification Workflow</w:t>
      </w:r>
    </w:p>
    <w:p w14:paraId="0BD5E69D">
      <w:pPr>
        <w:spacing w:before="0" w:after="80"/>
      </w:pPr>
      <w:r>
        <w:rPr>
          <w:rFonts w:ascii="Arial" w:hAnsi="Arial" w:eastAsia="Arial" w:cs="Arial"/>
          <w:b w:val="0"/>
          <w:i w:val="0"/>
          <w:sz w:val="22"/>
        </w:rPr>
        <w:t>A workflow is the recipe for a notification — it defines which channels fire (in-app / email / SMS / WhatsApp), in what order, and with what content. Workflows are authored in the Novu CE Dashboard and triggered from anywhere (manually via the API, via a TPE Admin campaign, or via an integration).</w:t>
      </w:r>
    </w:p>
    <w:p w14:paraId="2744BBBC">
      <w:pPr>
        <w:keepNext/>
        <w:spacing w:before="160" w:after="120"/>
      </w:pPr>
      <w:r>
        <w:rPr>
          <w:rFonts w:ascii="Arial" w:hAnsi="Arial" w:eastAsia="Arial" w:cs="Arial"/>
          <w:b/>
          <w:i w:val="0"/>
          <w:color w:val="1B3A5C"/>
          <w:sz w:val="28"/>
        </w:rPr>
        <w:t>5.1  Step-by-step: your first workflow</w:t>
      </w:r>
    </w:p>
    <w:p w14:paraId="438EE547">
      <w:pPr>
        <w:spacing w:after="60"/>
        <w:ind w:left="360"/>
      </w:pPr>
      <w:r>
        <w:rPr>
          <w:rFonts w:ascii="Arial" w:hAnsi="Arial" w:eastAsia="Arial" w:cs="Arial"/>
          <w:b/>
          <w:i w:val="0"/>
          <w:color w:val="1B3A5C"/>
          <w:sz w:val="22"/>
        </w:rPr>
        <w:t xml:space="preserve">1.  </w:t>
      </w:r>
      <w:r>
        <w:rPr>
          <w:rFonts w:ascii="Arial" w:hAnsi="Arial" w:eastAsia="Arial" w:cs="Arial"/>
          <w:b w:val="0"/>
          <w:i w:val="0"/>
          <w:color w:val="2C3E50"/>
          <w:sz w:val="22"/>
        </w:rPr>
        <w:t>Open http://103.138.96.180/ and sign in.</w:t>
      </w:r>
    </w:p>
    <w:p w14:paraId="5B7BE5AF">
      <w:pPr>
        <w:spacing w:after="60"/>
        <w:ind w:left="360"/>
      </w:pPr>
      <w:r>
        <w:rPr>
          <w:rFonts w:ascii="Arial" w:hAnsi="Arial" w:eastAsia="Arial" w:cs="Arial"/>
          <w:b/>
          <w:i w:val="0"/>
          <w:color w:val="1B3A5C"/>
          <w:sz w:val="22"/>
        </w:rPr>
        <w:t xml:space="preserve">2.  </w:t>
      </w:r>
      <w:r>
        <w:rPr>
          <w:rFonts w:ascii="Arial" w:hAnsi="Arial" w:eastAsia="Arial" w:cs="Arial"/>
          <w:b w:val="0"/>
          <w:i w:val="0"/>
          <w:color w:val="2C3E50"/>
          <w:sz w:val="22"/>
        </w:rPr>
        <w:t>Click Workflows in the sidebar → click + New Workflow (top-right). A dialog asks for a name.</w:t>
      </w:r>
    </w:p>
    <w:p w14:paraId="0E2AB8B2">
      <w:pPr>
        <w:spacing w:after="60"/>
        <w:ind w:left="360"/>
      </w:pPr>
      <w:r>
        <w:rPr>
          <w:rFonts w:ascii="Arial" w:hAnsi="Arial" w:eastAsia="Arial" w:cs="Arial"/>
          <w:b/>
          <w:i w:val="0"/>
          <w:color w:val="1B3A5C"/>
          <w:sz w:val="22"/>
        </w:rPr>
        <w:t xml:space="preserve">3.  </w:t>
      </w:r>
      <w:r>
        <w:rPr>
          <w:rFonts w:ascii="Arial" w:hAnsi="Arial" w:eastAsia="Arial" w:cs="Arial"/>
          <w:b w:val="0"/>
          <w:i w:val="0"/>
          <w:color w:val="2C3E50"/>
          <w:sz w:val="22"/>
        </w:rPr>
        <w:t>Enter a short slug (lowercase, hyphenated): e.g. welcome-test-2026. Click Create. You land in the workflow editor.</w:t>
      </w:r>
    </w:p>
    <w:p w14:paraId="553B4ABB">
      <w:pPr>
        <w:spacing w:after="60"/>
        <w:ind w:left="360"/>
      </w:pPr>
      <w:r>
        <w:rPr>
          <w:rFonts w:ascii="Arial" w:hAnsi="Arial" w:eastAsia="Arial" w:cs="Arial"/>
          <w:b/>
          <w:i w:val="0"/>
          <w:color w:val="1B3A5C"/>
          <w:sz w:val="22"/>
        </w:rPr>
        <w:t xml:space="preserve">4.  </w:t>
      </w:r>
      <w:r>
        <w:rPr>
          <w:rFonts w:ascii="Arial" w:hAnsi="Arial" w:eastAsia="Arial" w:cs="Arial"/>
          <w:b w:val="0"/>
          <w:i w:val="0"/>
          <w:color w:val="2C3E50"/>
          <w:sz w:val="22"/>
        </w:rPr>
        <w:t>Drag In-App from the Channels panel onto the canvas. Set: Subject = “Welcome {{firstName}}”, Body = “Hi {{firstName}}, your account is live. Visit the portal at https://thepolicyexchange.com/.”. Save the step.</w:t>
      </w:r>
    </w:p>
    <w:p w14:paraId="406AA125">
      <w:pPr>
        <w:spacing w:after="60"/>
        <w:ind w:left="360"/>
      </w:pPr>
      <w:r>
        <w:rPr>
          <w:rFonts w:ascii="Arial" w:hAnsi="Arial" w:eastAsia="Arial" w:cs="Arial"/>
          <w:b/>
          <w:i w:val="0"/>
          <w:color w:val="1B3A5C"/>
          <w:sz w:val="22"/>
        </w:rPr>
        <w:t xml:space="preserve">5.  </w:t>
      </w:r>
      <w:r>
        <w:rPr>
          <w:rFonts w:ascii="Arial" w:hAnsi="Arial" w:eastAsia="Arial" w:cs="Arial"/>
          <w:b w:val="0"/>
          <w:i w:val="0"/>
          <w:color w:val="2C3E50"/>
          <w:sz w:val="22"/>
        </w:rPr>
        <w:t>Drag Email from the Channels panel below the In-App step. Set: Subject = “Welcome to TPE”, Body = a short HTML message. Save.</w:t>
      </w:r>
    </w:p>
    <w:p w14:paraId="4161FDFF">
      <w:pPr>
        <w:spacing w:after="60"/>
        <w:ind w:left="360"/>
      </w:pPr>
      <w:r>
        <w:rPr>
          <w:rFonts w:ascii="Arial" w:hAnsi="Arial" w:eastAsia="Arial" w:cs="Arial"/>
          <w:b/>
          <w:i w:val="0"/>
          <w:color w:val="1B3A5C"/>
          <w:sz w:val="22"/>
        </w:rPr>
        <w:t xml:space="preserve">6.  </w:t>
      </w:r>
      <w:r>
        <w:rPr>
          <w:rFonts w:ascii="Arial" w:hAnsi="Arial" w:eastAsia="Arial" w:cs="Arial"/>
          <w:b w:val="0"/>
          <w:i w:val="0"/>
          <w:color w:val="2C3E50"/>
          <w:sz w:val="22"/>
        </w:rPr>
        <w:t>Click the Settings tab on the workflow header — confirm the Notification Group (defaults to “General”) and the trigger key.</w:t>
      </w:r>
    </w:p>
    <w:p w14:paraId="6492887F">
      <w:pPr>
        <w:spacing w:after="60"/>
        <w:ind w:left="360"/>
      </w:pPr>
      <w:r>
        <w:rPr>
          <w:rFonts w:ascii="Arial" w:hAnsi="Arial" w:eastAsia="Arial" w:cs="Arial"/>
          <w:b/>
          <w:i w:val="0"/>
          <w:color w:val="1B3A5C"/>
          <w:sz w:val="22"/>
        </w:rPr>
        <w:t xml:space="preserve">7.  </w:t>
      </w:r>
      <w:r>
        <w:rPr>
          <w:rFonts w:ascii="Arial" w:hAnsi="Arial" w:eastAsia="Arial" w:cs="Arial"/>
          <w:b w:val="0"/>
          <w:i w:val="0"/>
          <w:color w:val="2C3E50"/>
          <w:sz w:val="22"/>
        </w:rPr>
        <w:t>Click Save (top-right).</w:t>
      </w:r>
    </w:p>
    <w:p w14:paraId="04B155E8">
      <w:pPr>
        <w:spacing w:after="60"/>
        <w:ind w:left="360"/>
      </w:pPr>
      <w:r>
        <w:rPr>
          <w:rFonts w:ascii="Arial" w:hAnsi="Arial" w:eastAsia="Arial" w:cs="Arial"/>
          <w:b/>
          <w:i w:val="0"/>
          <w:color w:val="1B3A5C"/>
          <w:sz w:val="22"/>
        </w:rPr>
        <w:t xml:space="preserve">8.  </w:t>
      </w:r>
      <w:r>
        <w:rPr>
          <w:rFonts w:ascii="Arial" w:hAnsi="Arial" w:eastAsia="Arial" w:cs="Arial"/>
          <w:b w:val="0"/>
          <w:i w:val="0"/>
          <w:color w:val="2C3E50"/>
          <w:sz w:val="22"/>
        </w:rPr>
        <w:t>From the Workflows list, toggle the workflow to Active (green dot). Inactive workflows return 400 when triggered.</w:t>
      </w:r>
    </w:p>
    <w:tbl>
      <w:tblPr>
        <w:tblStyle w:val="12"/>
        <w:tblW w:w="0" w:type="auto"/>
        <w:tblInd w:w="0" w:type="dxa"/>
        <w:tblLayout w:type="fixed"/>
        <w:tblCellMar>
          <w:top w:w="0" w:type="dxa"/>
          <w:left w:w="108" w:type="dxa"/>
          <w:bottom w:w="0" w:type="dxa"/>
          <w:right w:w="108" w:type="dxa"/>
        </w:tblCellMar>
      </w:tblPr>
      <w:tblGrid>
        <w:gridCol w:w="9360"/>
      </w:tblGrid>
      <w:tr w14:paraId="0A3DF09C">
        <w:tc>
          <w:tcPr>
            <w:tcW w:w="9360" w:type="dxa"/>
            <w:tcBorders>
              <w:top w:val="single" w:color="C0C0C0" w:sz="6" w:space="0"/>
              <w:left w:val="single" w:color="C0C0C0" w:sz="6" w:space="0"/>
              <w:bottom w:val="single" w:color="C0C0C0" w:sz="6" w:space="0"/>
              <w:right w:val="single" w:color="C0C0C0" w:sz="6" w:space="0"/>
            </w:tcBorders>
            <w:shd w:val="clear" w:color="auto" w:fill="EBF3FB"/>
          </w:tcPr>
          <w:p w14:paraId="4CA28ECC">
            <w:pPr>
              <w:spacing w:before="80" w:after="80"/>
            </w:pPr>
            <w:r>
              <w:rPr>
                <w:rFonts w:ascii="Arial" w:hAnsi="Arial" w:eastAsia="Arial" w:cs="Arial"/>
                <w:b/>
                <w:i w:val="0"/>
                <w:color w:val="2E75B6"/>
                <w:sz w:val="18"/>
                <w:szCs w:val="21"/>
              </w:rPr>
              <w:t xml:space="preserve">Variables in workflow content. </w:t>
            </w:r>
            <w:r>
              <w:rPr>
                <w:rFonts w:ascii="Arial" w:hAnsi="Arial" w:eastAsia="Arial" w:cs="Arial"/>
                <w:b w:val="0"/>
                <w:i w:val="0"/>
                <w:color w:val="2C3E50"/>
                <w:sz w:val="18"/>
                <w:szCs w:val="21"/>
              </w:rPr>
              <w:t>Anywhere you can type, you can use {{var}} placeholders. The values come from the trigger's payload field. Example: {{firstName}} pulls from payload.firstName. The TPE Admin Campaign builder fills these from your Postgres data via the Field Map step.</w:t>
            </w:r>
          </w:p>
        </w:tc>
      </w:tr>
    </w:tbl>
    <w:p w14:paraId="181D322F">
      <w:pPr>
        <w:keepNext/>
        <w:spacing w:before="160" w:after="120"/>
      </w:pPr>
      <w:bookmarkStart w:id="0" w:name="_GoBack"/>
      <w:bookmarkEnd w:id="0"/>
      <w:r>
        <w:rPr>
          <w:rFonts w:ascii="Arial" w:hAnsi="Arial" w:eastAsia="Arial" w:cs="Arial"/>
          <w:b/>
          <w:i w:val="0"/>
          <w:color w:val="1B3A5C"/>
          <w:sz w:val="28"/>
        </w:rPr>
        <w:t>5.2  Channel selection guidance</w:t>
      </w:r>
    </w:p>
    <w:tbl>
      <w:tblPr>
        <w:tblStyle w:val="12"/>
        <w:tblW w:w="0" w:type="auto"/>
        <w:tblInd w:w="0" w:type="dxa"/>
        <w:tblLayout w:type="fixed"/>
        <w:tblCellMar>
          <w:top w:w="0" w:type="dxa"/>
          <w:left w:w="108" w:type="dxa"/>
          <w:bottom w:w="0" w:type="dxa"/>
          <w:right w:w="108" w:type="dxa"/>
        </w:tblCellMar>
      </w:tblPr>
      <w:tblGrid>
        <w:gridCol w:w="1440"/>
        <w:gridCol w:w="3456"/>
        <w:gridCol w:w="4464"/>
      </w:tblGrid>
      <w:tr w14:paraId="178F76C0">
        <w:tc>
          <w:tcPr>
            <w:tcW w:w="1440" w:type="dxa"/>
            <w:tcBorders>
              <w:top w:val="single" w:color="FFFFFF" w:sz="4" w:space="0"/>
              <w:left w:val="single" w:color="FFFFFF" w:sz="4" w:space="0"/>
              <w:bottom w:val="single" w:color="FFFFFF" w:sz="4" w:space="0"/>
              <w:right w:val="single" w:color="FFFFFF" w:sz="4" w:space="0"/>
            </w:tcBorders>
            <w:shd w:val="clear" w:color="auto" w:fill="1B3A5C"/>
            <w:vAlign w:val="center"/>
          </w:tcPr>
          <w:p w14:paraId="58E29CFE">
            <w:pPr>
              <w:spacing w:before="40" w:after="40"/>
            </w:pPr>
            <w:r>
              <w:rPr>
                <w:rFonts w:ascii="Arial" w:hAnsi="Arial" w:eastAsia="Arial" w:cs="Arial"/>
                <w:b/>
                <w:i w:val="0"/>
                <w:color w:val="FFFFFF"/>
                <w:sz w:val="20"/>
              </w:rPr>
              <w:t>Channel</w:t>
            </w:r>
          </w:p>
        </w:tc>
        <w:tc>
          <w:tcPr>
            <w:tcW w:w="3456" w:type="dxa"/>
            <w:tcBorders>
              <w:top w:val="single" w:color="FFFFFF" w:sz="4" w:space="0"/>
              <w:left w:val="single" w:color="FFFFFF" w:sz="4" w:space="0"/>
              <w:bottom w:val="single" w:color="FFFFFF" w:sz="4" w:space="0"/>
              <w:right w:val="single" w:color="FFFFFF" w:sz="4" w:space="0"/>
            </w:tcBorders>
            <w:shd w:val="clear" w:color="auto" w:fill="1B3A5C"/>
            <w:vAlign w:val="center"/>
          </w:tcPr>
          <w:p w14:paraId="3D7250B6">
            <w:pPr>
              <w:spacing w:before="40" w:after="40"/>
            </w:pPr>
            <w:r>
              <w:rPr>
                <w:rFonts w:ascii="Arial" w:hAnsi="Arial" w:eastAsia="Arial" w:cs="Arial"/>
                <w:b/>
                <w:i w:val="0"/>
                <w:color w:val="FFFFFF"/>
                <w:sz w:val="20"/>
              </w:rPr>
              <w:t>Status on stage</w:t>
            </w:r>
          </w:p>
        </w:tc>
        <w:tc>
          <w:tcPr>
            <w:tcW w:w="4464" w:type="dxa"/>
            <w:tcBorders>
              <w:top w:val="single" w:color="FFFFFF" w:sz="4" w:space="0"/>
              <w:left w:val="single" w:color="FFFFFF" w:sz="4" w:space="0"/>
              <w:bottom w:val="single" w:color="FFFFFF" w:sz="4" w:space="0"/>
              <w:right w:val="single" w:color="FFFFFF" w:sz="4" w:space="0"/>
            </w:tcBorders>
            <w:shd w:val="clear" w:color="auto" w:fill="1B3A5C"/>
            <w:vAlign w:val="center"/>
          </w:tcPr>
          <w:p w14:paraId="24A8B9F1">
            <w:pPr>
              <w:spacing w:before="40" w:after="40"/>
            </w:pPr>
            <w:r>
              <w:rPr>
                <w:rFonts w:ascii="Arial" w:hAnsi="Arial" w:eastAsia="Arial" w:cs="Arial"/>
                <w:b/>
                <w:i w:val="0"/>
                <w:color w:val="FFFFFF"/>
                <w:sz w:val="20"/>
              </w:rPr>
              <w:t>Use when...</w:t>
            </w:r>
          </w:p>
        </w:tc>
      </w:tr>
      <w:tr w14:paraId="35C7DACF">
        <w:tc>
          <w:tcPr>
            <w:tcW w:w="1440" w:type="dxa"/>
            <w:tcBorders>
              <w:top w:val="single" w:color="DDDDDD" w:sz="4" w:space="0"/>
              <w:left w:val="single" w:color="DDDDDD" w:sz="4" w:space="0"/>
              <w:bottom w:val="single" w:color="DDDDDD" w:sz="4" w:space="0"/>
              <w:right w:val="single" w:color="DDDDDD" w:sz="4" w:space="0"/>
            </w:tcBorders>
            <w:vAlign w:val="top"/>
          </w:tcPr>
          <w:p w14:paraId="56E4D3BD">
            <w:pPr>
              <w:spacing w:before="40" w:after="40"/>
            </w:pPr>
            <w:r>
              <w:rPr>
                <w:rFonts w:ascii="Arial" w:hAnsi="Arial" w:eastAsia="Arial" w:cs="Arial"/>
                <w:b w:val="0"/>
                <w:i w:val="0"/>
                <w:color w:val="2C3E50"/>
                <w:sz w:val="20"/>
              </w:rPr>
              <w:t>In-App</w:t>
            </w:r>
          </w:p>
        </w:tc>
        <w:tc>
          <w:tcPr>
            <w:tcW w:w="3456" w:type="dxa"/>
            <w:tcBorders>
              <w:top w:val="single" w:color="DDDDDD" w:sz="4" w:space="0"/>
              <w:left w:val="single" w:color="DDDDDD" w:sz="4" w:space="0"/>
              <w:bottom w:val="single" w:color="DDDDDD" w:sz="4" w:space="0"/>
              <w:right w:val="single" w:color="DDDDDD" w:sz="4" w:space="0"/>
            </w:tcBorders>
            <w:vAlign w:val="top"/>
          </w:tcPr>
          <w:p w14:paraId="04ADEBFB">
            <w:pPr>
              <w:spacing w:before="40" w:after="40"/>
            </w:pPr>
            <w:r>
              <w:rPr>
                <w:rFonts w:ascii="Arial" w:hAnsi="Arial" w:eastAsia="Arial" w:cs="Arial"/>
                <w:b w:val="0"/>
                <w:i w:val="0"/>
                <w:color w:val="2C3E50"/>
                <w:sz w:val="20"/>
              </w:rPr>
              <w:t>● Working out of the box</w:t>
            </w:r>
          </w:p>
        </w:tc>
        <w:tc>
          <w:tcPr>
            <w:tcW w:w="4464" w:type="dxa"/>
            <w:tcBorders>
              <w:top w:val="single" w:color="DDDDDD" w:sz="4" w:space="0"/>
              <w:left w:val="single" w:color="DDDDDD" w:sz="4" w:space="0"/>
              <w:bottom w:val="single" w:color="DDDDDD" w:sz="4" w:space="0"/>
              <w:right w:val="single" w:color="DDDDDD" w:sz="4" w:space="0"/>
            </w:tcBorders>
            <w:vAlign w:val="top"/>
          </w:tcPr>
          <w:p w14:paraId="02F0307E">
            <w:pPr>
              <w:spacing w:before="40" w:after="40"/>
            </w:pPr>
            <w:r>
              <w:rPr>
                <w:rFonts w:ascii="Arial" w:hAnsi="Arial" w:eastAsia="Arial" w:cs="Arial"/>
                <w:b w:val="0"/>
                <w:i w:val="0"/>
                <w:color w:val="2C3E50"/>
                <w:sz w:val="20"/>
              </w:rPr>
              <w:t>Always — confirms the trigger fired even when external channels are unconfigured.</w:t>
            </w:r>
          </w:p>
        </w:tc>
      </w:tr>
      <w:tr w14:paraId="0474800A">
        <w:tc>
          <w:tcPr>
            <w:tcW w:w="1440" w:type="dxa"/>
            <w:tcBorders>
              <w:top w:val="single" w:color="DDDDDD" w:sz="4" w:space="0"/>
              <w:left w:val="single" w:color="DDDDDD" w:sz="4" w:space="0"/>
              <w:bottom w:val="single" w:color="DDDDDD" w:sz="4" w:space="0"/>
              <w:right w:val="single" w:color="DDDDDD" w:sz="4" w:space="0"/>
            </w:tcBorders>
            <w:shd w:val="clear" w:color="auto" w:fill="F8F9FA"/>
            <w:vAlign w:val="top"/>
          </w:tcPr>
          <w:p w14:paraId="5EEC605F">
            <w:pPr>
              <w:spacing w:before="40" w:after="40"/>
            </w:pPr>
            <w:r>
              <w:rPr>
                <w:rFonts w:ascii="Arial" w:hAnsi="Arial" w:eastAsia="Arial" w:cs="Arial"/>
                <w:b w:val="0"/>
                <w:i w:val="0"/>
                <w:color w:val="2C3E50"/>
                <w:sz w:val="20"/>
              </w:rPr>
              <w:t>Email</w:t>
            </w:r>
          </w:p>
        </w:tc>
        <w:tc>
          <w:tcPr>
            <w:tcW w:w="3456" w:type="dxa"/>
            <w:tcBorders>
              <w:top w:val="single" w:color="DDDDDD" w:sz="4" w:space="0"/>
              <w:left w:val="single" w:color="DDDDDD" w:sz="4" w:space="0"/>
              <w:bottom w:val="single" w:color="DDDDDD" w:sz="4" w:space="0"/>
              <w:right w:val="single" w:color="DDDDDD" w:sz="4" w:space="0"/>
            </w:tcBorders>
            <w:shd w:val="clear" w:color="auto" w:fill="F8F9FA"/>
            <w:vAlign w:val="top"/>
          </w:tcPr>
          <w:p w14:paraId="490E0D54">
            <w:pPr>
              <w:spacing w:before="40" w:after="40"/>
            </w:pPr>
            <w:r>
              <w:rPr>
                <w:rFonts w:ascii="Arial" w:hAnsi="Arial" w:eastAsia="Arial" w:cs="Arial"/>
                <w:b w:val="0"/>
                <w:i w:val="0"/>
                <w:color w:val="2C3E50"/>
                <w:sz w:val="20"/>
              </w:rPr>
              <w:t>● Available; SES creds pending</w:t>
            </w:r>
          </w:p>
        </w:tc>
        <w:tc>
          <w:tcPr>
            <w:tcW w:w="4464" w:type="dxa"/>
            <w:tcBorders>
              <w:top w:val="single" w:color="DDDDDD" w:sz="4" w:space="0"/>
              <w:left w:val="single" w:color="DDDDDD" w:sz="4" w:space="0"/>
              <w:bottom w:val="single" w:color="DDDDDD" w:sz="4" w:space="0"/>
              <w:right w:val="single" w:color="DDDDDD" w:sz="4" w:space="0"/>
            </w:tcBorders>
            <w:shd w:val="clear" w:color="auto" w:fill="F8F9FA"/>
            <w:vAlign w:val="top"/>
          </w:tcPr>
          <w:p w14:paraId="257216FF">
            <w:pPr>
              <w:spacing w:before="40" w:after="40"/>
            </w:pPr>
            <w:r>
              <w:rPr>
                <w:rFonts w:ascii="Arial" w:hAnsi="Arial" w:eastAsia="Arial" w:cs="Arial"/>
                <w:b w:val="0"/>
                <w:i w:val="0"/>
                <w:color w:val="2C3E50"/>
                <w:sz w:val="20"/>
              </w:rPr>
              <w:t>Long-form content (statements, NOCs, decision letters). Until SES creds land, the step gracefully skips.</w:t>
            </w:r>
          </w:p>
        </w:tc>
      </w:tr>
      <w:tr w14:paraId="419A45E8">
        <w:tc>
          <w:tcPr>
            <w:tcW w:w="1440" w:type="dxa"/>
            <w:tcBorders>
              <w:top w:val="single" w:color="DDDDDD" w:sz="4" w:space="0"/>
              <w:left w:val="single" w:color="DDDDDD" w:sz="4" w:space="0"/>
              <w:bottom w:val="single" w:color="DDDDDD" w:sz="4" w:space="0"/>
              <w:right w:val="single" w:color="DDDDDD" w:sz="4" w:space="0"/>
            </w:tcBorders>
            <w:vAlign w:val="top"/>
          </w:tcPr>
          <w:p w14:paraId="63D96DB0">
            <w:pPr>
              <w:spacing w:before="40" w:after="40"/>
            </w:pPr>
            <w:r>
              <w:rPr>
                <w:rFonts w:ascii="Arial" w:hAnsi="Arial" w:eastAsia="Arial" w:cs="Arial"/>
                <w:b w:val="0"/>
                <w:i w:val="0"/>
                <w:color w:val="2C3E50"/>
                <w:sz w:val="20"/>
              </w:rPr>
              <w:t>SMS</w:t>
            </w:r>
          </w:p>
        </w:tc>
        <w:tc>
          <w:tcPr>
            <w:tcW w:w="3456" w:type="dxa"/>
            <w:tcBorders>
              <w:top w:val="single" w:color="DDDDDD" w:sz="4" w:space="0"/>
              <w:left w:val="single" w:color="DDDDDD" w:sz="4" w:space="0"/>
              <w:bottom w:val="single" w:color="DDDDDD" w:sz="4" w:space="0"/>
              <w:right w:val="single" w:color="DDDDDD" w:sz="4" w:space="0"/>
            </w:tcBorders>
            <w:vAlign w:val="top"/>
          </w:tcPr>
          <w:p w14:paraId="30CA85EC">
            <w:pPr>
              <w:spacing w:before="40" w:after="40"/>
            </w:pPr>
            <w:r>
              <w:rPr>
                <w:rFonts w:ascii="Arial" w:hAnsi="Arial" w:eastAsia="Arial" w:cs="Arial"/>
                <w:b w:val="0"/>
                <w:i w:val="0"/>
                <w:color w:val="2C3E50"/>
                <w:sz w:val="20"/>
              </w:rPr>
              <w:t>● Working via MSG91 (Bridge workflows only)</w:t>
            </w:r>
          </w:p>
        </w:tc>
        <w:tc>
          <w:tcPr>
            <w:tcW w:w="4464" w:type="dxa"/>
            <w:tcBorders>
              <w:top w:val="single" w:color="DDDDDD" w:sz="4" w:space="0"/>
              <w:left w:val="single" w:color="DDDDDD" w:sz="4" w:space="0"/>
              <w:bottom w:val="single" w:color="DDDDDD" w:sz="4" w:space="0"/>
              <w:right w:val="single" w:color="DDDDDD" w:sz="4" w:space="0"/>
            </w:tcBorders>
            <w:vAlign w:val="top"/>
          </w:tcPr>
          <w:p w14:paraId="2ED88B90">
            <w:pPr>
              <w:spacing w:before="40" w:after="40"/>
            </w:pPr>
            <w:r>
              <w:rPr>
                <w:rFonts w:ascii="Arial" w:hAnsi="Arial" w:eastAsia="Arial" w:cs="Arial"/>
                <w:b w:val="0"/>
                <w:i w:val="0"/>
                <w:color w:val="2C3E50"/>
                <w:sz w:val="20"/>
              </w:rPr>
              <w:t>Short transactional notices (OTPs, payment due). Studio-authored workflows do NOT have an MSG91 provider — coordinate with Engineering.</w:t>
            </w:r>
          </w:p>
        </w:tc>
      </w:tr>
      <w:tr w14:paraId="03D7052D">
        <w:tc>
          <w:tcPr>
            <w:tcW w:w="1440" w:type="dxa"/>
            <w:tcBorders>
              <w:top w:val="single" w:color="DDDDDD" w:sz="4" w:space="0"/>
              <w:left w:val="single" w:color="DDDDDD" w:sz="4" w:space="0"/>
              <w:bottom w:val="single" w:color="DDDDDD" w:sz="4" w:space="0"/>
              <w:right w:val="single" w:color="DDDDDD" w:sz="4" w:space="0"/>
            </w:tcBorders>
            <w:shd w:val="clear" w:color="auto" w:fill="F8F9FA"/>
            <w:vAlign w:val="top"/>
          </w:tcPr>
          <w:p w14:paraId="3108256A">
            <w:pPr>
              <w:spacing w:before="40" w:after="40"/>
            </w:pPr>
            <w:r>
              <w:rPr>
                <w:rFonts w:ascii="Arial" w:hAnsi="Arial" w:eastAsia="Arial" w:cs="Arial"/>
                <w:b w:val="0"/>
                <w:i w:val="0"/>
                <w:color w:val="2C3E50"/>
                <w:sz w:val="20"/>
              </w:rPr>
              <w:t>WhatsApp</w:t>
            </w:r>
          </w:p>
        </w:tc>
        <w:tc>
          <w:tcPr>
            <w:tcW w:w="3456" w:type="dxa"/>
            <w:tcBorders>
              <w:top w:val="single" w:color="DDDDDD" w:sz="4" w:space="0"/>
              <w:left w:val="single" w:color="DDDDDD" w:sz="4" w:space="0"/>
              <w:bottom w:val="single" w:color="DDDDDD" w:sz="4" w:space="0"/>
              <w:right w:val="single" w:color="DDDDDD" w:sz="4" w:space="0"/>
            </w:tcBorders>
            <w:shd w:val="clear" w:color="auto" w:fill="F8F9FA"/>
            <w:vAlign w:val="top"/>
          </w:tcPr>
          <w:p w14:paraId="34F610A1">
            <w:pPr>
              <w:spacing w:before="40" w:after="40"/>
            </w:pPr>
            <w:r>
              <w:rPr>
                <w:rFonts w:ascii="Arial" w:hAnsi="Arial" w:eastAsia="Arial" w:cs="Arial"/>
                <w:b w:val="0"/>
                <w:i w:val="0"/>
                <w:color w:val="2C3E50"/>
                <w:sz w:val="20"/>
              </w:rPr>
              <w:t>● Working via ICPaaS (Bridge workflows only)</w:t>
            </w:r>
          </w:p>
        </w:tc>
        <w:tc>
          <w:tcPr>
            <w:tcW w:w="4464" w:type="dxa"/>
            <w:tcBorders>
              <w:top w:val="single" w:color="DDDDDD" w:sz="4" w:space="0"/>
              <w:left w:val="single" w:color="DDDDDD" w:sz="4" w:space="0"/>
              <w:bottom w:val="single" w:color="DDDDDD" w:sz="4" w:space="0"/>
              <w:right w:val="single" w:color="DDDDDD" w:sz="4" w:space="0"/>
            </w:tcBorders>
            <w:shd w:val="clear" w:color="auto" w:fill="F8F9FA"/>
            <w:vAlign w:val="top"/>
          </w:tcPr>
          <w:p w14:paraId="6B4F600A">
            <w:pPr>
              <w:spacing w:before="40" w:after="40"/>
            </w:pPr>
            <w:r>
              <w:rPr>
                <w:rFonts w:ascii="Arial" w:hAnsi="Arial" w:eastAsia="Arial" w:cs="Arial"/>
                <w:b w:val="0"/>
                <w:i w:val="0"/>
                <w:color w:val="2C3E50"/>
                <w:sz w:val="20"/>
              </w:rPr>
              <w:t>Engagement / nudges with rich formatting. Same caveat — Studio workflows can't reach ICPaaS.</w:t>
            </w:r>
          </w:p>
        </w:tc>
      </w:tr>
    </w:tbl>
    <w:p w14:paraId="3B182564">
      <w:pPr>
        <w:keepNext/>
        <w:spacing w:before="160" w:after="120"/>
      </w:pPr>
      <w:r>
        <w:rPr>
          <w:rFonts w:ascii="Arial" w:hAnsi="Arial" w:eastAsia="Arial" w:cs="Arial"/>
          <w:b/>
          <w:i w:val="0"/>
          <w:color w:val="1B3A5C"/>
          <w:sz w:val="28"/>
        </w:rPr>
        <w:t>5.3  Verifying the workflow appears in TPE Admin</w:t>
      </w:r>
    </w:p>
    <w:p w14:paraId="74F4E728">
      <w:pPr>
        <w:spacing w:after="60"/>
        <w:ind w:left="360"/>
      </w:pPr>
      <w:r>
        <w:rPr>
          <w:rFonts w:ascii="Arial" w:hAnsi="Arial" w:eastAsia="Arial" w:cs="Arial"/>
          <w:b/>
          <w:i w:val="0"/>
          <w:color w:val="1B3A5C"/>
          <w:sz w:val="22"/>
        </w:rPr>
        <w:t xml:space="preserve">1.  </w:t>
      </w:r>
      <w:r>
        <w:rPr>
          <w:rFonts w:ascii="Arial" w:hAnsi="Arial" w:eastAsia="Arial" w:cs="Arial"/>
          <w:b w:val="0"/>
          <w:i w:val="0"/>
          <w:color w:val="2C3E50"/>
          <w:sz w:val="22"/>
        </w:rPr>
        <w:t>Open http://103.138.96.180/admin in another tab.</w:t>
      </w:r>
    </w:p>
    <w:p w14:paraId="19C7CF51">
      <w:pPr>
        <w:spacing w:after="60"/>
        <w:ind w:left="360"/>
      </w:pPr>
      <w:r>
        <w:rPr>
          <w:rFonts w:ascii="Arial" w:hAnsi="Arial" w:eastAsia="Arial" w:cs="Arial"/>
          <w:b/>
          <w:i w:val="0"/>
          <w:color w:val="1B3A5C"/>
          <w:sz w:val="22"/>
        </w:rPr>
        <w:t xml:space="preserve">2.  </w:t>
      </w:r>
      <w:r>
        <w:rPr>
          <w:rFonts w:ascii="Arial" w:hAnsi="Arial" w:eastAsia="Arial" w:cs="Arial"/>
          <w:b w:val="0"/>
          <w:i w:val="0"/>
          <w:color w:val="2C3E50"/>
          <w:sz w:val="22"/>
        </w:rPr>
        <w:t>On the Operator Dashboard, the “Workflows deployed” metric should be one higher than before. If it isn't, the workflow either (a) isn't Active or (b) the API key is misconfigured — open a ticket.</w:t>
      </w:r>
    </w:p>
    <w:p w14:paraId="78FB3A58">
      <w:pPr>
        <w:spacing w:after="60"/>
        <w:ind w:left="360"/>
      </w:pPr>
      <w:r>
        <w:rPr>
          <w:rFonts w:ascii="Arial" w:hAnsi="Arial" w:eastAsia="Arial" w:cs="Arial"/>
          <w:b/>
          <w:i w:val="0"/>
          <w:color w:val="1B3A5C"/>
          <w:sz w:val="22"/>
        </w:rPr>
        <w:t xml:space="preserve">3.  </w:t>
      </w:r>
      <w:r>
        <w:rPr>
          <w:rFonts w:ascii="Arial" w:hAnsi="Arial" w:eastAsia="Arial" w:cs="Arial"/>
          <w:b w:val="0"/>
          <w:i w:val="0"/>
          <w:color w:val="2C3E50"/>
          <w:sz w:val="22"/>
        </w:rPr>
        <w:t>Open /admin/campaigns/new → in the Target workflow dropdown, your new workflow should appear. This proves it is reachable from the Admin Console for campaign-driven sends.</w:t>
      </w:r>
    </w:p>
    <w:p w14:paraId="539D53EA">
      <w:r>
        <w:br w:type="page"/>
      </w:r>
    </w:p>
    <w:p w14:paraId="54DDEC07">
      <w:pPr>
        <w:keepNext/>
        <w:spacing w:before="240" w:after="160"/>
      </w:pPr>
      <w:r>
        <w:rPr>
          <w:rFonts w:ascii="Arial" w:hAnsi="Arial" w:eastAsia="Arial" w:cs="Arial"/>
          <w:b/>
          <w:i w:val="0"/>
          <w:color w:val="1B3A5C"/>
          <w:sz w:val="36"/>
        </w:rPr>
        <w:t>6.  Channel Allowlist (Safe-Mode Switch)</w:t>
      </w:r>
    </w:p>
    <w:p w14:paraId="7BA9A8BF">
      <w:pPr>
        <w:spacing w:before="0" w:after="80"/>
      </w:pPr>
      <w:r>
        <w:rPr>
          <w:rFonts w:ascii="Arial" w:hAnsi="Arial" w:eastAsia="Arial" w:cs="Arial"/>
          <w:b w:val="0"/>
          <w:i w:val="0"/>
          <w:sz w:val="22"/>
        </w:rPr>
        <w:t>The /admin/channels page controls whether each of the four channels actually fires. It is the single biggest safety net on the platform — a power switch that lets you disable channels per environment without touching workflow code.</w:t>
      </w:r>
    </w:p>
    <w:p w14:paraId="236812C1">
      <w:pPr>
        <w:keepNext/>
        <w:spacing w:before="160" w:after="120"/>
      </w:pPr>
      <w:r>
        <w:rPr>
          <w:rFonts w:ascii="Arial" w:hAnsi="Arial" w:eastAsia="Arial" w:cs="Arial"/>
          <w:b/>
          <w:i w:val="0"/>
          <w:color w:val="1B3A5C"/>
          <w:sz w:val="28"/>
        </w:rPr>
        <w:t>6.1  Why this exists</w:t>
      </w:r>
    </w:p>
    <w:p w14:paraId="6BE31894">
      <w:pPr>
        <w:spacing w:before="0" w:after="80"/>
      </w:pPr>
      <w:r>
        <w:rPr>
          <w:rFonts w:ascii="Arial" w:hAnsi="Arial" w:eastAsia="Arial" w:cs="Arial"/>
          <w:b w:val="0"/>
          <w:i w:val="0"/>
          <w:sz w:val="22"/>
        </w:rPr>
        <w:t>Sometimes you want to test a workflow end-to-end without messaging real customers. Sometimes a provider has an outage and you want all SMS sends to skip cleanly until the issue is fixed. Sometimes a regulator asks you to demonstrate that no messages will be sent during a specific window. All three use the same control.</w:t>
      </w:r>
    </w:p>
    <w:p w14:paraId="7FD5C4B3">
      <w:pPr>
        <w:keepNext/>
        <w:spacing w:before="160" w:after="120"/>
      </w:pPr>
      <w:r>
        <w:rPr>
          <w:rFonts w:ascii="Arial" w:hAnsi="Arial" w:eastAsia="Arial" w:cs="Arial"/>
          <w:b/>
          <w:i w:val="0"/>
          <w:color w:val="1B3A5C"/>
          <w:sz w:val="28"/>
        </w:rPr>
        <w:t>6.2  How it works</w:t>
      </w:r>
    </w:p>
    <w:p w14:paraId="2402B11F">
      <w:pPr>
        <w:spacing w:after="60"/>
        <w:ind w:left="360"/>
      </w:pPr>
      <w:r>
        <w:rPr>
          <w:rFonts w:ascii="Arial" w:hAnsi="Arial" w:eastAsia="Arial" w:cs="Arial"/>
          <w:b/>
          <w:i w:val="0"/>
          <w:color w:val="1B3A5C"/>
          <w:sz w:val="22"/>
        </w:rPr>
        <w:t xml:space="preserve">1.  </w:t>
      </w:r>
      <w:r>
        <w:rPr>
          <w:rFonts w:ascii="Arial" w:hAnsi="Arial" w:eastAsia="Arial" w:cs="Arial"/>
          <w:b w:val="0"/>
          <w:i w:val="0"/>
          <w:color w:val="2C3E50"/>
          <w:sz w:val="22"/>
        </w:rPr>
        <w:t>Open /admin/channels — four checkboxes (SMS, WhatsApp, Email, In-app) with a status badge next to each.</w:t>
      </w:r>
    </w:p>
    <w:p w14:paraId="50916CE0">
      <w:pPr>
        <w:spacing w:after="60"/>
        <w:ind w:left="360"/>
      </w:pPr>
      <w:r>
        <w:rPr>
          <w:rFonts w:ascii="Arial" w:hAnsi="Arial" w:eastAsia="Arial" w:cs="Arial"/>
          <w:b/>
          <w:i w:val="0"/>
          <w:color w:val="1B3A5C"/>
          <w:sz w:val="22"/>
        </w:rPr>
        <w:t xml:space="preserve">2.  </w:t>
      </w:r>
      <w:r>
        <w:rPr>
          <w:rFonts w:ascii="Arial" w:hAnsi="Arial" w:eastAsia="Arial" w:cs="Arial"/>
          <w:b w:val="0"/>
          <w:i w:val="0"/>
          <w:color w:val="2C3E50"/>
          <w:sz w:val="22"/>
        </w:rPr>
        <w:t>Untick any channel → click Save. The change persists to the tpe_channel_gating Mongo collection within milliseconds.</w:t>
      </w:r>
    </w:p>
    <w:p w14:paraId="273F02D7">
      <w:pPr>
        <w:spacing w:after="60"/>
        <w:ind w:left="360"/>
      </w:pPr>
      <w:r>
        <w:rPr>
          <w:rFonts w:ascii="Arial" w:hAnsi="Arial" w:eastAsia="Arial" w:cs="Arial"/>
          <w:b/>
          <w:i w:val="0"/>
          <w:color w:val="1B3A5C"/>
          <w:sz w:val="22"/>
        </w:rPr>
        <w:t xml:space="preserve">3.  </w:t>
      </w:r>
      <w:r>
        <w:rPr>
          <w:rFonts w:ascii="Arial" w:hAnsi="Arial" w:eastAsia="Arial" w:cs="Arial"/>
          <w:b w:val="0"/>
          <w:i w:val="0"/>
          <w:color w:val="2C3E50"/>
          <w:sz w:val="22"/>
        </w:rPr>
        <w:t>The Bridge container picks up the change within ~10 seconds (cache TTL). From that moment, every dispatch on a disabled channel returns status=skipped with reason “channel ... disabled in /admin/channels” and the audit row records it.</w:t>
      </w:r>
    </w:p>
    <w:p w14:paraId="728A149E">
      <w:pPr>
        <w:spacing w:after="60"/>
        <w:ind w:left="360"/>
      </w:pPr>
      <w:r>
        <w:rPr>
          <w:rFonts w:ascii="Arial" w:hAnsi="Arial" w:eastAsia="Arial" w:cs="Arial"/>
          <w:b/>
          <w:i w:val="0"/>
          <w:color w:val="1B3A5C"/>
          <w:sz w:val="22"/>
        </w:rPr>
        <w:t xml:space="preserve">4.  </w:t>
      </w:r>
      <w:r>
        <w:rPr>
          <w:rFonts w:ascii="Arial" w:hAnsi="Arial" w:eastAsia="Arial" w:cs="Arial"/>
          <w:b w:val="0"/>
          <w:i w:val="0"/>
          <w:color w:val="2C3E50"/>
          <w:sz w:val="22"/>
        </w:rPr>
        <w:t>Workflows continue to run normally; only the channel-step that's disabled is skipped. Other channel-steps in the same workflow still fire if their channel is enabled.</w:t>
      </w:r>
    </w:p>
    <w:p w14:paraId="29243C0A">
      <w:pPr>
        <w:keepNext/>
        <w:spacing w:before="160" w:after="120"/>
      </w:pPr>
      <w:r>
        <w:rPr>
          <w:rFonts w:ascii="Arial" w:hAnsi="Arial" w:eastAsia="Arial" w:cs="Arial"/>
          <w:b/>
          <w:i w:val="0"/>
          <w:color w:val="1B3A5C"/>
          <w:sz w:val="28"/>
        </w:rPr>
        <w:t>6.3  Recommended defaults by environment</w:t>
      </w:r>
    </w:p>
    <w:tbl>
      <w:tblPr>
        <w:tblStyle w:val="12"/>
        <w:tblW w:w="0" w:type="auto"/>
        <w:tblInd w:w="0" w:type="dxa"/>
        <w:tblLayout w:type="fixed"/>
        <w:tblCellMar>
          <w:top w:w="0" w:type="dxa"/>
          <w:left w:w="108" w:type="dxa"/>
          <w:bottom w:w="0" w:type="dxa"/>
          <w:right w:w="108" w:type="dxa"/>
        </w:tblCellMar>
      </w:tblPr>
      <w:tblGrid>
        <w:gridCol w:w="1440"/>
        <w:gridCol w:w="4320"/>
        <w:gridCol w:w="3600"/>
      </w:tblGrid>
      <w:tr w14:paraId="4D13BE1B">
        <w:tc>
          <w:tcPr>
            <w:tcW w:w="1440" w:type="dxa"/>
            <w:tcBorders>
              <w:top w:val="single" w:color="FFFFFF" w:sz="4" w:space="0"/>
              <w:left w:val="single" w:color="FFFFFF" w:sz="4" w:space="0"/>
              <w:bottom w:val="single" w:color="FFFFFF" w:sz="4" w:space="0"/>
              <w:right w:val="single" w:color="FFFFFF" w:sz="4" w:space="0"/>
            </w:tcBorders>
            <w:shd w:val="clear" w:color="auto" w:fill="1B3A5C"/>
            <w:vAlign w:val="center"/>
          </w:tcPr>
          <w:p w14:paraId="30FF7CA1">
            <w:pPr>
              <w:spacing w:before="40" w:after="40"/>
            </w:pPr>
            <w:r>
              <w:rPr>
                <w:rFonts w:ascii="Arial" w:hAnsi="Arial" w:eastAsia="Arial" w:cs="Arial"/>
                <w:b/>
                <w:i w:val="0"/>
                <w:color w:val="FFFFFF"/>
                <w:sz w:val="20"/>
              </w:rPr>
              <w:t>Channel</w:t>
            </w:r>
          </w:p>
        </w:tc>
        <w:tc>
          <w:tcPr>
            <w:tcW w:w="4320" w:type="dxa"/>
            <w:tcBorders>
              <w:top w:val="single" w:color="FFFFFF" w:sz="4" w:space="0"/>
              <w:left w:val="single" w:color="FFFFFF" w:sz="4" w:space="0"/>
              <w:bottom w:val="single" w:color="FFFFFF" w:sz="4" w:space="0"/>
              <w:right w:val="single" w:color="FFFFFF" w:sz="4" w:space="0"/>
            </w:tcBorders>
            <w:shd w:val="clear" w:color="auto" w:fill="1B3A5C"/>
            <w:vAlign w:val="center"/>
          </w:tcPr>
          <w:p w14:paraId="00BD516E">
            <w:pPr>
              <w:spacing w:before="40" w:after="40"/>
            </w:pPr>
            <w:r>
              <w:rPr>
                <w:rFonts w:ascii="Arial" w:hAnsi="Arial" w:eastAsia="Arial" w:cs="Arial"/>
                <w:b/>
                <w:i w:val="0"/>
                <w:color w:val="FFFFFF"/>
                <w:sz w:val="20"/>
              </w:rPr>
              <w:t>Stage / Dev</w:t>
            </w:r>
          </w:p>
        </w:tc>
        <w:tc>
          <w:tcPr>
            <w:tcW w:w="3600" w:type="dxa"/>
            <w:tcBorders>
              <w:top w:val="single" w:color="FFFFFF" w:sz="4" w:space="0"/>
              <w:left w:val="single" w:color="FFFFFF" w:sz="4" w:space="0"/>
              <w:bottom w:val="single" w:color="FFFFFF" w:sz="4" w:space="0"/>
              <w:right w:val="single" w:color="FFFFFF" w:sz="4" w:space="0"/>
            </w:tcBorders>
            <w:shd w:val="clear" w:color="auto" w:fill="1B3A5C"/>
            <w:vAlign w:val="center"/>
          </w:tcPr>
          <w:p w14:paraId="74DE1411">
            <w:pPr>
              <w:spacing w:before="40" w:after="40"/>
            </w:pPr>
            <w:r>
              <w:rPr>
                <w:rFonts w:ascii="Arial" w:hAnsi="Arial" w:eastAsia="Arial" w:cs="Arial"/>
                <w:b/>
                <w:i w:val="0"/>
                <w:color w:val="FFFFFF"/>
                <w:sz w:val="20"/>
              </w:rPr>
              <w:t>Production (when launched)</w:t>
            </w:r>
          </w:p>
        </w:tc>
      </w:tr>
      <w:tr w14:paraId="24E6A728">
        <w:tc>
          <w:tcPr>
            <w:tcW w:w="1440" w:type="dxa"/>
            <w:tcBorders>
              <w:top w:val="single" w:color="DDDDDD" w:sz="4" w:space="0"/>
              <w:left w:val="single" w:color="DDDDDD" w:sz="4" w:space="0"/>
              <w:bottom w:val="single" w:color="DDDDDD" w:sz="4" w:space="0"/>
              <w:right w:val="single" w:color="DDDDDD" w:sz="4" w:space="0"/>
            </w:tcBorders>
            <w:vAlign w:val="top"/>
          </w:tcPr>
          <w:p w14:paraId="7AE6CDAC">
            <w:pPr>
              <w:spacing w:before="40" w:after="40"/>
            </w:pPr>
            <w:r>
              <w:rPr>
                <w:rFonts w:ascii="Arial" w:hAnsi="Arial" w:eastAsia="Arial" w:cs="Arial"/>
                <w:b w:val="0"/>
                <w:i w:val="0"/>
                <w:color w:val="2C3E50"/>
                <w:sz w:val="20"/>
              </w:rPr>
              <w:t>SMS</w:t>
            </w:r>
          </w:p>
        </w:tc>
        <w:tc>
          <w:tcPr>
            <w:tcW w:w="4320" w:type="dxa"/>
            <w:tcBorders>
              <w:top w:val="single" w:color="DDDDDD" w:sz="4" w:space="0"/>
              <w:left w:val="single" w:color="DDDDDD" w:sz="4" w:space="0"/>
              <w:bottom w:val="single" w:color="DDDDDD" w:sz="4" w:space="0"/>
              <w:right w:val="single" w:color="DDDDDD" w:sz="4" w:space="0"/>
            </w:tcBorders>
            <w:vAlign w:val="top"/>
          </w:tcPr>
          <w:p w14:paraId="63547A32">
            <w:pPr>
              <w:spacing w:before="40" w:after="40"/>
            </w:pPr>
            <w:r>
              <w:rPr>
                <w:rFonts w:ascii="Arial" w:hAnsi="Arial" w:eastAsia="Arial" w:cs="Arial"/>
                <w:b w:val="0"/>
                <w:i w:val="0"/>
                <w:color w:val="2C3E50"/>
                <w:sz w:val="20"/>
              </w:rPr>
              <w:t>● On — MSG91 v5 Flow with DLT-registered templates</w:t>
            </w:r>
          </w:p>
        </w:tc>
        <w:tc>
          <w:tcPr>
            <w:tcW w:w="3600" w:type="dxa"/>
            <w:tcBorders>
              <w:top w:val="single" w:color="DDDDDD" w:sz="4" w:space="0"/>
              <w:left w:val="single" w:color="DDDDDD" w:sz="4" w:space="0"/>
              <w:bottom w:val="single" w:color="DDDDDD" w:sz="4" w:space="0"/>
              <w:right w:val="single" w:color="DDDDDD" w:sz="4" w:space="0"/>
            </w:tcBorders>
            <w:vAlign w:val="top"/>
          </w:tcPr>
          <w:p w14:paraId="1158952F">
            <w:pPr>
              <w:spacing w:before="40" w:after="40"/>
            </w:pPr>
            <w:r>
              <w:rPr>
                <w:rFonts w:ascii="Arial" w:hAnsi="Arial" w:eastAsia="Arial" w:cs="Arial"/>
                <w:b w:val="0"/>
                <w:i w:val="0"/>
                <w:color w:val="2C3E50"/>
                <w:sz w:val="20"/>
              </w:rPr>
              <w:t>● On</w:t>
            </w:r>
          </w:p>
        </w:tc>
      </w:tr>
      <w:tr w14:paraId="726E2E8A">
        <w:tc>
          <w:tcPr>
            <w:tcW w:w="1440" w:type="dxa"/>
            <w:tcBorders>
              <w:top w:val="single" w:color="DDDDDD" w:sz="4" w:space="0"/>
              <w:left w:val="single" w:color="DDDDDD" w:sz="4" w:space="0"/>
              <w:bottom w:val="single" w:color="DDDDDD" w:sz="4" w:space="0"/>
              <w:right w:val="single" w:color="DDDDDD" w:sz="4" w:space="0"/>
            </w:tcBorders>
            <w:shd w:val="clear" w:color="auto" w:fill="F8F9FA"/>
            <w:vAlign w:val="top"/>
          </w:tcPr>
          <w:p w14:paraId="2993F881">
            <w:pPr>
              <w:spacing w:before="40" w:after="40"/>
            </w:pPr>
            <w:r>
              <w:rPr>
                <w:rFonts w:ascii="Arial" w:hAnsi="Arial" w:eastAsia="Arial" w:cs="Arial"/>
                <w:b w:val="0"/>
                <w:i w:val="0"/>
                <w:color w:val="2C3E50"/>
                <w:sz w:val="20"/>
              </w:rPr>
              <w:t>WhatsApp</w:t>
            </w:r>
          </w:p>
        </w:tc>
        <w:tc>
          <w:tcPr>
            <w:tcW w:w="4320" w:type="dxa"/>
            <w:tcBorders>
              <w:top w:val="single" w:color="DDDDDD" w:sz="4" w:space="0"/>
              <w:left w:val="single" w:color="DDDDDD" w:sz="4" w:space="0"/>
              <w:bottom w:val="single" w:color="DDDDDD" w:sz="4" w:space="0"/>
              <w:right w:val="single" w:color="DDDDDD" w:sz="4" w:space="0"/>
            </w:tcBorders>
            <w:shd w:val="clear" w:color="auto" w:fill="F8F9FA"/>
            <w:vAlign w:val="top"/>
          </w:tcPr>
          <w:p w14:paraId="6770495C">
            <w:pPr>
              <w:spacing w:before="40" w:after="40"/>
            </w:pPr>
            <w:r>
              <w:rPr>
                <w:rFonts w:ascii="Arial" w:hAnsi="Arial" w:eastAsia="Arial" w:cs="Arial"/>
                <w:b w:val="0"/>
                <w:i w:val="0"/>
                <w:color w:val="2C3E50"/>
                <w:sz w:val="20"/>
              </w:rPr>
              <w:t>● On — ICPaaS with Meta-approved templates</w:t>
            </w:r>
          </w:p>
        </w:tc>
        <w:tc>
          <w:tcPr>
            <w:tcW w:w="3600" w:type="dxa"/>
            <w:tcBorders>
              <w:top w:val="single" w:color="DDDDDD" w:sz="4" w:space="0"/>
              <w:left w:val="single" w:color="DDDDDD" w:sz="4" w:space="0"/>
              <w:bottom w:val="single" w:color="DDDDDD" w:sz="4" w:space="0"/>
              <w:right w:val="single" w:color="DDDDDD" w:sz="4" w:space="0"/>
            </w:tcBorders>
            <w:shd w:val="clear" w:color="auto" w:fill="F8F9FA"/>
            <w:vAlign w:val="top"/>
          </w:tcPr>
          <w:p w14:paraId="6F4A105D">
            <w:pPr>
              <w:spacing w:before="40" w:after="40"/>
            </w:pPr>
            <w:r>
              <w:rPr>
                <w:rFonts w:ascii="Arial" w:hAnsi="Arial" w:eastAsia="Arial" w:cs="Arial"/>
                <w:b w:val="0"/>
                <w:i w:val="0"/>
                <w:color w:val="2C3E50"/>
                <w:sz w:val="20"/>
              </w:rPr>
              <w:t>● On</w:t>
            </w:r>
          </w:p>
        </w:tc>
      </w:tr>
      <w:tr w14:paraId="0F1CDFBD">
        <w:tc>
          <w:tcPr>
            <w:tcW w:w="1440" w:type="dxa"/>
            <w:tcBorders>
              <w:top w:val="single" w:color="DDDDDD" w:sz="4" w:space="0"/>
              <w:left w:val="single" w:color="DDDDDD" w:sz="4" w:space="0"/>
              <w:bottom w:val="single" w:color="DDDDDD" w:sz="4" w:space="0"/>
              <w:right w:val="single" w:color="DDDDDD" w:sz="4" w:space="0"/>
            </w:tcBorders>
            <w:vAlign w:val="top"/>
          </w:tcPr>
          <w:p w14:paraId="7B207376">
            <w:pPr>
              <w:spacing w:before="40" w:after="40"/>
            </w:pPr>
            <w:r>
              <w:rPr>
                <w:rFonts w:ascii="Arial" w:hAnsi="Arial" w:eastAsia="Arial" w:cs="Arial"/>
                <w:b w:val="0"/>
                <w:i w:val="0"/>
                <w:color w:val="2C3E50"/>
                <w:sz w:val="20"/>
              </w:rPr>
              <w:t>Email</w:t>
            </w:r>
          </w:p>
        </w:tc>
        <w:tc>
          <w:tcPr>
            <w:tcW w:w="4320" w:type="dxa"/>
            <w:tcBorders>
              <w:top w:val="single" w:color="DDDDDD" w:sz="4" w:space="0"/>
              <w:left w:val="single" w:color="DDDDDD" w:sz="4" w:space="0"/>
              <w:bottom w:val="single" w:color="DDDDDD" w:sz="4" w:space="0"/>
              <w:right w:val="single" w:color="DDDDDD" w:sz="4" w:space="0"/>
            </w:tcBorders>
            <w:vAlign w:val="top"/>
          </w:tcPr>
          <w:p w14:paraId="614E829E">
            <w:pPr>
              <w:spacing w:before="40" w:after="40"/>
            </w:pPr>
            <w:r>
              <w:rPr>
                <w:rFonts w:ascii="Arial" w:hAnsi="Arial" w:eastAsia="Arial" w:cs="Arial"/>
                <w:b w:val="0"/>
                <w:i w:val="0"/>
                <w:color w:val="2C3E50"/>
                <w:sz w:val="20"/>
              </w:rPr>
              <w:t>● Off — SES creds not yet provisioned</w:t>
            </w:r>
          </w:p>
        </w:tc>
        <w:tc>
          <w:tcPr>
            <w:tcW w:w="3600" w:type="dxa"/>
            <w:tcBorders>
              <w:top w:val="single" w:color="DDDDDD" w:sz="4" w:space="0"/>
              <w:left w:val="single" w:color="DDDDDD" w:sz="4" w:space="0"/>
              <w:bottom w:val="single" w:color="DDDDDD" w:sz="4" w:space="0"/>
              <w:right w:val="single" w:color="DDDDDD" w:sz="4" w:space="0"/>
            </w:tcBorders>
            <w:vAlign w:val="top"/>
          </w:tcPr>
          <w:p w14:paraId="5CDD145B">
            <w:pPr>
              <w:spacing w:before="40" w:after="40"/>
            </w:pPr>
            <w:r>
              <w:rPr>
                <w:rFonts w:ascii="Arial" w:hAnsi="Arial" w:eastAsia="Arial" w:cs="Arial"/>
                <w:b w:val="0"/>
                <w:i w:val="0"/>
                <w:color w:val="2C3E50"/>
                <w:sz w:val="20"/>
              </w:rPr>
              <w:t>● On (once SES production access is granted)</w:t>
            </w:r>
          </w:p>
        </w:tc>
      </w:tr>
      <w:tr w14:paraId="67C171CF">
        <w:tc>
          <w:tcPr>
            <w:tcW w:w="1440" w:type="dxa"/>
            <w:tcBorders>
              <w:top w:val="single" w:color="DDDDDD" w:sz="4" w:space="0"/>
              <w:left w:val="single" w:color="DDDDDD" w:sz="4" w:space="0"/>
              <w:bottom w:val="single" w:color="DDDDDD" w:sz="4" w:space="0"/>
              <w:right w:val="single" w:color="DDDDDD" w:sz="4" w:space="0"/>
            </w:tcBorders>
            <w:shd w:val="clear" w:color="auto" w:fill="F8F9FA"/>
            <w:vAlign w:val="top"/>
          </w:tcPr>
          <w:p w14:paraId="01803D47">
            <w:pPr>
              <w:spacing w:before="40" w:after="40"/>
            </w:pPr>
            <w:r>
              <w:rPr>
                <w:rFonts w:ascii="Arial" w:hAnsi="Arial" w:eastAsia="Arial" w:cs="Arial"/>
                <w:b w:val="0"/>
                <w:i w:val="0"/>
                <w:color w:val="2C3E50"/>
                <w:sz w:val="20"/>
              </w:rPr>
              <w:t>In-app</w:t>
            </w:r>
          </w:p>
        </w:tc>
        <w:tc>
          <w:tcPr>
            <w:tcW w:w="4320" w:type="dxa"/>
            <w:tcBorders>
              <w:top w:val="single" w:color="DDDDDD" w:sz="4" w:space="0"/>
              <w:left w:val="single" w:color="DDDDDD" w:sz="4" w:space="0"/>
              <w:bottom w:val="single" w:color="DDDDDD" w:sz="4" w:space="0"/>
              <w:right w:val="single" w:color="DDDDDD" w:sz="4" w:space="0"/>
            </w:tcBorders>
            <w:shd w:val="clear" w:color="auto" w:fill="F8F9FA"/>
            <w:vAlign w:val="top"/>
          </w:tcPr>
          <w:p w14:paraId="4F247CE3">
            <w:pPr>
              <w:spacing w:before="40" w:after="40"/>
            </w:pPr>
            <w:r>
              <w:rPr>
                <w:rFonts w:ascii="Arial" w:hAnsi="Arial" w:eastAsia="Arial" w:cs="Arial"/>
                <w:b w:val="0"/>
                <w:i w:val="0"/>
                <w:color w:val="2C3E50"/>
                <w:sz w:val="20"/>
              </w:rPr>
              <w:t>● Off on Stage Dev — keeps the inbox clean during testing</w:t>
            </w:r>
          </w:p>
        </w:tc>
        <w:tc>
          <w:tcPr>
            <w:tcW w:w="3600" w:type="dxa"/>
            <w:tcBorders>
              <w:top w:val="single" w:color="DDDDDD" w:sz="4" w:space="0"/>
              <w:left w:val="single" w:color="DDDDDD" w:sz="4" w:space="0"/>
              <w:bottom w:val="single" w:color="DDDDDD" w:sz="4" w:space="0"/>
              <w:right w:val="single" w:color="DDDDDD" w:sz="4" w:space="0"/>
            </w:tcBorders>
            <w:shd w:val="clear" w:color="auto" w:fill="F8F9FA"/>
            <w:vAlign w:val="top"/>
          </w:tcPr>
          <w:p w14:paraId="72E414A4">
            <w:pPr>
              <w:spacing w:before="40" w:after="40"/>
            </w:pPr>
            <w:r>
              <w:rPr>
                <w:rFonts w:ascii="Arial" w:hAnsi="Arial" w:eastAsia="Arial" w:cs="Arial"/>
                <w:b w:val="0"/>
                <w:i w:val="0"/>
                <w:color w:val="2C3E50"/>
                <w:sz w:val="20"/>
              </w:rPr>
              <w:t>● On</w:t>
            </w:r>
          </w:p>
        </w:tc>
      </w:tr>
      <w:tr w14:paraId="786C5EC4">
        <w:tc>
          <w:tcPr>
            <w:tcW w:w="9360" w:type="dxa"/>
            <w:gridSpan w:val="3"/>
            <w:tcBorders>
              <w:top w:val="single" w:color="C0C0C0" w:sz="6" w:space="0"/>
              <w:left w:val="single" w:color="C0C0C0" w:sz="6" w:space="0"/>
              <w:bottom w:val="single" w:color="C0C0C0" w:sz="6" w:space="0"/>
              <w:right w:val="single" w:color="C0C0C0" w:sz="6" w:space="0"/>
            </w:tcBorders>
            <w:shd w:val="clear" w:color="auto" w:fill="EBF3FB"/>
          </w:tcPr>
          <w:p w14:paraId="49587E16">
            <w:pPr>
              <w:spacing w:before="80" w:after="80"/>
            </w:pPr>
            <w:r>
              <w:rPr>
                <w:rFonts w:ascii="Arial" w:hAnsi="Arial" w:eastAsia="Arial" w:cs="Arial"/>
                <w:b/>
                <w:i w:val="0"/>
                <w:color w:val="2E75B6"/>
                <w:sz w:val="20"/>
              </w:rPr>
              <w:t xml:space="preserve">Tip. </w:t>
            </w:r>
            <w:r>
              <w:rPr>
                <w:rFonts w:ascii="Arial" w:hAnsi="Arial" w:eastAsia="Arial" w:cs="Arial"/>
                <w:b w:val="0"/>
                <w:i w:val="0"/>
                <w:color w:val="2C3E50"/>
                <w:sz w:val="20"/>
              </w:rPr>
              <w:t>When testing a new campaign for the first time, untick ALL four channels, fire-now once, inspect the audit history (every row should show status=skipped), then re-enable the channels you want and fire for real.</w:t>
            </w:r>
          </w:p>
        </w:tc>
      </w:tr>
    </w:tbl>
    <w:p w14:paraId="54C859B9">
      <w:pPr>
        <w:spacing w:before="0" w:after="120"/>
      </w:pPr>
    </w:p>
    <w:p w14:paraId="565937ED">
      <w:r>
        <w:br w:type="page"/>
      </w:r>
    </w:p>
    <w:p w14:paraId="6B60E0F7">
      <w:pPr>
        <w:keepNext/>
        <w:spacing w:before="240" w:after="160"/>
      </w:pPr>
      <w:r>
        <w:rPr>
          <w:rFonts w:ascii="Arial" w:hAnsi="Arial" w:eastAsia="Arial" w:cs="Arial"/>
          <w:b/>
          <w:i w:val="0"/>
          <w:color w:val="1B3A5C"/>
          <w:sz w:val="36"/>
        </w:rPr>
        <w:t>7.  Operator-Managed Templates</w:t>
      </w:r>
    </w:p>
    <w:p w14:paraId="0A47CDE6">
      <w:pPr>
        <w:spacing w:before="0" w:after="80"/>
      </w:pPr>
      <w:r>
        <w:rPr>
          <w:rFonts w:ascii="Arial" w:hAnsi="Arial" w:eastAsia="Arial" w:cs="Arial"/>
          <w:b w:val="0"/>
          <w:i w:val="0"/>
          <w:sz w:val="22"/>
        </w:rPr>
        <w:t>The /admin/templates page stores email + in-app HTML snippets that Bridge workflows pull at dispatch time. This is independent of the templates you author inside the Novu Dashboard's workflow editor; it exists for cases where Marketing wants to update copy without touching the workflow code.</w:t>
      </w:r>
    </w:p>
    <w:p w14:paraId="2CDF23A6">
      <w:pPr>
        <w:keepNext/>
        <w:spacing w:before="160" w:after="120"/>
      </w:pPr>
      <w:r>
        <w:rPr>
          <w:rFonts w:ascii="Arial" w:hAnsi="Arial" w:eastAsia="Arial" w:cs="Arial"/>
          <w:b/>
          <w:i w:val="0"/>
          <w:color w:val="1B3A5C"/>
          <w:sz w:val="28"/>
        </w:rPr>
        <w:t>7.1  When to use admin-managed templates</w:t>
      </w:r>
    </w:p>
    <w:p w14:paraId="7C433FA8">
      <w:pPr>
        <w:spacing w:before="0" w:after="40"/>
        <w:ind w:left="360"/>
      </w:pPr>
      <w:r>
        <w:rPr>
          <w:rFonts w:ascii="Arial" w:hAnsi="Arial" w:eastAsia="Arial" w:cs="Arial"/>
          <w:b/>
          <w:i w:val="0"/>
          <w:color w:val="1B3A5C"/>
          <w:sz w:val="22"/>
        </w:rPr>
        <w:t xml:space="preserve">•  </w:t>
      </w:r>
      <w:r>
        <w:rPr>
          <w:rFonts w:ascii="Arial" w:hAnsi="Arial" w:eastAsia="Arial" w:cs="Arial"/>
          <w:b w:val="0"/>
          <w:i w:val="0"/>
          <w:color w:val="2C3E50"/>
          <w:sz w:val="22"/>
        </w:rPr>
        <w:t>Marketing updates email body copy without an Engineering deployment.</w:t>
      </w:r>
    </w:p>
    <w:p w14:paraId="0F0F2794">
      <w:pPr>
        <w:spacing w:before="0" w:after="40"/>
        <w:ind w:left="360"/>
      </w:pPr>
      <w:r>
        <w:rPr>
          <w:rFonts w:ascii="Arial" w:hAnsi="Arial" w:eastAsia="Arial" w:cs="Arial"/>
          <w:b/>
          <w:i w:val="0"/>
          <w:color w:val="1B3A5C"/>
          <w:sz w:val="22"/>
        </w:rPr>
        <w:t xml:space="preserve">•  </w:t>
      </w:r>
      <w:r>
        <w:rPr>
          <w:rFonts w:ascii="Arial" w:hAnsi="Arial" w:eastAsia="Arial" w:cs="Arial"/>
          <w:b w:val="0"/>
          <w:i w:val="0"/>
          <w:color w:val="2C3E50"/>
          <w:sz w:val="22"/>
        </w:rPr>
        <w:t>Same template needs to be reused across multiple workflows.</w:t>
      </w:r>
    </w:p>
    <w:p w14:paraId="5B2A10CF">
      <w:pPr>
        <w:spacing w:before="0" w:after="40"/>
        <w:ind w:left="360"/>
      </w:pPr>
      <w:r>
        <w:rPr>
          <w:rFonts w:ascii="Arial" w:hAnsi="Arial" w:eastAsia="Arial" w:cs="Arial"/>
          <w:b/>
          <w:i w:val="0"/>
          <w:color w:val="1B3A5C"/>
          <w:sz w:val="22"/>
        </w:rPr>
        <w:t xml:space="preserve">•  </w:t>
      </w:r>
      <w:r>
        <w:rPr>
          <w:rFonts w:ascii="Arial" w:hAnsi="Arial" w:eastAsia="Arial" w:cs="Arial"/>
          <w:b w:val="0"/>
          <w:i w:val="0"/>
          <w:color w:val="2C3E50"/>
          <w:sz w:val="22"/>
        </w:rPr>
        <w:t>A/B testing — flip a single template's content and the change reaches every workflow that pulls it.</w:t>
      </w:r>
    </w:p>
    <w:p w14:paraId="12F9E9DC">
      <w:pPr>
        <w:spacing w:before="0" w:after="40"/>
        <w:ind w:left="360"/>
      </w:pPr>
      <w:r>
        <w:rPr>
          <w:rFonts w:ascii="Arial" w:hAnsi="Arial" w:eastAsia="Arial" w:cs="Arial"/>
          <w:b/>
          <w:i w:val="0"/>
          <w:color w:val="1B3A5C"/>
          <w:sz w:val="22"/>
        </w:rPr>
        <w:t xml:space="preserve">•  </w:t>
      </w:r>
      <w:r>
        <w:rPr>
          <w:rFonts w:ascii="Arial" w:hAnsi="Arial" w:eastAsia="Arial" w:cs="Arial"/>
          <w:b w:val="0"/>
          <w:i w:val="0"/>
          <w:color w:val="2C3E50"/>
          <w:sz w:val="22"/>
        </w:rPr>
        <w:t>When NOT to use: SMS bodies (DLT requires registered templates) and WhatsApp bodies (Meta requires approved templates) are managed in MSG91 + Meta — not here.</w:t>
      </w:r>
    </w:p>
    <w:p w14:paraId="15D94A2F">
      <w:pPr>
        <w:keepNext/>
        <w:spacing w:before="160" w:after="120"/>
      </w:pPr>
      <w:r>
        <w:rPr>
          <w:rFonts w:ascii="Arial" w:hAnsi="Arial" w:eastAsia="Arial" w:cs="Arial"/>
          <w:b/>
          <w:i w:val="0"/>
          <w:color w:val="1B3A5C"/>
          <w:sz w:val="28"/>
        </w:rPr>
        <w:t>7.2  Step-by-step: create a template</w:t>
      </w:r>
    </w:p>
    <w:p w14:paraId="71C073AD">
      <w:pPr>
        <w:spacing w:after="60"/>
        <w:ind w:left="360"/>
      </w:pPr>
      <w:r>
        <w:rPr>
          <w:rFonts w:ascii="Arial" w:hAnsi="Arial" w:eastAsia="Arial" w:cs="Arial"/>
          <w:b/>
          <w:i w:val="0"/>
          <w:color w:val="1B3A5C"/>
          <w:sz w:val="22"/>
        </w:rPr>
        <w:t xml:space="preserve">1.  </w:t>
      </w:r>
      <w:r>
        <w:rPr>
          <w:rFonts w:ascii="Arial" w:hAnsi="Arial" w:eastAsia="Arial" w:cs="Arial"/>
          <w:b w:val="0"/>
          <w:i w:val="0"/>
          <w:color w:val="2C3E50"/>
          <w:sz w:val="22"/>
        </w:rPr>
        <w:t>Open /admin/templates → click + New template.</w:t>
      </w:r>
    </w:p>
    <w:p w14:paraId="664CA35B">
      <w:pPr>
        <w:spacing w:after="60"/>
        <w:ind w:left="360"/>
      </w:pPr>
      <w:r>
        <w:rPr>
          <w:rFonts w:ascii="Arial" w:hAnsi="Arial" w:eastAsia="Arial" w:cs="Arial"/>
          <w:b/>
          <w:i w:val="0"/>
          <w:color w:val="1B3A5C"/>
          <w:sz w:val="22"/>
        </w:rPr>
        <w:t xml:space="preserve">2.  </w:t>
      </w:r>
      <w:r>
        <w:rPr>
          <w:rFonts w:ascii="Arial" w:hAnsi="Arial" w:eastAsia="Arial" w:cs="Arial"/>
          <w:b w:val="0"/>
          <w:i w:val="0"/>
          <w:color w:val="2C3E50"/>
          <w:sz w:val="22"/>
        </w:rPr>
        <w:t>Fill in: Name (lowercase-hyphenated, the workflow looks it up by this), Channel (Email or In-app), Language (English or Hindi — register two templates if you need both), Subject, HTML body, optional Text body.</w:t>
      </w:r>
    </w:p>
    <w:p w14:paraId="6ED98D09">
      <w:pPr>
        <w:spacing w:after="60"/>
        <w:ind w:left="360"/>
      </w:pPr>
      <w:r>
        <w:rPr>
          <w:rFonts w:ascii="Arial" w:hAnsi="Arial" w:eastAsia="Arial" w:cs="Arial"/>
          <w:b/>
          <w:i w:val="0"/>
          <w:color w:val="1B3A5C"/>
          <w:sz w:val="22"/>
        </w:rPr>
        <w:t xml:space="preserve">3.  </w:t>
      </w:r>
      <w:r>
        <w:rPr>
          <w:rFonts w:ascii="Arial" w:hAnsi="Arial" w:eastAsia="Arial" w:cs="Arial"/>
          <w:b w:val="0"/>
          <w:i w:val="0"/>
          <w:color w:val="2C3E50"/>
          <w:sz w:val="22"/>
        </w:rPr>
        <w:t>Click Save. The template is now available to any Bridge workflow that queries it by name.</w:t>
      </w:r>
    </w:p>
    <w:p w14:paraId="09A7633F">
      <w:pPr>
        <w:spacing w:after="60"/>
        <w:ind w:left="360"/>
      </w:pPr>
      <w:r>
        <w:rPr>
          <w:rFonts w:ascii="Arial" w:hAnsi="Arial" w:eastAsia="Arial" w:cs="Arial"/>
          <w:b/>
          <w:i w:val="0"/>
          <w:color w:val="1B3A5C"/>
          <w:sz w:val="22"/>
        </w:rPr>
        <w:t xml:space="preserve">4.  </w:t>
      </w:r>
      <w:r>
        <w:rPr>
          <w:rFonts w:ascii="Arial" w:hAnsi="Arial" w:eastAsia="Arial" w:cs="Arial"/>
          <w:b w:val="0"/>
          <w:i w:val="0"/>
          <w:color w:val="2C3E50"/>
          <w:sz w:val="22"/>
        </w:rPr>
        <w:t>Edit by clicking the pencil icon. Delete by clicking the trash icon — operators are prompted to confirm; deleted templates are NOT recoverable.</w:t>
      </w:r>
    </w:p>
    <w:p w14:paraId="2E18C2F3">
      <w:r>
        <w:br w:type="page"/>
      </w:r>
    </w:p>
    <w:p w14:paraId="3F38E56C">
      <w:pPr>
        <w:keepNext/>
        <w:spacing w:before="240" w:after="160"/>
      </w:pPr>
      <w:r>
        <w:rPr>
          <w:rFonts w:ascii="Arial" w:hAnsi="Arial" w:eastAsia="Arial" w:cs="Arial"/>
          <w:b/>
          <w:i w:val="0"/>
          <w:color w:val="1B3A5C"/>
          <w:sz w:val="36"/>
        </w:rPr>
        <w:t>8.  Audience-Driven Campaigns</w:t>
      </w:r>
    </w:p>
    <w:p w14:paraId="5738174F">
      <w:pPr>
        <w:spacing w:before="0" w:after="80"/>
      </w:pPr>
      <w:r>
        <w:rPr>
          <w:rFonts w:ascii="Arial" w:hAnsi="Arial" w:eastAsia="Arial" w:cs="Arial"/>
          <w:b w:val="0"/>
          <w:i w:val="0"/>
          <w:sz w:val="22"/>
        </w:rPr>
        <w:t>A campaign is a saved instruction to fire a workflow against a slice of the analytics database. It encapsulates: the source table, a filter, the target workflow, and a mapping from row columns to the workflow's subscriber identity + payload. This is the central feature of the TPE Admin Console.</w:t>
      </w:r>
    </w:p>
    <w:p w14:paraId="6E3B1EC0">
      <w:pPr>
        <w:keepNext/>
        <w:spacing w:before="160" w:after="120"/>
      </w:pPr>
      <w:r>
        <w:rPr>
          <w:rFonts w:ascii="Arial" w:hAnsi="Arial" w:eastAsia="Arial" w:cs="Arial"/>
          <w:b/>
          <w:i w:val="0"/>
          <w:color w:val="1B3A5C"/>
          <w:sz w:val="28"/>
        </w:rPr>
        <w:t>8.1  Anatomy of a campaign</w:t>
      </w:r>
    </w:p>
    <w:tbl>
      <w:tblPr>
        <w:tblStyle w:val="12"/>
        <w:tblW w:w="0" w:type="auto"/>
        <w:tblInd w:w="0" w:type="dxa"/>
        <w:tblLayout w:type="fixed"/>
        <w:tblCellMar>
          <w:top w:w="0" w:type="dxa"/>
          <w:left w:w="108" w:type="dxa"/>
          <w:bottom w:w="0" w:type="dxa"/>
          <w:right w:w="108" w:type="dxa"/>
        </w:tblCellMar>
      </w:tblPr>
      <w:tblGrid>
        <w:gridCol w:w="2880"/>
        <w:gridCol w:w="6480"/>
      </w:tblGrid>
      <w:tr w14:paraId="2D53EA3A">
        <w:tc>
          <w:tcPr>
            <w:tcW w:w="2880" w:type="dxa"/>
            <w:tcBorders>
              <w:top w:val="single" w:color="FFFFFF" w:sz="4" w:space="0"/>
              <w:left w:val="single" w:color="FFFFFF" w:sz="4" w:space="0"/>
              <w:bottom w:val="single" w:color="FFFFFF" w:sz="4" w:space="0"/>
              <w:right w:val="single" w:color="FFFFFF" w:sz="4" w:space="0"/>
            </w:tcBorders>
            <w:shd w:val="clear" w:color="auto" w:fill="1B3A5C"/>
            <w:vAlign w:val="center"/>
          </w:tcPr>
          <w:p w14:paraId="70D60E73">
            <w:pPr>
              <w:spacing w:before="40" w:after="40"/>
            </w:pPr>
            <w:r>
              <w:rPr>
                <w:rFonts w:ascii="Arial" w:hAnsi="Arial" w:eastAsia="Arial" w:cs="Arial"/>
                <w:b/>
                <w:i w:val="0"/>
                <w:color w:val="FFFFFF"/>
                <w:sz w:val="20"/>
              </w:rPr>
              <w:t>Field</w:t>
            </w:r>
          </w:p>
        </w:tc>
        <w:tc>
          <w:tcPr>
            <w:tcW w:w="6480" w:type="dxa"/>
            <w:tcBorders>
              <w:top w:val="single" w:color="FFFFFF" w:sz="4" w:space="0"/>
              <w:left w:val="single" w:color="FFFFFF" w:sz="4" w:space="0"/>
              <w:bottom w:val="single" w:color="FFFFFF" w:sz="4" w:space="0"/>
              <w:right w:val="single" w:color="FFFFFF" w:sz="4" w:space="0"/>
            </w:tcBorders>
            <w:shd w:val="clear" w:color="auto" w:fill="1B3A5C"/>
            <w:vAlign w:val="center"/>
          </w:tcPr>
          <w:p w14:paraId="7E20DAAF">
            <w:pPr>
              <w:spacing w:before="40" w:after="40"/>
            </w:pPr>
            <w:r>
              <w:rPr>
                <w:rFonts w:ascii="Arial" w:hAnsi="Arial" w:eastAsia="Arial" w:cs="Arial"/>
                <w:b/>
                <w:i w:val="0"/>
                <w:color w:val="FFFFFF"/>
                <w:sz w:val="20"/>
              </w:rPr>
              <w:t>Meaning</w:t>
            </w:r>
          </w:p>
        </w:tc>
      </w:tr>
      <w:tr w14:paraId="0546AADB">
        <w:tc>
          <w:tcPr>
            <w:tcW w:w="2880" w:type="dxa"/>
            <w:tcBorders>
              <w:top w:val="single" w:color="DDDDDD" w:sz="4" w:space="0"/>
              <w:left w:val="single" w:color="DDDDDD" w:sz="4" w:space="0"/>
              <w:bottom w:val="single" w:color="DDDDDD" w:sz="4" w:space="0"/>
              <w:right w:val="single" w:color="DDDDDD" w:sz="4" w:space="0"/>
            </w:tcBorders>
            <w:vAlign w:val="top"/>
          </w:tcPr>
          <w:p w14:paraId="29215E1B">
            <w:pPr>
              <w:spacing w:before="40" w:after="40"/>
            </w:pPr>
            <w:r>
              <w:rPr>
                <w:rFonts w:ascii="Arial" w:hAnsi="Arial" w:eastAsia="Arial" w:cs="Arial"/>
                <w:b w:val="0"/>
                <w:i w:val="0"/>
                <w:color w:val="2C3E50"/>
                <w:sz w:val="20"/>
              </w:rPr>
              <w:t>Source table</w:t>
            </w:r>
          </w:p>
        </w:tc>
        <w:tc>
          <w:tcPr>
            <w:tcW w:w="6480" w:type="dxa"/>
            <w:tcBorders>
              <w:top w:val="single" w:color="DDDDDD" w:sz="4" w:space="0"/>
              <w:left w:val="single" w:color="DDDDDD" w:sz="4" w:space="0"/>
              <w:bottom w:val="single" w:color="DDDDDD" w:sz="4" w:space="0"/>
              <w:right w:val="single" w:color="DDDDDD" w:sz="4" w:space="0"/>
            </w:tcBorders>
            <w:vAlign w:val="top"/>
          </w:tcPr>
          <w:p w14:paraId="13FFC477">
            <w:pPr>
              <w:spacing w:before="40" w:after="40"/>
            </w:pPr>
            <w:r>
              <w:rPr>
                <w:rFonts w:ascii="Arial" w:hAnsi="Arial" w:eastAsia="Arial" w:cs="Arial"/>
                <w:b w:val="0"/>
                <w:i w:val="0"/>
                <w:color w:val="2C3E50"/>
                <w:sz w:val="20"/>
              </w:rPr>
              <w:t>Which Postgres table to read. Curated allowlist: tbl_allocation (60,946 rows of customer + contact), data_allocation, tbl_lapsedata_apr (lapsed policies), final_table, policy_data.</w:t>
            </w:r>
          </w:p>
        </w:tc>
      </w:tr>
      <w:tr w14:paraId="51FCC7D8">
        <w:tc>
          <w:tcPr>
            <w:tcW w:w="2880" w:type="dxa"/>
            <w:tcBorders>
              <w:top w:val="single" w:color="DDDDDD" w:sz="4" w:space="0"/>
              <w:left w:val="single" w:color="DDDDDD" w:sz="4" w:space="0"/>
              <w:bottom w:val="single" w:color="DDDDDD" w:sz="4" w:space="0"/>
              <w:right w:val="single" w:color="DDDDDD" w:sz="4" w:space="0"/>
            </w:tcBorders>
            <w:shd w:val="clear" w:color="auto" w:fill="F8F9FA"/>
            <w:vAlign w:val="top"/>
          </w:tcPr>
          <w:p w14:paraId="1DEA801F">
            <w:pPr>
              <w:spacing w:before="40" w:after="40"/>
            </w:pPr>
            <w:r>
              <w:rPr>
                <w:rFonts w:ascii="Arial" w:hAnsi="Arial" w:eastAsia="Arial" w:cs="Arial"/>
                <w:b w:val="0"/>
                <w:i w:val="0"/>
                <w:color w:val="2C3E50"/>
                <w:sz w:val="20"/>
              </w:rPr>
              <w:t>Filter</w:t>
            </w:r>
          </w:p>
        </w:tc>
        <w:tc>
          <w:tcPr>
            <w:tcW w:w="6480" w:type="dxa"/>
            <w:tcBorders>
              <w:top w:val="single" w:color="DDDDDD" w:sz="4" w:space="0"/>
              <w:left w:val="single" w:color="DDDDDD" w:sz="4" w:space="0"/>
              <w:bottom w:val="single" w:color="DDDDDD" w:sz="4" w:space="0"/>
              <w:right w:val="single" w:color="DDDDDD" w:sz="4" w:space="0"/>
            </w:tcBorders>
            <w:shd w:val="clear" w:color="auto" w:fill="F8F9FA"/>
            <w:vAlign w:val="top"/>
          </w:tcPr>
          <w:p w14:paraId="36A24120">
            <w:pPr>
              <w:spacing w:before="40" w:after="40"/>
            </w:pPr>
            <w:r>
              <w:rPr>
                <w:rFonts w:ascii="Arial" w:hAnsi="Arial" w:eastAsia="Arial" w:cs="Arial"/>
                <w:b w:val="0"/>
                <w:i w:val="0"/>
                <w:color w:val="2C3E50"/>
                <w:sz w:val="20"/>
              </w:rPr>
              <w:t>Optional WHERE clauses. Each filter is column + operator + value. Operators allowed: = != &gt; &gt;= &lt; &lt;= ILIKE IS NULL IS NOT NULL.</w:t>
            </w:r>
          </w:p>
        </w:tc>
      </w:tr>
      <w:tr w14:paraId="5CD98140">
        <w:tc>
          <w:tcPr>
            <w:tcW w:w="2880" w:type="dxa"/>
            <w:tcBorders>
              <w:top w:val="single" w:color="DDDDDD" w:sz="4" w:space="0"/>
              <w:left w:val="single" w:color="DDDDDD" w:sz="4" w:space="0"/>
              <w:bottom w:val="single" w:color="DDDDDD" w:sz="4" w:space="0"/>
              <w:right w:val="single" w:color="DDDDDD" w:sz="4" w:space="0"/>
            </w:tcBorders>
            <w:vAlign w:val="top"/>
          </w:tcPr>
          <w:p w14:paraId="4BABF75A">
            <w:pPr>
              <w:spacing w:before="40" w:after="40"/>
            </w:pPr>
            <w:r>
              <w:rPr>
                <w:rFonts w:ascii="Arial" w:hAnsi="Arial" w:eastAsia="Arial" w:cs="Arial"/>
                <w:b w:val="0"/>
                <w:i w:val="0"/>
                <w:color w:val="2C3E50"/>
                <w:sz w:val="20"/>
              </w:rPr>
              <w:t>Target workflow</w:t>
            </w:r>
          </w:p>
        </w:tc>
        <w:tc>
          <w:tcPr>
            <w:tcW w:w="6480" w:type="dxa"/>
            <w:tcBorders>
              <w:top w:val="single" w:color="DDDDDD" w:sz="4" w:space="0"/>
              <w:left w:val="single" w:color="DDDDDD" w:sz="4" w:space="0"/>
              <w:bottom w:val="single" w:color="DDDDDD" w:sz="4" w:space="0"/>
              <w:right w:val="single" w:color="DDDDDD" w:sz="4" w:space="0"/>
            </w:tcBorders>
            <w:vAlign w:val="top"/>
          </w:tcPr>
          <w:p w14:paraId="126CE585">
            <w:pPr>
              <w:spacing w:before="40" w:after="40"/>
            </w:pPr>
            <w:r>
              <w:rPr>
                <w:rFonts w:ascii="Arial" w:hAnsi="Arial" w:eastAsia="Arial" w:cs="Arial"/>
                <w:b w:val="0"/>
                <w:i w:val="0"/>
                <w:color w:val="2C3E50"/>
                <w:sz w:val="20"/>
              </w:rPr>
              <w:t>The Novu workflow to fire once per matching row.</w:t>
            </w:r>
          </w:p>
        </w:tc>
      </w:tr>
      <w:tr w14:paraId="272AFD80">
        <w:tc>
          <w:tcPr>
            <w:tcW w:w="2880" w:type="dxa"/>
            <w:tcBorders>
              <w:top w:val="single" w:color="DDDDDD" w:sz="4" w:space="0"/>
              <w:left w:val="single" w:color="DDDDDD" w:sz="4" w:space="0"/>
              <w:bottom w:val="single" w:color="DDDDDD" w:sz="4" w:space="0"/>
              <w:right w:val="single" w:color="DDDDDD" w:sz="4" w:space="0"/>
            </w:tcBorders>
            <w:shd w:val="clear" w:color="auto" w:fill="F8F9FA"/>
            <w:vAlign w:val="top"/>
          </w:tcPr>
          <w:p w14:paraId="74D0098A">
            <w:pPr>
              <w:spacing w:before="40" w:after="40"/>
            </w:pPr>
            <w:r>
              <w:rPr>
                <w:rFonts w:ascii="Arial" w:hAnsi="Arial" w:eastAsia="Arial" w:cs="Arial"/>
                <w:b w:val="0"/>
                <w:i w:val="0"/>
                <w:color w:val="2C3E50"/>
                <w:sz w:val="20"/>
              </w:rPr>
              <w:t>Subscriber ID column</w:t>
            </w:r>
          </w:p>
        </w:tc>
        <w:tc>
          <w:tcPr>
            <w:tcW w:w="6480" w:type="dxa"/>
            <w:tcBorders>
              <w:top w:val="single" w:color="DDDDDD" w:sz="4" w:space="0"/>
              <w:left w:val="single" w:color="DDDDDD" w:sz="4" w:space="0"/>
              <w:bottom w:val="single" w:color="DDDDDD" w:sz="4" w:space="0"/>
              <w:right w:val="single" w:color="DDDDDD" w:sz="4" w:space="0"/>
            </w:tcBorders>
            <w:shd w:val="clear" w:color="auto" w:fill="F8F9FA"/>
            <w:vAlign w:val="top"/>
          </w:tcPr>
          <w:p w14:paraId="20A34040">
            <w:pPr>
              <w:spacing w:before="40" w:after="40"/>
            </w:pPr>
            <w:r>
              <w:rPr>
                <w:rFonts w:ascii="Arial" w:hAnsi="Arial" w:eastAsia="Arial" w:cs="Arial"/>
                <w:b w:val="0"/>
                <w:i w:val="0"/>
                <w:color w:val="2C3E50"/>
                <w:sz w:val="20"/>
              </w:rPr>
              <w:t>Which row column becomes the Novu subscriberId. Convention is POLICY_NUMBER for tbl_allocation. The actual subscriberId is namespaced as &lt;table&gt;_&lt;value&gt; (e.g. tbl_allocation_20356001) so rows from different tables don't collide.</w:t>
            </w:r>
          </w:p>
        </w:tc>
      </w:tr>
      <w:tr w14:paraId="2EA31371">
        <w:tc>
          <w:tcPr>
            <w:tcW w:w="2880" w:type="dxa"/>
            <w:tcBorders>
              <w:top w:val="single" w:color="DDDDDD" w:sz="4" w:space="0"/>
              <w:left w:val="single" w:color="DDDDDD" w:sz="4" w:space="0"/>
              <w:bottom w:val="single" w:color="DDDDDD" w:sz="4" w:space="0"/>
              <w:right w:val="single" w:color="DDDDDD" w:sz="4" w:space="0"/>
            </w:tcBorders>
            <w:vAlign w:val="top"/>
          </w:tcPr>
          <w:p w14:paraId="1A66A691">
            <w:pPr>
              <w:spacing w:before="40" w:after="40"/>
            </w:pPr>
            <w:r>
              <w:rPr>
                <w:rFonts w:ascii="Arial" w:hAnsi="Arial" w:eastAsia="Arial" w:cs="Arial"/>
                <w:b w:val="0"/>
                <w:i w:val="0"/>
                <w:color w:val="2C3E50"/>
                <w:sz w:val="20"/>
              </w:rPr>
              <w:t>Email / Phone / Name columns</w:t>
            </w:r>
          </w:p>
        </w:tc>
        <w:tc>
          <w:tcPr>
            <w:tcW w:w="6480" w:type="dxa"/>
            <w:tcBorders>
              <w:top w:val="single" w:color="DDDDDD" w:sz="4" w:space="0"/>
              <w:left w:val="single" w:color="DDDDDD" w:sz="4" w:space="0"/>
              <w:bottom w:val="single" w:color="DDDDDD" w:sz="4" w:space="0"/>
              <w:right w:val="single" w:color="DDDDDD" w:sz="4" w:space="0"/>
            </w:tcBorders>
            <w:vAlign w:val="top"/>
          </w:tcPr>
          <w:p w14:paraId="740C73CF">
            <w:pPr>
              <w:spacing w:before="40" w:after="40"/>
            </w:pPr>
            <w:r>
              <w:rPr>
                <w:rFonts w:ascii="Arial" w:hAnsi="Arial" w:eastAsia="Arial" w:cs="Arial"/>
                <w:b w:val="0"/>
                <w:i w:val="0"/>
                <w:color w:val="2C3E50"/>
                <w:sz w:val="20"/>
              </w:rPr>
              <w:t>Optional. When mapped, the trigger will create or update the Novu subscriber with these values. Empty values skip that field.</w:t>
            </w:r>
          </w:p>
        </w:tc>
      </w:tr>
      <w:tr w14:paraId="0E145B7A">
        <w:tc>
          <w:tcPr>
            <w:tcW w:w="2880" w:type="dxa"/>
            <w:tcBorders>
              <w:top w:val="single" w:color="DDDDDD" w:sz="4" w:space="0"/>
              <w:left w:val="single" w:color="DDDDDD" w:sz="4" w:space="0"/>
              <w:bottom w:val="single" w:color="DDDDDD" w:sz="4" w:space="0"/>
              <w:right w:val="single" w:color="DDDDDD" w:sz="4" w:space="0"/>
            </w:tcBorders>
            <w:shd w:val="clear" w:color="auto" w:fill="F8F9FA"/>
            <w:vAlign w:val="top"/>
          </w:tcPr>
          <w:p w14:paraId="19EA96F6">
            <w:pPr>
              <w:spacing w:before="40" w:after="40"/>
            </w:pPr>
            <w:r>
              <w:rPr>
                <w:rFonts w:ascii="Arial" w:hAnsi="Arial" w:eastAsia="Arial" w:cs="Arial"/>
                <w:b w:val="0"/>
                <w:i w:val="0"/>
                <w:color w:val="2C3E50"/>
                <w:sz w:val="20"/>
              </w:rPr>
              <w:t>Payload mapping</w:t>
            </w:r>
          </w:p>
        </w:tc>
        <w:tc>
          <w:tcPr>
            <w:tcW w:w="6480" w:type="dxa"/>
            <w:tcBorders>
              <w:top w:val="single" w:color="DDDDDD" w:sz="4" w:space="0"/>
              <w:left w:val="single" w:color="DDDDDD" w:sz="4" w:space="0"/>
              <w:bottom w:val="single" w:color="DDDDDD" w:sz="4" w:space="0"/>
              <w:right w:val="single" w:color="DDDDDD" w:sz="4" w:space="0"/>
            </w:tcBorders>
            <w:shd w:val="clear" w:color="auto" w:fill="F8F9FA"/>
            <w:vAlign w:val="top"/>
          </w:tcPr>
          <w:p w14:paraId="613BC02C">
            <w:pPr>
              <w:spacing w:before="40" w:after="40"/>
            </w:pPr>
            <w:r>
              <w:rPr>
                <w:rFonts w:ascii="Arial" w:hAnsi="Arial" w:eastAsia="Arial" w:cs="Arial"/>
                <w:b w:val="0"/>
                <w:i w:val="0"/>
                <w:color w:val="2C3E50"/>
                <w:sz w:val="20"/>
              </w:rPr>
              <w:t>Map workflow payload fields to source columns. e.g., policyNumber → POLICY_NUMBER. Anywhere your workflow uses {{policyNumber}} will pull from the row at fire time.</w:t>
            </w:r>
          </w:p>
        </w:tc>
      </w:tr>
      <w:tr w14:paraId="581588E6">
        <w:tc>
          <w:tcPr>
            <w:tcW w:w="2880" w:type="dxa"/>
            <w:tcBorders>
              <w:top w:val="single" w:color="DDDDDD" w:sz="4" w:space="0"/>
              <w:left w:val="single" w:color="DDDDDD" w:sz="4" w:space="0"/>
              <w:bottom w:val="single" w:color="DDDDDD" w:sz="4" w:space="0"/>
              <w:right w:val="single" w:color="DDDDDD" w:sz="4" w:space="0"/>
            </w:tcBorders>
            <w:vAlign w:val="top"/>
          </w:tcPr>
          <w:p w14:paraId="4C79D44C">
            <w:pPr>
              <w:spacing w:before="40" w:after="40"/>
            </w:pPr>
            <w:r>
              <w:rPr>
                <w:rFonts w:ascii="Arial" w:hAnsi="Arial" w:eastAsia="Arial" w:cs="Arial"/>
                <w:b w:val="0"/>
                <w:i w:val="0"/>
                <w:color w:val="2C3E50"/>
                <w:sz w:val="20"/>
              </w:rPr>
              <w:t>Schedule</w:t>
            </w:r>
          </w:p>
        </w:tc>
        <w:tc>
          <w:tcPr>
            <w:tcW w:w="6480" w:type="dxa"/>
            <w:tcBorders>
              <w:top w:val="single" w:color="DDDDDD" w:sz="4" w:space="0"/>
              <w:left w:val="single" w:color="DDDDDD" w:sz="4" w:space="0"/>
              <w:bottom w:val="single" w:color="DDDDDD" w:sz="4" w:space="0"/>
              <w:right w:val="single" w:color="DDDDDD" w:sz="4" w:space="0"/>
            </w:tcBorders>
            <w:vAlign w:val="top"/>
          </w:tcPr>
          <w:p w14:paraId="101D932A">
            <w:pPr>
              <w:spacing w:before="40" w:after="40"/>
            </w:pPr>
            <w:r>
              <w:rPr>
                <w:rFonts w:ascii="Arial" w:hAnsi="Arial" w:eastAsia="Arial" w:cs="Arial"/>
                <w:b w:val="0"/>
                <w:i w:val="0"/>
                <w:color w:val="2C3E50"/>
                <w:sz w:val="20"/>
              </w:rPr>
              <w:t>Manual fire (default; you press Fire when ready) OR Schedule for (operator-picked datetime; the admin-worker auto-fires within 30 seconds of due time).</w:t>
            </w:r>
          </w:p>
        </w:tc>
      </w:tr>
    </w:tbl>
    <w:p w14:paraId="0C8E29AE">
      <w:pPr>
        <w:keepNext/>
        <w:spacing w:before="160" w:after="120"/>
      </w:pPr>
      <w:r>
        <w:rPr>
          <w:rFonts w:ascii="Arial" w:hAnsi="Arial" w:eastAsia="Arial" w:cs="Arial"/>
          <w:b/>
          <w:i w:val="0"/>
          <w:color w:val="1B3A5C"/>
          <w:sz w:val="28"/>
        </w:rPr>
        <w:t>8.2  Step-by-step: build &amp; fire a campaign</w:t>
      </w:r>
    </w:p>
    <w:p w14:paraId="3F202C5B">
      <w:pPr>
        <w:spacing w:after="60"/>
        <w:ind w:left="360"/>
      </w:pPr>
      <w:r>
        <w:rPr>
          <w:rFonts w:ascii="Arial" w:hAnsi="Arial" w:eastAsia="Arial" w:cs="Arial"/>
          <w:b/>
          <w:i w:val="0"/>
          <w:color w:val="1B3A5C"/>
          <w:sz w:val="22"/>
        </w:rPr>
        <w:t xml:space="preserve">1.  </w:t>
      </w:r>
      <w:r>
        <w:rPr>
          <w:rFonts w:ascii="Arial" w:hAnsi="Arial" w:eastAsia="Arial" w:cs="Arial"/>
          <w:b w:val="0"/>
          <w:i w:val="0"/>
          <w:color w:val="2C3E50"/>
          <w:sz w:val="22"/>
        </w:rPr>
        <w:t>Open /admin/campaigns → click + New campaign. The builder page opens with a left panel (configuration) and a right panel (preview).</w:t>
      </w:r>
    </w:p>
    <w:p w14:paraId="596F7BCB">
      <w:pPr>
        <w:spacing w:after="60"/>
        <w:ind w:left="360"/>
      </w:pPr>
      <w:r>
        <w:rPr>
          <w:rFonts w:ascii="Arial" w:hAnsi="Arial" w:eastAsia="Arial" w:cs="Arial"/>
          <w:b/>
          <w:i w:val="0"/>
          <w:color w:val="1B3A5C"/>
          <w:sz w:val="22"/>
        </w:rPr>
        <w:t xml:space="preserve">2.  </w:t>
      </w:r>
      <w:r>
        <w:rPr>
          <w:rFonts w:ascii="Arial" w:hAnsi="Arial" w:eastAsia="Arial" w:cs="Arial"/>
          <w:b w:val="0"/>
          <w:i w:val="0"/>
          <w:color w:val="2C3E50"/>
          <w:sz w:val="22"/>
        </w:rPr>
        <w:t>Section 1 — Source table: pick a table from the dropdown. Suggested starting point is tbl_allocation. Approximate row counts are shown.</w:t>
      </w:r>
    </w:p>
    <w:p w14:paraId="0907EF3D">
      <w:pPr>
        <w:spacing w:after="60"/>
        <w:ind w:left="360"/>
      </w:pPr>
      <w:r>
        <w:rPr>
          <w:rFonts w:ascii="Arial" w:hAnsi="Arial" w:eastAsia="Arial" w:cs="Arial"/>
          <w:b/>
          <w:i w:val="0"/>
          <w:color w:val="1B3A5C"/>
          <w:sz w:val="22"/>
        </w:rPr>
        <w:t xml:space="preserve">3.  </w:t>
      </w:r>
      <w:r>
        <w:rPr>
          <w:rFonts w:ascii="Arial" w:hAnsi="Arial" w:eastAsia="Arial" w:cs="Arial"/>
          <w:b w:val="0"/>
          <w:i w:val="0"/>
          <w:color w:val="2C3E50"/>
          <w:sz w:val="22"/>
        </w:rPr>
        <w:t>Section 2 — Filter audience: click + Add filter. Pick a column, an operator, and a value. Add multiple filters to narrow further. Click Refresh preview when ready.</w:t>
      </w:r>
    </w:p>
    <w:p w14:paraId="6CC77CE1">
      <w:pPr>
        <w:spacing w:after="60"/>
        <w:ind w:left="360"/>
      </w:pPr>
      <w:r>
        <w:rPr>
          <w:rFonts w:ascii="Arial" w:hAnsi="Arial" w:eastAsia="Arial" w:cs="Arial"/>
          <w:b/>
          <w:i w:val="0"/>
          <w:color w:val="1B3A5C"/>
          <w:sz w:val="22"/>
        </w:rPr>
        <w:t xml:space="preserve">4.  </w:t>
      </w:r>
      <w:r>
        <w:rPr>
          <w:rFonts w:ascii="Arial" w:hAnsi="Arial" w:eastAsia="Arial" w:cs="Arial"/>
          <w:b w:val="0"/>
          <w:i w:val="0"/>
          <w:color w:val="2C3E50"/>
          <w:sz w:val="22"/>
        </w:rPr>
        <w:t>Watch the right panel: it shows the matching row count and the first five rows. The SQL Generated query card (collapsible) shows the literal SQL that will run — useful for sanity-checking complex filters.</w:t>
      </w:r>
    </w:p>
    <w:p w14:paraId="58CD0EEB">
      <w:pPr>
        <w:spacing w:after="60"/>
        <w:ind w:left="360"/>
      </w:pPr>
      <w:r>
        <w:rPr>
          <w:rFonts w:ascii="Arial" w:hAnsi="Arial" w:eastAsia="Arial" w:cs="Arial"/>
          <w:b/>
          <w:i w:val="0"/>
          <w:color w:val="1B3A5C"/>
          <w:sz w:val="22"/>
        </w:rPr>
        <w:t xml:space="preserve">5.  </w:t>
      </w:r>
      <w:r>
        <w:rPr>
          <w:rFonts w:ascii="Arial" w:hAnsi="Arial" w:eastAsia="Arial" w:cs="Arial"/>
          <w:b w:val="0"/>
          <w:i w:val="0"/>
          <w:color w:val="2C3E50"/>
          <w:sz w:val="22"/>
        </w:rPr>
        <w:t>Section 3 — Target workflow: pick from the dropdown (populated from Novu's /v1/workflows). If your workflow isn't there, it isn't Active.</w:t>
      </w:r>
    </w:p>
    <w:p w14:paraId="6DB6526F">
      <w:pPr>
        <w:spacing w:after="60"/>
        <w:ind w:left="360"/>
      </w:pPr>
      <w:r>
        <w:rPr>
          <w:rFonts w:ascii="Arial" w:hAnsi="Arial" w:eastAsia="Arial" w:cs="Arial"/>
          <w:b/>
          <w:i w:val="0"/>
          <w:color w:val="1B3A5C"/>
          <w:sz w:val="22"/>
        </w:rPr>
        <w:t xml:space="preserve">6.  </w:t>
      </w:r>
      <w:r>
        <w:rPr>
          <w:rFonts w:ascii="Arial" w:hAnsi="Arial" w:eastAsia="Arial" w:cs="Arial"/>
          <w:b w:val="0"/>
          <w:i w:val="0"/>
          <w:color w:val="2C3E50"/>
          <w:sz w:val="22"/>
        </w:rPr>
        <w:t>Section 4 — Map row → trigger: confirm the Subscriber ID column (suggestions pre-fill per table). Map Email / Phone / First name columns when present. Add Payload mapping rows: each one binds a workflow payload field to a row column.</w:t>
      </w:r>
    </w:p>
    <w:p w14:paraId="75E1C493">
      <w:pPr>
        <w:spacing w:after="60"/>
        <w:ind w:left="360"/>
      </w:pPr>
      <w:r>
        <w:rPr>
          <w:rFonts w:ascii="Arial" w:hAnsi="Arial" w:eastAsia="Arial" w:cs="Arial"/>
          <w:b/>
          <w:i w:val="0"/>
          <w:color w:val="1B3A5C"/>
          <w:sz w:val="22"/>
        </w:rPr>
        <w:t xml:space="preserve">7.  </w:t>
      </w:r>
      <w:r>
        <w:rPr>
          <w:rFonts w:ascii="Arial" w:hAnsi="Arial" w:eastAsia="Arial" w:cs="Arial"/>
          <w:b w:val="0"/>
          <w:i w:val="0"/>
          <w:color w:val="2C3E50"/>
          <w:sz w:val="22"/>
        </w:rPr>
        <w:t>Section 5 — Save campaign: type a Name, optional Description, choose Manual fire OR Schedule for, and click Save campaign.</w:t>
      </w:r>
    </w:p>
    <w:p w14:paraId="18EC1C6A">
      <w:pPr>
        <w:spacing w:after="60"/>
        <w:ind w:left="360"/>
      </w:pPr>
      <w:r>
        <w:rPr>
          <w:rFonts w:ascii="Arial" w:hAnsi="Arial" w:eastAsia="Arial" w:cs="Arial"/>
          <w:b/>
          <w:i w:val="0"/>
          <w:color w:val="1B3A5C"/>
          <w:sz w:val="22"/>
        </w:rPr>
        <w:t xml:space="preserve">8.  </w:t>
      </w:r>
      <w:r>
        <w:rPr>
          <w:rFonts w:ascii="Arial" w:hAnsi="Arial" w:eastAsia="Arial" w:cs="Arial"/>
          <w:b w:val="0"/>
          <w:i w:val="0"/>
          <w:color w:val="2C3E50"/>
          <w:sz w:val="22"/>
        </w:rPr>
        <w:t>You're back on /admin/campaigns. To fire immediately, click the ▶ Play button on your campaign's row. To wait for a scheduled time, the admin-worker will fire it automatically.</w:t>
      </w:r>
    </w:p>
    <w:tbl>
      <w:tblPr>
        <w:tblStyle w:val="12"/>
        <w:tblW w:w="0" w:type="auto"/>
        <w:tblInd w:w="0" w:type="dxa"/>
        <w:tblLayout w:type="fixed"/>
        <w:tblCellMar>
          <w:top w:w="0" w:type="dxa"/>
          <w:left w:w="108" w:type="dxa"/>
          <w:bottom w:w="0" w:type="dxa"/>
          <w:right w:w="108" w:type="dxa"/>
        </w:tblCellMar>
      </w:tblPr>
      <w:tblGrid>
        <w:gridCol w:w="9360"/>
      </w:tblGrid>
      <w:tr w14:paraId="5286D949">
        <w:tc>
          <w:tcPr>
            <w:tcW w:w="9360" w:type="dxa"/>
            <w:tcBorders>
              <w:top w:val="single" w:color="C0C0C0" w:sz="6" w:space="0"/>
              <w:left w:val="single" w:color="C0C0C0" w:sz="6" w:space="0"/>
              <w:bottom w:val="single" w:color="C0C0C0" w:sz="6" w:space="0"/>
              <w:right w:val="single" w:color="C0C0C0" w:sz="6" w:space="0"/>
            </w:tcBorders>
            <w:shd w:val="clear" w:color="auto" w:fill="FFF8E1"/>
          </w:tcPr>
          <w:p w14:paraId="1FC38620">
            <w:pPr>
              <w:spacing w:before="80" w:after="80"/>
            </w:pPr>
            <w:r>
              <w:rPr>
                <w:rFonts w:ascii="Arial" w:hAnsi="Arial" w:eastAsia="Arial" w:cs="Arial"/>
                <w:b/>
                <w:i w:val="0"/>
                <w:color w:val="E67E22"/>
                <w:sz w:val="20"/>
              </w:rPr>
              <w:t xml:space="preserve">Safety note. </w:t>
            </w:r>
            <w:r>
              <w:rPr>
                <w:rFonts w:ascii="Arial" w:hAnsi="Arial" w:eastAsia="Arial" w:cs="Arial"/>
                <w:b w:val="0"/>
                <w:i w:val="0"/>
                <w:color w:val="2C3E50"/>
                <w:sz w:val="20"/>
              </w:rPr>
              <w:t>Before firing for the first time, set the channel allowlist (/admin/channels) to all-OFF, fire-now, then inspect the audit. Every row should appear with status=skipped and reason “channel ... disabled in /admin/channels”. Once verified, re-enable the channels you want and fire for real.</w:t>
            </w:r>
          </w:p>
        </w:tc>
      </w:tr>
    </w:tbl>
    <w:p w14:paraId="35AB8BE3">
      <w:pPr>
        <w:spacing w:before="0" w:after="120"/>
      </w:pPr>
    </w:p>
    <w:p w14:paraId="089870A6">
      <w:pPr>
        <w:keepNext/>
        <w:spacing w:before="160" w:after="120"/>
      </w:pPr>
      <w:r>
        <w:rPr>
          <w:rFonts w:ascii="Arial" w:hAnsi="Arial" w:eastAsia="Arial" w:cs="Arial"/>
          <w:b/>
          <w:i w:val="0"/>
          <w:color w:val="1B3A5C"/>
          <w:sz w:val="28"/>
        </w:rPr>
        <w:t>8.3  Reading the fire result</w:t>
      </w:r>
    </w:p>
    <w:p w14:paraId="42E2ECD5">
      <w:pPr>
        <w:spacing w:before="0" w:after="40"/>
        <w:ind w:left="360"/>
      </w:pPr>
      <w:r>
        <w:rPr>
          <w:rFonts w:ascii="Arial" w:hAnsi="Arial" w:eastAsia="Arial" w:cs="Arial"/>
          <w:b/>
          <w:i w:val="0"/>
          <w:color w:val="1B3A5C"/>
          <w:sz w:val="22"/>
        </w:rPr>
        <w:t xml:space="preserve">•  </w:t>
      </w:r>
      <w:r>
        <w:rPr>
          <w:rFonts w:ascii="Arial" w:hAnsi="Arial" w:eastAsia="Arial" w:cs="Arial"/>
          <w:b w:val="0"/>
          <w:i w:val="0"/>
          <w:color w:val="2C3E50"/>
          <w:sz w:val="22"/>
        </w:rPr>
        <w:t>Toast banner: “Fired N of M” — N is the number of rows that successfully triggered, M is the total matching rows.</w:t>
      </w:r>
    </w:p>
    <w:p w14:paraId="339FA051">
      <w:pPr>
        <w:spacing w:before="0" w:after="40"/>
        <w:ind w:left="360"/>
      </w:pPr>
      <w:r>
        <w:rPr>
          <w:rFonts w:ascii="Arial" w:hAnsi="Arial" w:eastAsia="Arial" w:cs="Arial"/>
          <w:b/>
          <w:i w:val="0"/>
          <w:color w:val="1B3A5C"/>
          <w:sz w:val="22"/>
        </w:rPr>
        <w:t xml:space="preserve">•  </w:t>
      </w:r>
      <w:r>
        <w:rPr>
          <w:rFonts w:ascii="Arial" w:hAnsi="Arial" w:eastAsia="Arial" w:cs="Arial"/>
          <w:b w:val="0"/>
          <w:i w:val="0"/>
          <w:color w:val="2C3E50"/>
          <w:sz w:val="22"/>
        </w:rPr>
        <w:t>Status badge on the campaign row: Fired (all sent), Partial (some errored), Failed (all errored), Empty audience (filter matched 0 rows), or Fired (all skipped).</w:t>
      </w:r>
    </w:p>
    <w:p w14:paraId="379B06AC">
      <w:pPr>
        <w:spacing w:before="0" w:after="40"/>
        <w:ind w:left="360"/>
      </w:pPr>
      <w:r>
        <w:rPr>
          <w:rFonts w:ascii="Arial" w:hAnsi="Arial" w:eastAsia="Arial" w:cs="Arial"/>
          <w:b/>
          <w:i w:val="0"/>
          <w:color w:val="1B3A5C"/>
          <w:sz w:val="22"/>
        </w:rPr>
        <w:t xml:space="preserve">•  </w:t>
      </w:r>
      <w:r>
        <w:rPr>
          <w:rFonts w:ascii="Arial" w:hAnsi="Arial" w:eastAsia="Arial" w:cs="Arial"/>
          <w:b w:val="0"/>
          <w:i w:val="0"/>
          <w:color w:val="2C3E50"/>
          <w:sz w:val="22"/>
        </w:rPr>
        <w:t>Click the campaign name → opens /admin/campaigns/[id] — the Run history page with a row per fire, drill-down per subscriberId, retry-failed action.</w:t>
      </w:r>
    </w:p>
    <w:p w14:paraId="6F8FB891">
      <w:pPr>
        <w:keepNext/>
        <w:spacing w:before="160" w:after="120"/>
      </w:pPr>
      <w:r>
        <w:rPr>
          <w:rFonts w:ascii="Arial" w:hAnsi="Arial" w:eastAsia="Arial" w:cs="Arial"/>
          <w:b/>
          <w:i w:val="0"/>
          <w:color w:val="1B3A5C"/>
          <w:sz w:val="28"/>
        </w:rPr>
        <w:t>8.4  Throttling &amp; caps</w:t>
      </w:r>
    </w:p>
    <w:p w14:paraId="620240BC">
      <w:pPr>
        <w:spacing w:before="0" w:after="80"/>
      </w:pPr>
      <w:r>
        <w:rPr>
          <w:rFonts w:ascii="Arial" w:hAnsi="Arial" w:eastAsia="Arial" w:cs="Arial"/>
          <w:b w:val="0"/>
          <w:i w:val="0"/>
          <w:sz w:val="22"/>
        </w:rPr>
        <w:t>Each fire is throttled to about 10 rows per second and capped at 200 rows per single run. This protects the providers (MSG91 / Meta) from sudden bursts. If your filter matches more than 200 rows, only the first 200 fire — narrow the filter further or wait for Phase 2 (which will move the runner into a background queue).</w:t>
      </w:r>
    </w:p>
    <w:p w14:paraId="36E670C3">
      <w:r>
        <w:br w:type="page"/>
      </w:r>
    </w:p>
    <w:p w14:paraId="45030DA0">
      <w:pPr>
        <w:keepNext/>
        <w:spacing w:before="240" w:after="160"/>
      </w:pPr>
      <w:r>
        <w:rPr>
          <w:rFonts w:ascii="Arial" w:hAnsi="Arial" w:eastAsia="Arial" w:cs="Arial"/>
          <w:b/>
          <w:i w:val="0"/>
          <w:color w:val="1B3A5C"/>
          <w:sz w:val="36"/>
        </w:rPr>
        <w:t>9.  Scheduling One-Off Triggers</w:t>
      </w:r>
    </w:p>
    <w:p w14:paraId="75B1D45A">
      <w:pPr>
        <w:spacing w:before="0" w:after="80"/>
      </w:pPr>
      <w:r>
        <w:rPr>
          <w:rFonts w:ascii="Arial" w:hAnsi="Arial" w:eastAsia="Arial" w:cs="Arial"/>
          <w:b w:val="0"/>
          <w:i w:val="0"/>
          <w:sz w:val="22"/>
        </w:rPr>
        <w:t>When you need to fire a single workflow at a specific future time for a single subscriber — without going through the full campaign flow — use /admin/schedules. This is the simpler primitive: one workflow, one subscriber, one time.</w:t>
      </w:r>
    </w:p>
    <w:p w14:paraId="13F0A792">
      <w:pPr>
        <w:keepNext/>
        <w:spacing w:before="160" w:after="120"/>
      </w:pPr>
      <w:r>
        <w:rPr>
          <w:rFonts w:ascii="Arial" w:hAnsi="Arial" w:eastAsia="Arial" w:cs="Arial"/>
          <w:b/>
          <w:i w:val="0"/>
          <w:color w:val="1B3A5C"/>
          <w:sz w:val="28"/>
        </w:rPr>
        <w:t>9.1  When to use a schedule vs a campaign</w:t>
      </w:r>
    </w:p>
    <w:tbl>
      <w:tblPr>
        <w:tblStyle w:val="12"/>
        <w:tblW w:w="0" w:type="auto"/>
        <w:tblInd w:w="0" w:type="dxa"/>
        <w:tblLayout w:type="fixed"/>
        <w:tblCellMar>
          <w:top w:w="0" w:type="dxa"/>
          <w:left w:w="108" w:type="dxa"/>
          <w:bottom w:w="0" w:type="dxa"/>
          <w:right w:w="108" w:type="dxa"/>
        </w:tblCellMar>
      </w:tblPr>
      <w:tblGrid>
        <w:gridCol w:w="4680"/>
        <w:gridCol w:w="4680"/>
      </w:tblGrid>
      <w:tr w14:paraId="21699FD4">
        <w:tc>
          <w:tcPr>
            <w:tcW w:w="4680" w:type="dxa"/>
            <w:tcBorders>
              <w:top w:val="single" w:color="FFFFFF" w:sz="4" w:space="0"/>
              <w:left w:val="single" w:color="FFFFFF" w:sz="4" w:space="0"/>
              <w:bottom w:val="single" w:color="FFFFFF" w:sz="4" w:space="0"/>
              <w:right w:val="single" w:color="FFFFFF" w:sz="4" w:space="0"/>
            </w:tcBorders>
            <w:shd w:val="clear" w:color="auto" w:fill="1B3A5C"/>
            <w:vAlign w:val="center"/>
          </w:tcPr>
          <w:p w14:paraId="44B53D10">
            <w:pPr>
              <w:spacing w:before="40" w:after="40"/>
            </w:pPr>
            <w:r>
              <w:rPr>
                <w:rFonts w:ascii="Arial" w:hAnsi="Arial" w:eastAsia="Arial" w:cs="Arial"/>
                <w:b/>
                <w:i w:val="0"/>
                <w:color w:val="FFFFFF"/>
                <w:sz w:val="20"/>
              </w:rPr>
              <w:t>Use a Schedule</w:t>
            </w:r>
          </w:p>
        </w:tc>
        <w:tc>
          <w:tcPr>
            <w:tcW w:w="4680" w:type="dxa"/>
            <w:tcBorders>
              <w:top w:val="single" w:color="FFFFFF" w:sz="4" w:space="0"/>
              <w:left w:val="single" w:color="FFFFFF" w:sz="4" w:space="0"/>
              <w:bottom w:val="single" w:color="FFFFFF" w:sz="4" w:space="0"/>
              <w:right w:val="single" w:color="FFFFFF" w:sz="4" w:space="0"/>
            </w:tcBorders>
            <w:shd w:val="clear" w:color="auto" w:fill="1B3A5C"/>
            <w:vAlign w:val="center"/>
          </w:tcPr>
          <w:p w14:paraId="3F57099C">
            <w:pPr>
              <w:spacing w:before="40" w:after="40"/>
            </w:pPr>
            <w:r>
              <w:rPr>
                <w:rFonts w:ascii="Arial" w:hAnsi="Arial" w:eastAsia="Arial" w:cs="Arial"/>
                <w:b/>
                <w:i w:val="0"/>
                <w:color w:val="FFFFFF"/>
                <w:sz w:val="20"/>
              </w:rPr>
              <w:t>Use a Campaign</w:t>
            </w:r>
          </w:p>
        </w:tc>
      </w:tr>
      <w:tr w14:paraId="29620A4B">
        <w:tc>
          <w:tcPr>
            <w:tcW w:w="4680" w:type="dxa"/>
            <w:tcBorders>
              <w:top w:val="single" w:color="DDDDDD" w:sz="4" w:space="0"/>
              <w:left w:val="single" w:color="DDDDDD" w:sz="4" w:space="0"/>
              <w:bottom w:val="single" w:color="DDDDDD" w:sz="4" w:space="0"/>
              <w:right w:val="single" w:color="DDDDDD" w:sz="4" w:space="0"/>
            </w:tcBorders>
            <w:vAlign w:val="top"/>
          </w:tcPr>
          <w:p w14:paraId="0A8A8756">
            <w:pPr>
              <w:spacing w:before="40" w:after="40"/>
            </w:pPr>
            <w:r>
              <w:rPr>
                <w:rFonts w:ascii="Arial" w:hAnsi="Arial" w:eastAsia="Arial" w:cs="Arial"/>
                <w:b w:val="0"/>
                <w:i w:val="0"/>
                <w:color w:val="2C3E50"/>
                <w:sz w:val="20"/>
              </w:rPr>
              <w:t>One subscriber, one workflow, one fire time</w:t>
            </w:r>
          </w:p>
        </w:tc>
        <w:tc>
          <w:tcPr>
            <w:tcW w:w="4680" w:type="dxa"/>
            <w:tcBorders>
              <w:top w:val="single" w:color="DDDDDD" w:sz="4" w:space="0"/>
              <w:left w:val="single" w:color="DDDDDD" w:sz="4" w:space="0"/>
              <w:bottom w:val="single" w:color="DDDDDD" w:sz="4" w:space="0"/>
              <w:right w:val="single" w:color="DDDDDD" w:sz="4" w:space="0"/>
            </w:tcBorders>
            <w:vAlign w:val="top"/>
          </w:tcPr>
          <w:p w14:paraId="171E7173">
            <w:pPr>
              <w:spacing w:before="40" w:after="40"/>
            </w:pPr>
            <w:r>
              <w:rPr>
                <w:rFonts w:ascii="Arial" w:hAnsi="Arial" w:eastAsia="Arial" w:cs="Arial"/>
                <w:b w:val="0"/>
                <w:i w:val="0"/>
                <w:color w:val="2C3E50"/>
                <w:sz w:val="20"/>
              </w:rPr>
              <w:t>Many rows from a Postgres table, all firing the same workflow</w:t>
            </w:r>
          </w:p>
        </w:tc>
      </w:tr>
      <w:tr w14:paraId="6A2E3E15">
        <w:tc>
          <w:tcPr>
            <w:tcW w:w="4680" w:type="dxa"/>
            <w:tcBorders>
              <w:top w:val="single" w:color="DDDDDD" w:sz="4" w:space="0"/>
              <w:left w:val="single" w:color="DDDDDD" w:sz="4" w:space="0"/>
              <w:bottom w:val="single" w:color="DDDDDD" w:sz="4" w:space="0"/>
              <w:right w:val="single" w:color="DDDDDD" w:sz="4" w:space="0"/>
            </w:tcBorders>
            <w:shd w:val="clear" w:color="auto" w:fill="F8F9FA"/>
            <w:vAlign w:val="top"/>
          </w:tcPr>
          <w:p w14:paraId="00616C8E">
            <w:pPr>
              <w:spacing w:before="40" w:after="40"/>
            </w:pPr>
            <w:r>
              <w:rPr>
                <w:rFonts w:ascii="Arial" w:hAnsi="Arial" w:eastAsia="Arial" w:cs="Arial"/>
                <w:b w:val="0"/>
                <w:i w:val="0"/>
                <w:color w:val="2C3E50"/>
                <w:sz w:val="20"/>
              </w:rPr>
              <w:t>You know the subscriberId already</w:t>
            </w:r>
          </w:p>
        </w:tc>
        <w:tc>
          <w:tcPr>
            <w:tcW w:w="4680" w:type="dxa"/>
            <w:tcBorders>
              <w:top w:val="single" w:color="DDDDDD" w:sz="4" w:space="0"/>
              <w:left w:val="single" w:color="DDDDDD" w:sz="4" w:space="0"/>
              <w:bottom w:val="single" w:color="DDDDDD" w:sz="4" w:space="0"/>
              <w:right w:val="single" w:color="DDDDDD" w:sz="4" w:space="0"/>
            </w:tcBorders>
            <w:shd w:val="clear" w:color="auto" w:fill="F8F9FA"/>
            <w:vAlign w:val="top"/>
          </w:tcPr>
          <w:p w14:paraId="62671458">
            <w:pPr>
              <w:spacing w:before="40" w:after="40"/>
            </w:pPr>
            <w:r>
              <w:rPr>
                <w:rFonts w:ascii="Arial" w:hAnsi="Arial" w:eastAsia="Arial" w:cs="Arial"/>
                <w:b w:val="0"/>
                <w:i w:val="0"/>
                <w:color w:val="2C3E50"/>
                <w:sz w:val="20"/>
              </w:rPr>
              <w:t>Subscriber identity is derived from a data row's column</w:t>
            </w:r>
          </w:p>
        </w:tc>
      </w:tr>
      <w:tr w14:paraId="1C757483">
        <w:tc>
          <w:tcPr>
            <w:tcW w:w="4680" w:type="dxa"/>
            <w:tcBorders>
              <w:top w:val="single" w:color="DDDDDD" w:sz="4" w:space="0"/>
              <w:left w:val="single" w:color="DDDDDD" w:sz="4" w:space="0"/>
              <w:bottom w:val="single" w:color="DDDDDD" w:sz="4" w:space="0"/>
              <w:right w:val="single" w:color="DDDDDD" w:sz="4" w:space="0"/>
            </w:tcBorders>
            <w:vAlign w:val="top"/>
          </w:tcPr>
          <w:p w14:paraId="361B9165">
            <w:pPr>
              <w:spacing w:before="40" w:after="40"/>
            </w:pPr>
            <w:r>
              <w:rPr>
                <w:rFonts w:ascii="Arial" w:hAnsi="Arial" w:eastAsia="Arial" w:cs="Arial"/>
                <w:b w:val="0"/>
                <w:i w:val="0"/>
                <w:color w:val="2C3E50"/>
                <w:sz w:val="20"/>
              </w:rPr>
              <w:t>Quick ad-hoc tests</w:t>
            </w:r>
          </w:p>
        </w:tc>
        <w:tc>
          <w:tcPr>
            <w:tcW w:w="4680" w:type="dxa"/>
            <w:tcBorders>
              <w:top w:val="single" w:color="DDDDDD" w:sz="4" w:space="0"/>
              <w:left w:val="single" w:color="DDDDDD" w:sz="4" w:space="0"/>
              <w:bottom w:val="single" w:color="DDDDDD" w:sz="4" w:space="0"/>
              <w:right w:val="single" w:color="DDDDDD" w:sz="4" w:space="0"/>
            </w:tcBorders>
            <w:vAlign w:val="top"/>
          </w:tcPr>
          <w:p w14:paraId="6A4CB12E">
            <w:pPr>
              <w:spacing w:before="40" w:after="40"/>
            </w:pPr>
            <w:r>
              <w:rPr>
                <w:rFonts w:ascii="Arial" w:hAnsi="Arial" w:eastAsia="Arial" w:cs="Arial"/>
                <w:b w:val="0"/>
                <w:i w:val="0"/>
                <w:color w:val="2C3E50"/>
                <w:sz w:val="20"/>
              </w:rPr>
              <w:t>Recurring or scheduled marketing sends</w:t>
            </w:r>
          </w:p>
        </w:tc>
      </w:tr>
      <w:tr w14:paraId="51FF70A8">
        <w:tc>
          <w:tcPr>
            <w:tcW w:w="4680" w:type="dxa"/>
            <w:tcBorders>
              <w:top w:val="single" w:color="DDDDDD" w:sz="4" w:space="0"/>
              <w:left w:val="single" w:color="DDDDDD" w:sz="4" w:space="0"/>
              <w:bottom w:val="single" w:color="DDDDDD" w:sz="4" w:space="0"/>
              <w:right w:val="single" w:color="DDDDDD" w:sz="4" w:space="0"/>
            </w:tcBorders>
            <w:shd w:val="clear" w:color="auto" w:fill="F8F9FA"/>
            <w:vAlign w:val="top"/>
          </w:tcPr>
          <w:p w14:paraId="50B4E12D">
            <w:pPr>
              <w:spacing w:before="40" w:after="40"/>
            </w:pPr>
            <w:r>
              <w:rPr>
                <w:rFonts w:ascii="Arial" w:hAnsi="Arial" w:eastAsia="Arial" w:cs="Arial"/>
                <w:b w:val="0"/>
                <w:i w:val="0"/>
                <w:color w:val="2C3E50"/>
                <w:sz w:val="20"/>
              </w:rPr>
              <w:t>No data lookup needed</w:t>
            </w:r>
          </w:p>
        </w:tc>
        <w:tc>
          <w:tcPr>
            <w:tcW w:w="4680" w:type="dxa"/>
            <w:tcBorders>
              <w:top w:val="single" w:color="DDDDDD" w:sz="4" w:space="0"/>
              <w:left w:val="single" w:color="DDDDDD" w:sz="4" w:space="0"/>
              <w:bottom w:val="single" w:color="DDDDDD" w:sz="4" w:space="0"/>
              <w:right w:val="single" w:color="DDDDDD" w:sz="4" w:space="0"/>
            </w:tcBorders>
            <w:shd w:val="clear" w:color="auto" w:fill="F8F9FA"/>
            <w:vAlign w:val="top"/>
          </w:tcPr>
          <w:p w14:paraId="5ABAA1A5">
            <w:pPr>
              <w:spacing w:before="40" w:after="40"/>
            </w:pPr>
            <w:r>
              <w:rPr>
                <w:rFonts w:ascii="Arial" w:hAnsi="Arial" w:eastAsia="Arial" w:cs="Arial"/>
                <w:b w:val="0"/>
                <w:i w:val="0"/>
                <w:color w:val="2C3E50"/>
                <w:sz w:val="20"/>
              </w:rPr>
              <w:t>Filter criteria + per-row content from analytics_db</w:t>
            </w:r>
          </w:p>
        </w:tc>
      </w:tr>
    </w:tbl>
    <w:p w14:paraId="0028B58D">
      <w:pPr>
        <w:keepNext/>
        <w:spacing w:before="160" w:after="120"/>
      </w:pPr>
      <w:r>
        <w:rPr>
          <w:rFonts w:ascii="Arial" w:hAnsi="Arial" w:eastAsia="Arial" w:cs="Arial"/>
          <w:b/>
          <w:i w:val="0"/>
          <w:color w:val="1B3A5C"/>
          <w:sz w:val="28"/>
        </w:rPr>
        <w:t>9.2  Step-by-step</w:t>
      </w:r>
    </w:p>
    <w:p w14:paraId="236D1D1D">
      <w:pPr>
        <w:spacing w:after="60"/>
        <w:ind w:left="360"/>
      </w:pPr>
      <w:r>
        <w:rPr>
          <w:rFonts w:ascii="Arial" w:hAnsi="Arial" w:eastAsia="Arial" w:cs="Arial"/>
          <w:b/>
          <w:i w:val="0"/>
          <w:color w:val="1B3A5C"/>
          <w:sz w:val="22"/>
        </w:rPr>
        <w:t xml:space="preserve">1.  </w:t>
      </w:r>
      <w:r>
        <w:rPr>
          <w:rFonts w:ascii="Arial" w:hAnsi="Arial" w:eastAsia="Arial" w:cs="Arial"/>
          <w:b w:val="0"/>
          <w:i w:val="0"/>
          <w:color w:val="2C3E50"/>
          <w:sz w:val="22"/>
        </w:rPr>
        <w:t>Open /admin/schedules → click + Schedule trigger.</w:t>
      </w:r>
    </w:p>
    <w:p w14:paraId="46BAD8C1">
      <w:pPr>
        <w:spacing w:after="60"/>
        <w:ind w:left="360"/>
      </w:pPr>
      <w:r>
        <w:rPr>
          <w:rFonts w:ascii="Arial" w:hAnsi="Arial" w:eastAsia="Arial" w:cs="Arial"/>
          <w:b/>
          <w:i w:val="0"/>
          <w:color w:val="1B3A5C"/>
          <w:sz w:val="22"/>
        </w:rPr>
        <w:t xml:space="preserve">2.  </w:t>
      </w:r>
      <w:r>
        <w:rPr>
          <w:rFonts w:ascii="Arial" w:hAnsi="Arial" w:eastAsia="Arial" w:cs="Arial"/>
          <w:b w:val="0"/>
          <w:i w:val="0"/>
          <w:color w:val="2C3E50"/>
          <w:sz w:val="22"/>
        </w:rPr>
        <w:t>Select Workflow from the dropdown.</w:t>
      </w:r>
    </w:p>
    <w:p w14:paraId="341C395F">
      <w:pPr>
        <w:spacing w:after="60"/>
        <w:ind w:left="360"/>
      </w:pPr>
      <w:r>
        <w:rPr>
          <w:rFonts w:ascii="Arial" w:hAnsi="Arial" w:eastAsia="Arial" w:cs="Arial"/>
          <w:b/>
          <w:i w:val="0"/>
          <w:color w:val="1B3A5C"/>
          <w:sz w:val="22"/>
        </w:rPr>
        <w:t xml:space="preserve">3.  </w:t>
      </w:r>
      <w:r>
        <w:rPr>
          <w:rFonts w:ascii="Arial" w:hAnsi="Arial" w:eastAsia="Arial" w:cs="Arial"/>
          <w:b w:val="0"/>
          <w:i w:val="0"/>
          <w:color w:val="2C3E50"/>
          <w:sz w:val="22"/>
        </w:rPr>
        <w:t>Type the Subscriber ID — must already exist in Novu OR will auto-create on first fire.</w:t>
      </w:r>
    </w:p>
    <w:p w14:paraId="51535153">
      <w:pPr>
        <w:spacing w:after="60"/>
        <w:ind w:left="360"/>
      </w:pPr>
      <w:r>
        <w:rPr>
          <w:rFonts w:ascii="Arial" w:hAnsi="Arial" w:eastAsia="Arial" w:cs="Arial"/>
          <w:b/>
          <w:i w:val="0"/>
          <w:color w:val="1B3A5C"/>
          <w:sz w:val="22"/>
        </w:rPr>
        <w:t xml:space="preserve">4.  </w:t>
      </w:r>
      <w:r>
        <w:rPr>
          <w:rFonts w:ascii="Arial" w:hAnsi="Arial" w:eastAsia="Arial" w:cs="Arial"/>
          <w:b w:val="0"/>
          <w:i w:val="0"/>
          <w:color w:val="2C3E50"/>
          <w:sz w:val="22"/>
        </w:rPr>
        <w:t>Pick Fire at — datetime-local input, your local timezone.</w:t>
      </w:r>
    </w:p>
    <w:p w14:paraId="642F375C">
      <w:pPr>
        <w:spacing w:after="60"/>
        <w:ind w:left="360"/>
      </w:pPr>
      <w:r>
        <w:rPr>
          <w:rFonts w:ascii="Arial" w:hAnsi="Arial" w:eastAsia="Arial" w:cs="Arial"/>
          <w:b/>
          <w:i w:val="0"/>
          <w:color w:val="1B3A5C"/>
          <w:sz w:val="22"/>
        </w:rPr>
        <w:t xml:space="preserve">5.  </w:t>
      </w:r>
      <w:r>
        <w:rPr>
          <w:rFonts w:ascii="Arial" w:hAnsi="Arial" w:eastAsia="Arial" w:cs="Arial"/>
          <w:b w:val="0"/>
          <w:i w:val="0"/>
          <w:color w:val="2C3E50"/>
          <w:sz w:val="22"/>
        </w:rPr>
        <w:t>Optional: edit the Payload JSON — defaults to a stub with a fresh triggerInstanceId.</w:t>
      </w:r>
    </w:p>
    <w:p w14:paraId="28BF26D8">
      <w:pPr>
        <w:spacing w:after="60"/>
        <w:ind w:left="360"/>
      </w:pPr>
      <w:r>
        <w:rPr>
          <w:rFonts w:ascii="Arial" w:hAnsi="Arial" w:eastAsia="Arial" w:cs="Arial"/>
          <w:b/>
          <w:i w:val="0"/>
          <w:color w:val="1B3A5C"/>
          <w:sz w:val="22"/>
        </w:rPr>
        <w:t xml:space="preserve">6.  </w:t>
      </w:r>
      <w:r>
        <w:rPr>
          <w:rFonts w:ascii="Arial" w:hAnsi="Arial" w:eastAsia="Arial" w:cs="Arial"/>
          <w:b w:val="0"/>
          <w:i w:val="0"/>
          <w:color w:val="2C3E50"/>
          <w:sz w:val="22"/>
        </w:rPr>
        <w:t>Click Schedule. The row appears in the table with status pending.</w:t>
      </w:r>
    </w:p>
    <w:p w14:paraId="4C1FE4C7">
      <w:pPr>
        <w:spacing w:after="60"/>
        <w:ind w:left="360"/>
      </w:pPr>
      <w:r>
        <w:rPr>
          <w:rFonts w:ascii="Arial" w:hAnsi="Arial" w:eastAsia="Arial" w:cs="Arial"/>
          <w:b/>
          <w:i w:val="0"/>
          <w:color w:val="1B3A5C"/>
          <w:sz w:val="22"/>
        </w:rPr>
        <w:t xml:space="preserve">7.  </w:t>
      </w:r>
      <w:r>
        <w:rPr>
          <w:rFonts w:ascii="Arial" w:hAnsi="Arial" w:eastAsia="Arial" w:cs="Arial"/>
          <w:b w:val="0"/>
          <w:i w:val="0"/>
          <w:color w:val="2C3E50"/>
          <w:sz w:val="22"/>
        </w:rPr>
        <w:t>The admin-worker polls the tpe_scheduled_triggers Mongo collection every 30 seconds. Once your fireAt time has passed, the worker claims the row, fires the trigger, and updates status to fired (or failed).</w:t>
      </w:r>
    </w:p>
    <w:p w14:paraId="75A27638">
      <w:pPr>
        <w:spacing w:after="60"/>
        <w:ind w:left="360"/>
      </w:pPr>
      <w:r>
        <w:rPr>
          <w:rFonts w:ascii="Arial" w:hAnsi="Arial" w:eastAsia="Arial" w:cs="Arial"/>
          <w:b/>
          <w:i w:val="0"/>
          <w:color w:val="1B3A5C"/>
          <w:sz w:val="22"/>
        </w:rPr>
        <w:t xml:space="preserve">8.  </w:t>
      </w:r>
      <w:r>
        <w:rPr>
          <w:rFonts w:ascii="Arial" w:hAnsi="Arial" w:eastAsia="Arial" w:cs="Arial"/>
          <w:b w:val="0"/>
          <w:i w:val="0"/>
          <w:color w:val="2C3E50"/>
          <w:sz w:val="22"/>
        </w:rPr>
        <w:t>To cancel before fire: click the X icon on a pending row — confirmation dialog appears.</w:t>
      </w:r>
    </w:p>
    <w:p w14:paraId="3CAC8B40">
      <w:r>
        <w:br w:type="page"/>
      </w:r>
    </w:p>
    <w:p w14:paraId="47A3F20B">
      <w:pPr>
        <w:keepNext/>
        <w:spacing w:before="240" w:after="160"/>
      </w:pPr>
      <w:r>
        <w:rPr>
          <w:rFonts w:ascii="Arial" w:hAnsi="Arial" w:eastAsia="Arial" w:cs="Arial"/>
          <w:b/>
          <w:i w:val="0"/>
          <w:color w:val="1B3A5C"/>
          <w:sz w:val="36"/>
        </w:rPr>
        <w:t>10.  Activity History (Audit)</w:t>
      </w:r>
    </w:p>
    <w:p w14:paraId="76A81652">
      <w:pPr>
        <w:spacing w:before="0" w:after="80"/>
      </w:pPr>
      <w:r>
        <w:rPr>
          <w:rFonts w:ascii="Arial" w:hAnsi="Arial" w:eastAsia="Arial" w:cs="Arial"/>
          <w:b w:val="0"/>
          <w:i w:val="0"/>
          <w:sz w:val="22"/>
        </w:rPr>
        <w:t>Every trigger fired through the platform produces audit rows in two places: Novu's own activity feed (visible at /admin/history) and the Bridge's structured stdout log (consumed by the Engineering log aggregator). Operators read /admin/history; Compliance reviews the structured logs for the formal audit trail.</w:t>
      </w:r>
    </w:p>
    <w:p w14:paraId="0DF518E0">
      <w:pPr>
        <w:keepNext/>
        <w:spacing w:before="160" w:after="120"/>
      </w:pPr>
      <w:r>
        <w:rPr>
          <w:rFonts w:ascii="Arial" w:hAnsi="Arial" w:eastAsia="Arial" w:cs="Arial"/>
          <w:b/>
          <w:i w:val="0"/>
          <w:color w:val="1B3A5C"/>
          <w:sz w:val="28"/>
        </w:rPr>
        <w:t>10.1  Reading the /admin/history page</w:t>
      </w:r>
    </w:p>
    <w:p w14:paraId="657175A2">
      <w:pPr>
        <w:spacing w:before="0" w:after="80"/>
      </w:pPr>
      <w:r>
        <w:rPr>
          <w:rFonts w:ascii="Arial" w:hAnsi="Arial" w:eastAsia="Arial" w:cs="Arial"/>
          <w:b w:val="0"/>
          <w:i w:val="0"/>
          <w:sz w:val="22"/>
        </w:rPr>
        <w:t>Open /admin/history. The table shows the most recent triggers (capped at the latest batch returned by Novu's API). Each row shows:</w:t>
      </w:r>
    </w:p>
    <w:p w14:paraId="7AFEFDB6">
      <w:pPr>
        <w:spacing w:before="0" w:after="40"/>
        <w:ind w:left="360"/>
      </w:pPr>
      <w:r>
        <w:rPr>
          <w:rFonts w:ascii="Arial" w:hAnsi="Arial" w:eastAsia="Arial" w:cs="Arial"/>
          <w:b/>
          <w:i w:val="0"/>
          <w:color w:val="1B3A5C"/>
          <w:sz w:val="22"/>
        </w:rPr>
        <w:t xml:space="preserve">•  </w:t>
      </w:r>
      <w:r>
        <w:rPr>
          <w:rFonts w:ascii="Arial" w:hAnsi="Arial" w:eastAsia="Arial" w:cs="Arial"/>
          <w:b w:val="0"/>
          <w:i w:val="0"/>
          <w:color w:val="2C3E50"/>
          <w:sz w:val="22"/>
        </w:rPr>
        <w:t>Time — when Novu received the trigger (with relative “3m ago” hint).</w:t>
      </w:r>
    </w:p>
    <w:p w14:paraId="70A427DA">
      <w:pPr>
        <w:spacing w:before="0" w:after="40"/>
        <w:ind w:left="360"/>
      </w:pPr>
      <w:r>
        <w:rPr>
          <w:rFonts w:ascii="Arial" w:hAnsi="Arial" w:eastAsia="Arial" w:cs="Arial"/>
          <w:b/>
          <w:i w:val="0"/>
          <w:color w:val="1B3A5C"/>
          <w:sz w:val="22"/>
        </w:rPr>
        <w:t xml:space="preserve">•  </w:t>
      </w:r>
      <w:r>
        <w:rPr>
          <w:rFonts w:ascii="Arial" w:hAnsi="Arial" w:eastAsia="Arial" w:cs="Arial"/>
          <w:b w:val="0"/>
          <w:i w:val="0"/>
          <w:color w:val="2C3E50"/>
          <w:sz w:val="22"/>
        </w:rPr>
        <w:t>Workflow — the workflowId.</w:t>
      </w:r>
    </w:p>
    <w:p w14:paraId="30782F0F">
      <w:pPr>
        <w:spacing w:before="0" w:after="40"/>
        <w:ind w:left="360"/>
      </w:pPr>
      <w:r>
        <w:rPr>
          <w:rFonts w:ascii="Arial" w:hAnsi="Arial" w:eastAsia="Arial" w:cs="Arial"/>
          <w:b/>
          <w:i w:val="0"/>
          <w:color w:val="1B3A5C"/>
          <w:sz w:val="22"/>
        </w:rPr>
        <w:t xml:space="preserve">•  </w:t>
      </w:r>
      <w:r>
        <w:rPr>
          <w:rFonts w:ascii="Arial" w:hAnsi="Arial" w:eastAsia="Arial" w:cs="Arial"/>
          <w:b w:val="0"/>
          <w:i w:val="0"/>
          <w:color w:val="2C3E50"/>
          <w:sz w:val="22"/>
        </w:rPr>
        <w:t>Subscriber — the subscriberId.</w:t>
      </w:r>
    </w:p>
    <w:p w14:paraId="183A95FC">
      <w:pPr>
        <w:spacing w:before="0" w:after="40"/>
        <w:ind w:left="360"/>
      </w:pPr>
      <w:r>
        <w:rPr>
          <w:rFonts w:ascii="Arial" w:hAnsi="Arial" w:eastAsia="Arial" w:cs="Arial"/>
          <w:b/>
          <w:i w:val="0"/>
          <w:color w:val="1B3A5C"/>
          <w:sz w:val="22"/>
        </w:rPr>
        <w:t xml:space="preserve">•  </w:t>
      </w:r>
      <w:r>
        <w:rPr>
          <w:rFonts w:ascii="Arial" w:hAnsi="Arial" w:eastAsia="Arial" w:cs="Arial"/>
          <w:b w:val="0"/>
          <w:i w:val="0"/>
          <w:color w:val="2C3E50"/>
          <w:sz w:val="22"/>
        </w:rPr>
        <w:t>transactionId — Novu's correlation key, used to look up the trigger in any other system.</w:t>
      </w:r>
    </w:p>
    <w:p w14:paraId="65AE7BCB">
      <w:pPr>
        <w:spacing w:before="0" w:after="40"/>
        <w:ind w:left="360"/>
      </w:pPr>
      <w:r>
        <w:rPr>
          <w:rFonts w:ascii="Arial" w:hAnsi="Arial" w:eastAsia="Arial" w:cs="Arial"/>
          <w:b/>
          <w:i w:val="0"/>
          <w:color w:val="1B3A5C"/>
          <w:sz w:val="22"/>
        </w:rPr>
        <w:t xml:space="preserve">•  </w:t>
      </w:r>
      <w:r>
        <w:rPr>
          <w:rFonts w:ascii="Arial" w:hAnsi="Arial" w:eastAsia="Arial" w:cs="Arial"/>
          <w:b w:val="0"/>
          <w:i w:val="0"/>
          <w:color w:val="2C3E50"/>
          <w:sz w:val="22"/>
        </w:rPr>
        <w:t>Channels — colored chips for the channels the workflow used.</w:t>
      </w:r>
    </w:p>
    <w:p w14:paraId="3C75FB63">
      <w:pPr>
        <w:keepNext/>
        <w:spacing w:before="160" w:after="120"/>
      </w:pPr>
      <w:r>
        <w:rPr>
          <w:rFonts w:ascii="Arial" w:hAnsi="Arial" w:eastAsia="Arial" w:cs="Arial"/>
          <w:b/>
          <w:i w:val="0"/>
          <w:color w:val="1B3A5C"/>
          <w:sz w:val="28"/>
        </w:rPr>
        <w:t>10.2  Filtering</w:t>
      </w:r>
    </w:p>
    <w:p w14:paraId="46B86D7C">
      <w:pPr>
        <w:spacing w:before="0" w:after="80"/>
      </w:pPr>
      <w:r>
        <w:rPr>
          <w:rFonts w:ascii="Arial" w:hAnsi="Arial" w:eastAsia="Arial" w:cs="Arial"/>
          <w:b w:val="0"/>
          <w:i w:val="0"/>
          <w:sz w:val="22"/>
        </w:rPr>
        <w:t>The search box at the top filters by workflowId, subscriberId, or transactionId. Type any substring; matches highlight in real time. Click the Refresh button to fetch the latest batch.</w:t>
      </w:r>
    </w:p>
    <w:p w14:paraId="2CDD260B">
      <w:pPr>
        <w:keepNext/>
        <w:spacing w:before="160" w:after="120"/>
      </w:pPr>
      <w:r>
        <w:rPr>
          <w:rFonts w:ascii="Arial" w:hAnsi="Arial" w:eastAsia="Arial" w:cs="Arial"/>
          <w:b/>
          <w:i w:val="0"/>
          <w:color w:val="1B3A5C"/>
          <w:sz w:val="28"/>
        </w:rPr>
        <w:t>10.3  Per-channel skip reasons</w:t>
      </w:r>
    </w:p>
    <w:p w14:paraId="72365079">
      <w:pPr>
        <w:spacing w:before="0" w:after="80"/>
      </w:pPr>
      <w:r>
        <w:rPr>
          <w:rFonts w:ascii="Arial" w:hAnsi="Arial" w:eastAsia="Arial" w:cs="Arial"/>
          <w:b w:val="0"/>
          <w:i w:val="0"/>
          <w:sz w:val="22"/>
        </w:rPr>
        <w:t>When a channel-step is skipped (rather than sent), the audit row in the structured log carries a `reason` field. Common values:</w:t>
      </w:r>
    </w:p>
    <w:tbl>
      <w:tblPr>
        <w:tblStyle w:val="12"/>
        <w:tblW w:w="0" w:type="auto"/>
        <w:tblInd w:w="0" w:type="dxa"/>
        <w:tblLayout w:type="fixed"/>
        <w:tblCellMar>
          <w:top w:w="0" w:type="dxa"/>
          <w:left w:w="108" w:type="dxa"/>
          <w:bottom w:w="0" w:type="dxa"/>
          <w:right w:w="108" w:type="dxa"/>
        </w:tblCellMar>
      </w:tblPr>
      <w:tblGrid>
        <w:gridCol w:w="3168"/>
        <w:gridCol w:w="3456"/>
        <w:gridCol w:w="2736"/>
      </w:tblGrid>
      <w:tr w14:paraId="4D8A80FB">
        <w:tc>
          <w:tcPr>
            <w:tcW w:w="3168" w:type="dxa"/>
            <w:tcBorders>
              <w:top w:val="single" w:color="FFFFFF" w:sz="4" w:space="0"/>
              <w:left w:val="single" w:color="FFFFFF" w:sz="4" w:space="0"/>
              <w:bottom w:val="single" w:color="FFFFFF" w:sz="4" w:space="0"/>
              <w:right w:val="single" w:color="FFFFFF" w:sz="4" w:space="0"/>
            </w:tcBorders>
            <w:shd w:val="clear" w:color="auto" w:fill="1B3A5C"/>
            <w:vAlign w:val="center"/>
          </w:tcPr>
          <w:p w14:paraId="091AA34C">
            <w:pPr>
              <w:spacing w:before="40" w:after="40"/>
            </w:pPr>
            <w:r>
              <w:rPr>
                <w:rFonts w:ascii="Arial" w:hAnsi="Arial" w:eastAsia="Arial" w:cs="Arial"/>
                <w:b/>
                <w:i w:val="0"/>
                <w:color w:val="FFFFFF"/>
                <w:sz w:val="20"/>
              </w:rPr>
              <w:t>Reason</w:t>
            </w:r>
          </w:p>
        </w:tc>
        <w:tc>
          <w:tcPr>
            <w:tcW w:w="3456" w:type="dxa"/>
            <w:tcBorders>
              <w:top w:val="single" w:color="FFFFFF" w:sz="4" w:space="0"/>
              <w:left w:val="single" w:color="FFFFFF" w:sz="4" w:space="0"/>
              <w:bottom w:val="single" w:color="FFFFFF" w:sz="4" w:space="0"/>
              <w:right w:val="single" w:color="FFFFFF" w:sz="4" w:space="0"/>
            </w:tcBorders>
            <w:shd w:val="clear" w:color="auto" w:fill="1B3A5C"/>
            <w:vAlign w:val="center"/>
          </w:tcPr>
          <w:p w14:paraId="41E62151">
            <w:pPr>
              <w:spacing w:before="40" w:after="40"/>
            </w:pPr>
            <w:r>
              <w:rPr>
                <w:rFonts w:ascii="Arial" w:hAnsi="Arial" w:eastAsia="Arial" w:cs="Arial"/>
                <w:b/>
                <w:i w:val="0"/>
                <w:color w:val="FFFFFF"/>
                <w:sz w:val="20"/>
              </w:rPr>
              <w:t>What it means</w:t>
            </w:r>
          </w:p>
        </w:tc>
        <w:tc>
          <w:tcPr>
            <w:tcW w:w="2736" w:type="dxa"/>
            <w:tcBorders>
              <w:top w:val="single" w:color="FFFFFF" w:sz="4" w:space="0"/>
              <w:left w:val="single" w:color="FFFFFF" w:sz="4" w:space="0"/>
              <w:bottom w:val="single" w:color="FFFFFF" w:sz="4" w:space="0"/>
              <w:right w:val="single" w:color="FFFFFF" w:sz="4" w:space="0"/>
            </w:tcBorders>
            <w:shd w:val="clear" w:color="auto" w:fill="1B3A5C"/>
            <w:vAlign w:val="center"/>
          </w:tcPr>
          <w:p w14:paraId="16AF1F11">
            <w:pPr>
              <w:spacing w:before="40" w:after="40"/>
            </w:pPr>
            <w:r>
              <w:rPr>
                <w:rFonts w:ascii="Arial" w:hAnsi="Arial" w:eastAsia="Arial" w:cs="Arial"/>
                <w:b/>
                <w:i w:val="0"/>
                <w:color w:val="FFFFFF"/>
                <w:sz w:val="20"/>
              </w:rPr>
              <w:t>Action</w:t>
            </w:r>
          </w:p>
        </w:tc>
      </w:tr>
      <w:tr w14:paraId="4AB3F13F">
        <w:tc>
          <w:tcPr>
            <w:tcW w:w="3168" w:type="dxa"/>
            <w:tcBorders>
              <w:top w:val="single" w:color="DDDDDD" w:sz="4" w:space="0"/>
              <w:left w:val="single" w:color="DDDDDD" w:sz="4" w:space="0"/>
              <w:bottom w:val="single" w:color="DDDDDD" w:sz="4" w:space="0"/>
              <w:right w:val="single" w:color="DDDDDD" w:sz="4" w:space="0"/>
            </w:tcBorders>
            <w:vAlign w:val="top"/>
          </w:tcPr>
          <w:p w14:paraId="5AB25A76">
            <w:pPr>
              <w:spacing w:before="40" w:after="40"/>
            </w:pPr>
            <w:r>
              <w:rPr>
                <w:rFonts w:ascii="Arial" w:hAnsi="Arial" w:eastAsia="Arial" w:cs="Arial"/>
                <w:b w:val="0"/>
                <w:i w:val="0"/>
                <w:color w:val="2C3E50"/>
                <w:sz w:val="20"/>
              </w:rPr>
              <w:t>channel '&lt;x&gt;' disabled in /admin/channels</w:t>
            </w:r>
          </w:p>
        </w:tc>
        <w:tc>
          <w:tcPr>
            <w:tcW w:w="3456" w:type="dxa"/>
            <w:tcBorders>
              <w:top w:val="single" w:color="DDDDDD" w:sz="4" w:space="0"/>
              <w:left w:val="single" w:color="DDDDDD" w:sz="4" w:space="0"/>
              <w:bottom w:val="single" w:color="DDDDDD" w:sz="4" w:space="0"/>
              <w:right w:val="single" w:color="DDDDDD" w:sz="4" w:space="0"/>
            </w:tcBorders>
            <w:vAlign w:val="top"/>
          </w:tcPr>
          <w:p w14:paraId="2EA66166">
            <w:pPr>
              <w:spacing w:before="40" w:after="40"/>
            </w:pPr>
            <w:r>
              <w:rPr>
                <w:rFonts w:ascii="Arial" w:hAnsi="Arial" w:eastAsia="Arial" w:cs="Arial"/>
                <w:b w:val="0"/>
                <w:i w:val="0"/>
                <w:color w:val="2C3E50"/>
                <w:sz w:val="20"/>
              </w:rPr>
              <w:t>The operator allowlist on /admin/channels has the channel unticked.</w:t>
            </w:r>
          </w:p>
        </w:tc>
        <w:tc>
          <w:tcPr>
            <w:tcW w:w="2736" w:type="dxa"/>
            <w:tcBorders>
              <w:top w:val="single" w:color="DDDDDD" w:sz="4" w:space="0"/>
              <w:left w:val="single" w:color="DDDDDD" w:sz="4" w:space="0"/>
              <w:bottom w:val="single" w:color="DDDDDD" w:sz="4" w:space="0"/>
              <w:right w:val="single" w:color="DDDDDD" w:sz="4" w:space="0"/>
            </w:tcBorders>
            <w:vAlign w:val="top"/>
          </w:tcPr>
          <w:p w14:paraId="27E247B3">
            <w:pPr>
              <w:spacing w:before="40" w:after="40"/>
            </w:pPr>
            <w:r>
              <w:rPr>
                <w:rFonts w:ascii="Arial" w:hAnsi="Arial" w:eastAsia="Arial" w:cs="Arial"/>
                <w:b w:val="0"/>
                <w:i w:val="0"/>
                <w:color w:val="2C3E50"/>
                <w:sz w:val="20"/>
              </w:rPr>
              <w:t>If unintended: re-enable on /admin/channels and re-fire.</w:t>
            </w:r>
          </w:p>
        </w:tc>
      </w:tr>
      <w:tr w14:paraId="62B16F98">
        <w:tc>
          <w:tcPr>
            <w:tcW w:w="3168" w:type="dxa"/>
            <w:tcBorders>
              <w:top w:val="single" w:color="DDDDDD" w:sz="4" w:space="0"/>
              <w:left w:val="single" w:color="DDDDDD" w:sz="4" w:space="0"/>
              <w:bottom w:val="single" w:color="DDDDDD" w:sz="4" w:space="0"/>
              <w:right w:val="single" w:color="DDDDDD" w:sz="4" w:space="0"/>
            </w:tcBorders>
            <w:shd w:val="clear" w:color="auto" w:fill="F8F9FA"/>
            <w:vAlign w:val="top"/>
          </w:tcPr>
          <w:p w14:paraId="78D5DFDF">
            <w:pPr>
              <w:spacing w:before="40" w:after="40"/>
            </w:pPr>
            <w:r>
              <w:rPr>
                <w:rFonts w:ascii="Arial" w:hAnsi="Arial" w:eastAsia="Arial" w:cs="Arial"/>
                <w:b w:val="0"/>
                <w:i w:val="0"/>
                <w:color w:val="2C3E50"/>
                <w:sz w:val="20"/>
              </w:rPr>
              <w:t>SesNotConfigured: missing env ...</w:t>
            </w:r>
          </w:p>
        </w:tc>
        <w:tc>
          <w:tcPr>
            <w:tcW w:w="3456" w:type="dxa"/>
            <w:tcBorders>
              <w:top w:val="single" w:color="DDDDDD" w:sz="4" w:space="0"/>
              <w:left w:val="single" w:color="DDDDDD" w:sz="4" w:space="0"/>
              <w:bottom w:val="single" w:color="DDDDDD" w:sz="4" w:space="0"/>
              <w:right w:val="single" w:color="DDDDDD" w:sz="4" w:space="0"/>
            </w:tcBorders>
            <w:shd w:val="clear" w:color="auto" w:fill="F8F9FA"/>
            <w:vAlign w:val="top"/>
          </w:tcPr>
          <w:p w14:paraId="1DD2D7ED">
            <w:pPr>
              <w:spacing w:before="40" w:after="40"/>
            </w:pPr>
            <w:r>
              <w:rPr>
                <w:rFonts w:ascii="Arial" w:hAnsi="Arial" w:eastAsia="Arial" w:cs="Arial"/>
                <w:b w:val="0"/>
                <w:i w:val="0"/>
                <w:color w:val="2C3E50"/>
                <w:sz w:val="20"/>
              </w:rPr>
              <w:t>AWS SES credentials are not yet provisioned for this environment.</w:t>
            </w:r>
          </w:p>
        </w:tc>
        <w:tc>
          <w:tcPr>
            <w:tcW w:w="2736" w:type="dxa"/>
            <w:tcBorders>
              <w:top w:val="single" w:color="DDDDDD" w:sz="4" w:space="0"/>
              <w:left w:val="single" w:color="DDDDDD" w:sz="4" w:space="0"/>
              <w:bottom w:val="single" w:color="DDDDDD" w:sz="4" w:space="0"/>
              <w:right w:val="single" w:color="DDDDDD" w:sz="4" w:space="0"/>
            </w:tcBorders>
            <w:shd w:val="clear" w:color="auto" w:fill="F8F9FA"/>
            <w:vAlign w:val="top"/>
          </w:tcPr>
          <w:p w14:paraId="6D24B16B">
            <w:pPr>
              <w:spacing w:before="40" w:after="40"/>
            </w:pPr>
            <w:r>
              <w:rPr>
                <w:rFonts w:ascii="Arial" w:hAnsi="Arial" w:eastAsia="Arial" w:cs="Arial"/>
                <w:b w:val="0"/>
                <w:i w:val="0"/>
                <w:color w:val="2C3E50"/>
                <w:sz w:val="20"/>
              </w:rPr>
              <w:t>Engineering must add the SES env vars; once added, re-fire.</w:t>
            </w:r>
          </w:p>
        </w:tc>
      </w:tr>
      <w:tr w14:paraId="592FBC6F">
        <w:tc>
          <w:tcPr>
            <w:tcW w:w="3168" w:type="dxa"/>
            <w:tcBorders>
              <w:top w:val="single" w:color="DDDDDD" w:sz="4" w:space="0"/>
              <w:left w:val="single" w:color="DDDDDD" w:sz="4" w:space="0"/>
              <w:bottom w:val="single" w:color="DDDDDD" w:sz="4" w:space="0"/>
              <w:right w:val="single" w:color="DDDDDD" w:sz="4" w:space="0"/>
            </w:tcBorders>
            <w:vAlign w:val="top"/>
          </w:tcPr>
          <w:p w14:paraId="57CE7EBC">
            <w:pPr>
              <w:spacing w:before="40" w:after="40"/>
            </w:pPr>
            <w:r>
              <w:rPr>
                <w:rFonts w:ascii="Arial" w:hAnsi="Arial" w:eastAsia="Arial" w:cs="Arial"/>
                <w:b w:val="0"/>
                <w:i w:val="0"/>
                <w:color w:val="2C3E50"/>
                <w:sz w:val="20"/>
              </w:rPr>
              <w:t>MSG91_OTP_TEMPLATE_ID not configured</w:t>
            </w:r>
          </w:p>
        </w:tc>
        <w:tc>
          <w:tcPr>
            <w:tcW w:w="3456" w:type="dxa"/>
            <w:tcBorders>
              <w:top w:val="single" w:color="DDDDDD" w:sz="4" w:space="0"/>
              <w:left w:val="single" w:color="DDDDDD" w:sz="4" w:space="0"/>
              <w:bottom w:val="single" w:color="DDDDDD" w:sz="4" w:space="0"/>
              <w:right w:val="single" w:color="DDDDDD" w:sz="4" w:space="0"/>
            </w:tcBorders>
            <w:vAlign w:val="top"/>
          </w:tcPr>
          <w:p w14:paraId="44726427">
            <w:pPr>
              <w:spacing w:before="40" w:after="40"/>
            </w:pPr>
            <w:r>
              <w:rPr>
                <w:rFonts w:ascii="Arial" w:hAnsi="Arial" w:eastAsia="Arial" w:cs="Arial"/>
                <w:b w:val="0"/>
                <w:i w:val="0"/>
                <w:color w:val="2C3E50"/>
                <w:sz w:val="20"/>
              </w:rPr>
              <w:t>The DLT template ID for this trigger is not yet wired.</w:t>
            </w:r>
          </w:p>
        </w:tc>
        <w:tc>
          <w:tcPr>
            <w:tcW w:w="2736" w:type="dxa"/>
            <w:tcBorders>
              <w:top w:val="single" w:color="DDDDDD" w:sz="4" w:space="0"/>
              <w:left w:val="single" w:color="DDDDDD" w:sz="4" w:space="0"/>
              <w:bottom w:val="single" w:color="DDDDDD" w:sz="4" w:space="0"/>
              <w:right w:val="single" w:color="DDDDDD" w:sz="4" w:space="0"/>
            </w:tcBorders>
            <w:vAlign w:val="top"/>
          </w:tcPr>
          <w:p w14:paraId="37FD0415">
            <w:pPr>
              <w:spacing w:before="40" w:after="40"/>
            </w:pPr>
            <w:r>
              <w:rPr>
                <w:rFonts w:ascii="Arial" w:hAnsi="Arial" w:eastAsia="Arial" w:cs="Arial"/>
                <w:b w:val="0"/>
                <w:i w:val="0"/>
                <w:color w:val="2C3E50"/>
                <w:sz w:val="20"/>
              </w:rPr>
              <w:t>Engineering must register the template with MSG91 and add the env var.</w:t>
            </w:r>
          </w:p>
        </w:tc>
      </w:tr>
      <w:tr w14:paraId="78F2C0DA">
        <w:tc>
          <w:tcPr>
            <w:tcW w:w="3168" w:type="dxa"/>
            <w:tcBorders>
              <w:top w:val="single" w:color="DDDDDD" w:sz="4" w:space="0"/>
              <w:left w:val="single" w:color="DDDDDD" w:sz="4" w:space="0"/>
              <w:bottom w:val="single" w:color="DDDDDD" w:sz="4" w:space="0"/>
              <w:right w:val="single" w:color="DDDDDD" w:sz="4" w:space="0"/>
            </w:tcBorders>
            <w:shd w:val="clear" w:color="auto" w:fill="F8F9FA"/>
            <w:vAlign w:val="top"/>
          </w:tcPr>
          <w:p w14:paraId="43FF767A">
            <w:pPr>
              <w:spacing w:before="40" w:after="40"/>
            </w:pPr>
            <w:r>
              <w:rPr>
                <w:rFonts w:ascii="Arial" w:hAnsi="Arial" w:eastAsia="Arial" w:cs="Arial"/>
                <w:b w:val="0"/>
                <w:i w:val="0"/>
                <w:color w:val="2C3E50"/>
                <w:sz w:val="20"/>
              </w:rPr>
              <w:t>ICPaaS template not configured</w:t>
            </w:r>
          </w:p>
        </w:tc>
        <w:tc>
          <w:tcPr>
            <w:tcW w:w="3456" w:type="dxa"/>
            <w:tcBorders>
              <w:top w:val="single" w:color="DDDDDD" w:sz="4" w:space="0"/>
              <w:left w:val="single" w:color="DDDDDD" w:sz="4" w:space="0"/>
              <w:bottom w:val="single" w:color="DDDDDD" w:sz="4" w:space="0"/>
              <w:right w:val="single" w:color="DDDDDD" w:sz="4" w:space="0"/>
            </w:tcBorders>
            <w:shd w:val="clear" w:color="auto" w:fill="F8F9FA"/>
            <w:vAlign w:val="top"/>
          </w:tcPr>
          <w:p w14:paraId="7E8E3DED">
            <w:pPr>
              <w:spacing w:before="40" w:after="40"/>
            </w:pPr>
            <w:r>
              <w:rPr>
                <w:rFonts w:ascii="Arial" w:hAnsi="Arial" w:eastAsia="Arial" w:cs="Arial"/>
                <w:b w:val="0"/>
                <w:i w:val="0"/>
                <w:color w:val="2C3E50"/>
                <w:sz w:val="20"/>
              </w:rPr>
              <w:t>Same as above for WhatsApp via ICPaaS.</w:t>
            </w:r>
          </w:p>
        </w:tc>
        <w:tc>
          <w:tcPr>
            <w:tcW w:w="2736" w:type="dxa"/>
            <w:tcBorders>
              <w:top w:val="single" w:color="DDDDDD" w:sz="4" w:space="0"/>
              <w:left w:val="single" w:color="DDDDDD" w:sz="4" w:space="0"/>
              <w:bottom w:val="single" w:color="DDDDDD" w:sz="4" w:space="0"/>
              <w:right w:val="single" w:color="DDDDDD" w:sz="4" w:space="0"/>
            </w:tcBorders>
            <w:shd w:val="clear" w:color="auto" w:fill="F8F9FA"/>
            <w:vAlign w:val="top"/>
          </w:tcPr>
          <w:p w14:paraId="74F58FC0">
            <w:pPr>
              <w:spacing w:before="40" w:after="40"/>
            </w:pPr>
            <w:r>
              <w:rPr>
                <w:rFonts w:ascii="Arial" w:hAnsi="Arial" w:eastAsia="Arial" w:cs="Arial"/>
                <w:b w:val="0"/>
                <w:i w:val="0"/>
                <w:color w:val="2C3E50"/>
                <w:sz w:val="20"/>
              </w:rPr>
              <w:t>Operations must approve the Meta template, then Engineering wires it.</w:t>
            </w:r>
          </w:p>
        </w:tc>
      </w:tr>
      <w:tr w14:paraId="71629147">
        <w:tc>
          <w:tcPr>
            <w:tcW w:w="3168" w:type="dxa"/>
            <w:tcBorders>
              <w:top w:val="single" w:color="DDDDDD" w:sz="4" w:space="0"/>
              <w:left w:val="single" w:color="DDDDDD" w:sz="4" w:space="0"/>
              <w:bottom w:val="single" w:color="DDDDDD" w:sz="4" w:space="0"/>
              <w:right w:val="single" w:color="DDDDDD" w:sz="4" w:space="0"/>
            </w:tcBorders>
            <w:vAlign w:val="top"/>
          </w:tcPr>
          <w:p w14:paraId="39066642">
            <w:pPr>
              <w:spacing w:before="40" w:after="40"/>
            </w:pPr>
            <w:r>
              <w:rPr>
                <w:rFonts w:ascii="Arial" w:hAnsi="Arial" w:eastAsia="Arial" w:cs="Arial"/>
                <w:b w:val="0"/>
                <w:i w:val="0"/>
                <w:color w:val="2C3E50"/>
                <w:sz w:val="20"/>
              </w:rPr>
              <w:t>no mobile number on subscriber</w:t>
            </w:r>
          </w:p>
        </w:tc>
        <w:tc>
          <w:tcPr>
            <w:tcW w:w="3456" w:type="dxa"/>
            <w:tcBorders>
              <w:top w:val="single" w:color="DDDDDD" w:sz="4" w:space="0"/>
              <w:left w:val="single" w:color="DDDDDD" w:sz="4" w:space="0"/>
              <w:bottom w:val="single" w:color="DDDDDD" w:sz="4" w:space="0"/>
              <w:right w:val="single" w:color="DDDDDD" w:sz="4" w:space="0"/>
            </w:tcBorders>
            <w:vAlign w:val="top"/>
          </w:tcPr>
          <w:p w14:paraId="18EC2ACC">
            <w:pPr>
              <w:spacing w:before="40" w:after="40"/>
            </w:pPr>
            <w:r>
              <w:rPr>
                <w:rFonts w:ascii="Arial" w:hAnsi="Arial" w:eastAsia="Arial" w:cs="Arial"/>
                <w:b w:val="0"/>
                <w:i w:val="0"/>
                <w:color w:val="2C3E50"/>
                <w:sz w:val="20"/>
              </w:rPr>
              <w:t>The subscriber doesn't have a phone field set.</w:t>
            </w:r>
          </w:p>
        </w:tc>
        <w:tc>
          <w:tcPr>
            <w:tcW w:w="2736" w:type="dxa"/>
            <w:tcBorders>
              <w:top w:val="single" w:color="DDDDDD" w:sz="4" w:space="0"/>
              <w:left w:val="single" w:color="DDDDDD" w:sz="4" w:space="0"/>
              <w:bottom w:val="single" w:color="DDDDDD" w:sz="4" w:space="0"/>
              <w:right w:val="single" w:color="DDDDDD" w:sz="4" w:space="0"/>
            </w:tcBorders>
            <w:vAlign w:val="top"/>
          </w:tcPr>
          <w:p w14:paraId="352CA2C6">
            <w:pPr>
              <w:spacing w:before="40" w:after="40"/>
            </w:pPr>
            <w:r>
              <w:rPr>
                <w:rFonts w:ascii="Arial" w:hAnsi="Arial" w:eastAsia="Arial" w:cs="Arial"/>
                <w:b w:val="0"/>
                <w:i w:val="0"/>
                <w:color w:val="2C3E50"/>
                <w:sz w:val="20"/>
              </w:rPr>
              <w:t>Update the subscriber via Novu Dashboard or the campaign's field map.</w:t>
            </w:r>
          </w:p>
        </w:tc>
      </w:tr>
      <w:tr w14:paraId="2CF63D67">
        <w:tc>
          <w:tcPr>
            <w:tcW w:w="3168" w:type="dxa"/>
            <w:tcBorders>
              <w:top w:val="single" w:color="DDDDDD" w:sz="4" w:space="0"/>
              <w:left w:val="single" w:color="DDDDDD" w:sz="4" w:space="0"/>
              <w:bottom w:val="single" w:color="DDDDDD" w:sz="4" w:space="0"/>
              <w:right w:val="single" w:color="DDDDDD" w:sz="4" w:space="0"/>
            </w:tcBorders>
            <w:shd w:val="clear" w:color="auto" w:fill="F8F9FA"/>
            <w:vAlign w:val="top"/>
          </w:tcPr>
          <w:p w14:paraId="37C47267">
            <w:pPr>
              <w:spacing w:before="40" w:after="40"/>
            </w:pPr>
            <w:r>
              <w:rPr>
                <w:rFonts w:ascii="Arial" w:hAnsi="Arial" w:eastAsia="Arial" w:cs="Arial"/>
                <w:b w:val="0"/>
                <w:i w:val="0"/>
                <w:color w:val="2C3E50"/>
                <w:sz w:val="20"/>
              </w:rPr>
              <w:t>subscriberIdColumn empty for this row</w:t>
            </w:r>
          </w:p>
        </w:tc>
        <w:tc>
          <w:tcPr>
            <w:tcW w:w="3456" w:type="dxa"/>
            <w:tcBorders>
              <w:top w:val="single" w:color="DDDDDD" w:sz="4" w:space="0"/>
              <w:left w:val="single" w:color="DDDDDD" w:sz="4" w:space="0"/>
              <w:bottom w:val="single" w:color="DDDDDD" w:sz="4" w:space="0"/>
              <w:right w:val="single" w:color="DDDDDD" w:sz="4" w:space="0"/>
            </w:tcBorders>
            <w:shd w:val="clear" w:color="auto" w:fill="F8F9FA"/>
            <w:vAlign w:val="top"/>
          </w:tcPr>
          <w:p w14:paraId="17D6EE56">
            <w:pPr>
              <w:spacing w:before="40" w:after="40"/>
            </w:pPr>
            <w:r>
              <w:rPr>
                <w:rFonts w:ascii="Arial" w:hAnsi="Arial" w:eastAsia="Arial" w:cs="Arial"/>
                <w:b w:val="0"/>
                <w:i w:val="0"/>
                <w:color w:val="2C3E50"/>
                <w:sz w:val="20"/>
              </w:rPr>
              <w:t>The campaign row's subscriber-ID column was null/empty.</w:t>
            </w:r>
          </w:p>
        </w:tc>
        <w:tc>
          <w:tcPr>
            <w:tcW w:w="2736" w:type="dxa"/>
            <w:tcBorders>
              <w:top w:val="single" w:color="DDDDDD" w:sz="4" w:space="0"/>
              <w:left w:val="single" w:color="DDDDDD" w:sz="4" w:space="0"/>
              <w:bottom w:val="single" w:color="DDDDDD" w:sz="4" w:space="0"/>
              <w:right w:val="single" w:color="DDDDDD" w:sz="4" w:space="0"/>
            </w:tcBorders>
            <w:shd w:val="clear" w:color="auto" w:fill="F8F9FA"/>
            <w:vAlign w:val="top"/>
          </w:tcPr>
          <w:p w14:paraId="1C0A46C0">
            <w:pPr>
              <w:spacing w:before="40" w:after="40"/>
            </w:pPr>
            <w:r>
              <w:rPr>
                <w:rFonts w:ascii="Arial" w:hAnsi="Arial" w:eastAsia="Arial" w:cs="Arial"/>
                <w:b w:val="0"/>
                <w:i w:val="0"/>
                <w:color w:val="2C3E50"/>
                <w:sz w:val="20"/>
              </w:rPr>
              <w:t>Tighten the campaign filter to exclude rows with null IDs.</w:t>
            </w:r>
          </w:p>
        </w:tc>
      </w:tr>
    </w:tbl>
    <w:p w14:paraId="53B208D9">
      <w:r>
        <w:br w:type="page"/>
      </w:r>
    </w:p>
    <w:p w14:paraId="31A48526">
      <w:pPr>
        <w:keepNext/>
        <w:spacing w:before="240" w:after="160"/>
      </w:pPr>
      <w:r>
        <w:rPr>
          <w:rFonts w:ascii="Arial" w:hAnsi="Arial" w:eastAsia="Arial" w:cs="Arial"/>
          <w:b/>
          <w:i w:val="0"/>
          <w:color w:val="1B3A5C"/>
          <w:sz w:val="36"/>
        </w:rPr>
        <w:t>11.  Retrying Failed Sends</w:t>
      </w:r>
    </w:p>
    <w:p w14:paraId="6A9A05E1">
      <w:pPr>
        <w:spacing w:before="0" w:after="80"/>
      </w:pPr>
      <w:r>
        <w:rPr>
          <w:rFonts w:ascii="Arial" w:hAnsi="Arial" w:eastAsia="Arial" w:cs="Arial"/>
          <w:b w:val="0"/>
          <w:i w:val="0"/>
          <w:sz w:val="22"/>
        </w:rPr>
        <w:t>When a campaign fan-out has errored rows — most commonly transient provider errors (MSG91 5xx, Meta rate limits) — operators can retry JUST those rows without re-firing the entire audience.</w:t>
      </w:r>
    </w:p>
    <w:p w14:paraId="72393928">
      <w:pPr>
        <w:keepNext/>
        <w:spacing w:before="160" w:after="120"/>
      </w:pPr>
      <w:r>
        <w:rPr>
          <w:rFonts w:ascii="Arial" w:hAnsi="Arial" w:eastAsia="Arial" w:cs="Arial"/>
          <w:b/>
          <w:i w:val="0"/>
          <w:color w:val="1B3A5C"/>
          <w:sz w:val="28"/>
        </w:rPr>
        <w:t>11.1  When to retry vs investigate</w:t>
      </w:r>
    </w:p>
    <w:p w14:paraId="3B4D4ED4">
      <w:pPr>
        <w:spacing w:before="0" w:after="40"/>
        <w:ind w:left="360"/>
      </w:pPr>
      <w:r>
        <w:rPr>
          <w:rFonts w:ascii="Arial" w:hAnsi="Arial" w:eastAsia="Arial" w:cs="Arial"/>
          <w:b/>
          <w:i w:val="0"/>
          <w:color w:val="1B3A5C"/>
          <w:sz w:val="22"/>
        </w:rPr>
        <w:t xml:space="preserve">•  </w:t>
      </w:r>
      <w:r>
        <w:rPr>
          <w:rFonts w:ascii="Arial" w:hAnsi="Arial" w:eastAsia="Arial" w:cs="Arial"/>
          <w:b w:val="0"/>
          <w:i w:val="0"/>
          <w:color w:val="2C3E50"/>
          <w:sz w:val="22"/>
        </w:rPr>
        <w:t>Retry when: errored rows are a small fraction (&lt; 10%) AND the reason looks transient (HTTP 5xx, network errors, rate limits).</w:t>
      </w:r>
    </w:p>
    <w:p w14:paraId="38C72C60">
      <w:pPr>
        <w:spacing w:before="0" w:after="40"/>
        <w:ind w:left="360"/>
      </w:pPr>
      <w:r>
        <w:rPr>
          <w:rFonts w:ascii="Arial" w:hAnsi="Arial" w:eastAsia="Arial" w:cs="Arial"/>
          <w:b/>
          <w:i w:val="0"/>
          <w:color w:val="1B3A5C"/>
          <w:sz w:val="22"/>
        </w:rPr>
        <w:t xml:space="preserve">•  </w:t>
      </w:r>
      <w:r>
        <w:rPr>
          <w:rFonts w:ascii="Arial" w:hAnsi="Arial" w:eastAsia="Arial" w:cs="Arial"/>
          <w:b w:val="0"/>
          <w:i w:val="0"/>
          <w:color w:val="2C3E50"/>
          <w:sz w:val="22"/>
        </w:rPr>
        <w:t>Investigate first when: every row errored (the workflow itself has a problem), the same subscriberId errors repeatedly, or the reason is a known config issue (missing template, missing creds).</w:t>
      </w:r>
    </w:p>
    <w:p w14:paraId="2494655A">
      <w:pPr>
        <w:keepNext/>
        <w:spacing w:before="160" w:after="120"/>
      </w:pPr>
      <w:r>
        <w:rPr>
          <w:rFonts w:ascii="Arial" w:hAnsi="Arial" w:eastAsia="Arial" w:cs="Arial"/>
          <w:b/>
          <w:i w:val="0"/>
          <w:color w:val="1B3A5C"/>
          <w:sz w:val="28"/>
        </w:rPr>
        <w:t>11.2  Step-by-step</w:t>
      </w:r>
    </w:p>
    <w:p w14:paraId="7ACFC2E6">
      <w:pPr>
        <w:spacing w:after="60"/>
        <w:ind w:left="360"/>
      </w:pPr>
      <w:r>
        <w:rPr>
          <w:rFonts w:ascii="Arial" w:hAnsi="Arial" w:eastAsia="Arial" w:cs="Arial"/>
          <w:b/>
          <w:i w:val="0"/>
          <w:color w:val="1B3A5C"/>
          <w:sz w:val="22"/>
        </w:rPr>
        <w:t xml:space="preserve">1.  </w:t>
      </w:r>
      <w:r>
        <w:rPr>
          <w:rFonts w:ascii="Arial" w:hAnsi="Arial" w:eastAsia="Arial" w:cs="Arial"/>
          <w:b w:val="0"/>
          <w:i w:val="0"/>
          <w:color w:val="2C3E50"/>
          <w:sz w:val="22"/>
        </w:rPr>
        <w:t>From /admin/campaigns, click the campaign name to open its Run history page.</w:t>
      </w:r>
    </w:p>
    <w:p w14:paraId="5B907881">
      <w:pPr>
        <w:spacing w:after="60"/>
        <w:ind w:left="360"/>
      </w:pPr>
      <w:r>
        <w:rPr>
          <w:rFonts w:ascii="Arial" w:hAnsi="Arial" w:eastAsia="Arial" w:cs="Arial"/>
          <w:b/>
          <w:i w:val="0"/>
          <w:color w:val="1B3A5C"/>
          <w:sz w:val="22"/>
        </w:rPr>
        <w:t xml:space="preserve">2.  </w:t>
      </w:r>
      <w:r>
        <w:rPr>
          <w:rFonts w:ascii="Arial" w:hAnsi="Arial" w:eastAsia="Arial" w:cs="Arial"/>
          <w:b w:val="0"/>
          <w:i w:val="0"/>
          <w:color w:val="2C3E50"/>
          <w:sz w:val="22"/>
        </w:rPr>
        <w:t>Find the run that has an Errored count &gt; 0. Expand it (click the row).</w:t>
      </w:r>
    </w:p>
    <w:p w14:paraId="72334738">
      <w:pPr>
        <w:spacing w:after="60"/>
        <w:ind w:left="360"/>
      </w:pPr>
      <w:r>
        <w:rPr>
          <w:rFonts w:ascii="Arial" w:hAnsi="Arial" w:eastAsia="Arial" w:cs="Arial"/>
          <w:b/>
          <w:i w:val="0"/>
          <w:color w:val="1B3A5C"/>
          <w:sz w:val="22"/>
        </w:rPr>
        <w:t xml:space="preserve">3.  </w:t>
      </w:r>
      <w:r>
        <w:rPr>
          <w:rFonts w:ascii="Arial" w:hAnsi="Arial" w:eastAsia="Arial" w:cs="Arial"/>
          <w:b w:val="0"/>
          <w:i w:val="0"/>
          <w:color w:val="2C3E50"/>
          <w:sz w:val="22"/>
        </w:rPr>
        <w:t>The per-row drill-down shows each row's status. Click the Errored filter to show only failed entries.</w:t>
      </w:r>
    </w:p>
    <w:p w14:paraId="5F6125E1">
      <w:pPr>
        <w:spacing w:after="60"/>
        <w:ind w:left="360"/>
      </w:pPr>
      <w:r>
        <w:rPr>
          <w:rFonts w:ascii="Arial" w:hAnsi="Arial" w:eastAsia="Arial" w:cs="Arial"/>
          <w:b/>
          <w:i w:val="0"/>
          <w:color w:val="1B3A5C"/>
          <w:sz w:val="22"/>
        </w:rPr>
        <w:t xml:space="preserve">4.  </w:t>
      </w:r>
      <w:r>
        <w:rPr>
          <w:rFonts w:ascii="Arial" w:hAnsi="Arial" w:eastAsia="Arial" w:cs="Arial"/>
          <w:b w:val="0"/>
          <w:i w:val="0"/>
          <w:color w:val="2C3E50"/>
          <w:sz w:val="22"/>
        </w:rPr>
        <w:t>Click the Retry button on that run (top-right of the row). The platform extracts only the errored subscriberIds and fires them again — same workflow, same payloads, only those rows.</w:t>
      </w:r>
    </w:p>
    <w:p w14:paraId="11685265">
      <w:pPr>
        <w:spacing w:after="60"/>
        <w:ind w:left="360"/>
      </w:pPr>
      <w:r>
        <w:rPr>
          <w:rFonts w:ascii="Arial" w:hAnsi="Arial" w:eastAsia="Arial" w:cs="Arial"/>
          <w:b/>
          <w:i w:val="0"/>
          <w:color w:val="1B3A5C"/>
          <w:sz w:val="22"/>
        </w:rPr>
        <w:t xml:space="preserve">5.  </w:t>
      </w:r>
      <w:r>
        <w:rPr>
          <w:rFonts w:ascii="Arial" w:hAnsi="Arial" w:eastAsia="Arial" w:cs="Arial"/>
          <w:b w:val="0"/>
          <w:i w:val="0"/>
          <w:color w:val="2C3E50"/>
          <w:sz w:val="22"/>
        </w:rPr>
        <w:t>A new run appears in Run history with triggeredBy = retry-of-&lt;runId&gt;. Outcome is reported as a toast and reflected in the run's row counts.</w:t>
      </w:r>
    </w:p>
    <w:tbl>
      <w:tblPr>
        <w:tblStyle w:val="12"/>
        <w:tblW w:w="0" w:type="auto"/>
        <w:tblInd w:w="0" w:type="dxa"/>
        <w:tblLayout w:type="fixed"/>
        <w:tblCellMar>
          <w:top w:w="0" w:type="dxa"/>
          <w:left w:w="108" w:type="dxa"/>
          <w:bottom w:w="0" w:type="dxa"/>
          <w:right w:w="108" w:type="dxa"/>
        </w:tblCellMar>
      </w:tblPr>
      <w:tblGrid>
        <w:gridCol w:w="9360"/>
      </w:tblGrid>
      <w:tr w14:paraId="0B0BB733">
        <w:tc>
          <w:tcPr>
            <w:tcW w:w="9360" w:type="dxa"/>
            <w:tcBorders>
              <w:top w:val="single" w:color="C0C0C0" w:sz="6" w:space="0"/>
              <w:left w:val="single" w:color="C0C0C0" w:sz="6" w:space="0"/>
              <w:bottom w:val="single" w:color="C0C0C0" w:sz="6" w:space="0"/>
              <w:right w:val="single" w:color="C0C0C0" w:sz="6" w:space="0"/>
            </w:tcBorders>
            <w:shd w:val="clear" w:color="auto" w:fill="EBF3FB"/>
          </w:tcPr>
          <w:p w14:paraId="223384B0">
            <w:pPr>
              <w:spacing w:before="80" w:after="80"/>
            </w:pPr>
            <w:r>
              <w:rPr>
                <w:rFonts w:ascii="Arial" w:hAnsi="Arial" w:eastAsia="Arial" w:cs="Arial"/>
                <w:b/>
                <w:i w:val="0"/>
                <w:color w:val="2E75B6"/>
                <w:sz w:val="20"/>
              </w:rPr>
              <w:t xml:space="preserve">Cap. </w:t>
            </w:r>
            <w:r>
              <w:rPr>
                <w:rFonts w:ascii="Arial" w:hAnsi="Arial" w:eastAsia="Arial" w:cs="Arial"/>
                <w:b w:val="0"/>
                <w:i w:val="0"/>
                <w:color w:val="2C3E50"/>
                <w:sz w:val="20"/>
              </w:rPr>
              <w:t>Retry caps at 200 errored rows per attempt. If you have more than 200 errors, retry once (handles the first 200), then retry again (handles the next 200), etc. Each retry is logged as its own run.</w:t>
            </w:r>
          </w:p>
        </w:tc>
      </w:tr>
    </w:tbl>
    <w:p w14:paraId="0B4BBE8D">
      <w:pPr>
        <w:spacing w:before="0" w:after="120"/>
      </w:pPr>
    </w:p>
    <w:p w14:paraId="50BE1E87">
      <w:r>
        <w:br w:type="page"/>
      </w:r>
    </w:p>
    <w:p w14:paraId="3B37DE36">
      <w:pPr>
        <w:keepNext/>
        <w:spacing w:before="240" w:after="160"/>
      </w:pPr>
      <w:r>
        <w:rPr>
          <w:rFonts w:ascii="Arial" w:hAnsi="Arial" w:eastAsia="Arial" w:cs="Arial"/>
          <w:b/>
          <w:i w:val="0"/>
          <w:color w:val="1B3A5C"/>
          <w:sz w:val="36"/>
        </w:rPr>
        <w:t>12.  Provider-Specific Notes</w:t>
      </w:r>
    </w:p>
    <w:p w14:paraId="10E2BB66">
      <w:pPr>
        <w:keepNext/>
        <w:spacing w:before="160" w:after="120"/>
      </w:pPr>
      <w:r>
        <w:rPr>
          <w:rFonts w:ascii="Arial" w:hAnsi="Arial" w:eastAsia="Arial" w:cs="Arial"/>
          <w:b/>
          <w:i w:val="0"/>
          <w:color w:val="1B3A5C"/>
          <w:sz w:val="28"/>
        </w:rPr>
        <w:t>12.1  SMS via MSG91</w:t>
      </w:r>
    </w:p>
    <w:p w14:paraId="449715A9">
      <w:pPr>
        <w:spacing w:before="0" w:after="40"/>
        <w:ind w:left="360"/>
      </w:pPr>
      <w:r>
        <w:rPr>
          <w:rFonts w:ascii="Arial" w:hAnsi="Arial" w:eastAsia="Arial" w:cs="Arial"/>
          <w:b/>
          <w:i w:val="0"/>
          <w:color w:val="1B3A5C"/>
          <w:sz w:val="22"/>
        </w:rPr>
        <w:t xml:space="preserve">•  </w:t>
      </w:r>
      <w:r>
        <w:rPr>
          <w:rFonts w:ascii="Arial" w:hAnsi="Arial" w:eastAsia="Arial" w:cs="Arial"/>
          <w:b w:val="0"/>
          <w:i w:val="0"/>
          <w:color w:val="2C3E50"/>
          <w:sz w:val="22"/>
        </w:rPr>
        <w:t>Sender ID: TPolEx (DLT-registered, Promotional + Transactional categories).</w:t>
      </w:r>
    </w:p>
    <w:p w14:paraId="7E749B8D">
      <w:pPr>
        <w:spacing w:before="0" w:after="40"/>
        <w:ind w:left="360"/>
      </w:pPr>
      <w:r>
        <w:rPr>
          <w:rFonts w:ascii="Arial" w:hAnsi="Arial" w:eastAsia="Arial" w:cs="Arial"/>
          <w:b/>
          <w:i w:val="0"/>
          <w:color w:val="1B3A5C"/>
          <w:sz w:val="22"/>
        </w:rPr>
        <w:t xml:space="preserve">•  </w:t>
      </w:r>
      <w:r>
        <w:rPr>
          <w:rFonts w:ascii="Arial" w:hAnsi="Arial" w:eastAsia="Arial" w:cs="Arial"/>
          <w:b w:val="0"/>
          <w:i w:val="0"/>
          <w:color w:val="2C3E50"/>
          <w:sz w:val="22"/>
        </w:rPr>
        <w:t>Endpoint: MSG91 v5 Flow API (https://control.msg91.com/api/v5/flow/).</w:t>
      </w:r>
    </w:p>
    <w:p w14:paraId="07E5F7AB">
      <w:pPr>
        <w:spacing w:before="0" w:after="40"/>
        <w:ind w:left="360"/>
      </w:pPr>
      <w:r>
        <w:rPr>
          <w:rFonts w:ascii="Arial" w:hAnsi="Arial" w:eastAsia="Arial" w:cs="Arial"/>
          <w:b/>
          <w:i w:val="0"/>
          <w:color w:val="1B3A5C"/>
          <w:sz w:val="22"/>
        </w:rPr>
        <w:t xml:space="preserve">•  </w:t>
      </w:r>
      <w:r>
        <w:rPr>
          <w:rFonts w:ascii="Arial" w:hAnsi="Arial" w:eastAsia="Arial" w:cs="Arial"/>
          <w:b w:val="0"/>
          <w:i w:val="0"/>
          <w:color w:val="2C3E50"/>
          <w:sz w:val="22"/>
        </w:rPr>
        <w:t>Templates: every workflow needs its own DLT-approved template (registered with the DLT registry, approved by the operator). The template ID is stored in an env var per trigger; Engineering wires this once.</w:t>
      </w:r>
    </w:p>
    <w:p w14:paraId="3A39957F">
      <w:pPr>
        <w:spacing w:before="0" w:after="40"/>
        <w:ind w:left="360"/>
      </w:pPr>
      <w:r>
        <w:rPr>
          <w:rFonts w:ascii="Arial" w:hAnsi="Arial" w:eastAsia="Arial" w:cs="Arial"/>
          <w:b/>
          <w:i w:val="0"/>
          <w:color w:val="1B3A5C"/>
          <w:sz w:val="22"/>
        </w:rPr>
        <w:t xml:space="preserve">•  </w:t>
      </w:r>
      <w:r>
        <w:rPr>
          <w:rFonts w:ascii="Arial" w:hAnsi="Arial" w:eastAsia="Arial" w:cs="Arial"/>
          <w:b w:val="0"/>
          <w:i w:val="0"/>
          <w:color w:val="2C3E50"/>
          <w:sz w:val="22"/>
        </w:rPr>
        <w:t>Variables: the template uses {#var#} numeric slots; the workflow's vars: { var1, var2, ... } object maps to them. Mismatches cause silent drops at MSG91 — always verify the first send.</w:t>
      </w:r>
    </w:p>
    <w:p w14:paraId="29F4006D">
      <w:pPr>
        <w:spacing w:before="0" w:after="40"/>
        <w:ind w:left="360"/>
      </w:pPr>
      <w:r>
        <w:rPr>
          <w:rFonts w:ascii="Arial" w:hAnsi="Arial" w:eastAsia="Arial" w:cs="Arial"/>
          <w:b/>
          <w:i w:val="0"/>
          <w:color w:val="1B3A5C"/>
          <w:sz w:val="22"/>
        </w:rPr>
        <w:t xml:space="preserve">•  </w:t>
      </w:r>
      <w:r>
        <w:rPr>
          <w:rFonts w:ascii="Arial" w:hAnsi="Arial" w:eastAsia="Arial" w:cs="Arial"/>
          <w:b w:val="0"/>
          <w:i w:val="0"/>
          <w:color w:val="2C3E50"/>
          <w:sz w:val="22"/>
        </w:rPr>
        <w:t>DLT: registration takes 2–24 hours per template; expect rejections for ambiguous wording.</w:t>
      </w:r>
    </w:p>
    <w:p w14:paraId="49B757ED">
      <w:pPr>
        <w:keepNext/>
        <w:spacing w:before="160" w:after="120"/>
      </w:pPr>
      <w:r>
        <w:rPr>
          <w:rFonts w:ascii="Arial" w:hAnsi="Arial" w:eastAsia="Arial" w:cs="Arial"/>
          <w:b/>
          <w:i w:val="0"/>
          <w:color w:val="1B3A5C"/>
          <w:sz w:val="28"/>
        </w:rPr>
        <w:t>12.2  WhatsApp via ICPaaS</w:t>
      </w:r>
    </w:p>
    <w:p w14:paraId="61B36F16">
      <w:pPr>
        <w:spacing w:before="0" w:after="40"/>
        <w:ind w:left="360"/>
      </w:pPr>
      <w:r>
        <w:rPr>
          <w:rFonts w:ascii="Arial" w:hAnsi="Arial" w:eastAsia="Arial" w:cs="Arial"/>
          <w:b/>
          <w:i w:val="0"/>
          <w:color w:val="1B3A5C"/>
          <w:sz w:val="22"/>
        </w:rPr>
        <w:t xml:space="preserve">•  </w:t>
      </w:r>
      <w:r>
        <w:rPr>
          <w:rFonts w:ascii="Arial" w:hAnsi="Arial" w:eastAsia="Arial" w:cs="Arial"/>
          <w:b w:val="0"/>
          <w:i w:val="0"/>
          <w:color w:val="2C3E50"/>
          <w:sz w:val="22"/>
        </w:rPr>
        <w:t>Phone-number ID: 919953061191037 (TPE's Meta-verified WhatsApp Business number).</w:t>
      </w:r>
    </w:p>
    <w:p w14:paraId="6EA27B73">
      <w:pPr>
        <w:spacing w:before="0" w:after="40"/>
        <w:ind w:left="360"/>
      </w:pPr>
      <w:r>
        <w:rPr>
          <w:rFonts w:ascii="Arial" w:hAnsi="Arial" w:eastAsia="Arial" w:cs="Arial"/>
          <w:b/>
          <w:i w:val="0"/>
          <w:color w:val="1B3A5C"/>
          <w:sz w:val="22"/>
        </w:rPr>
        <w:t xml:space="preserve">•  </w:t>
      </w:r>
      <w:r>
        <w:rPr>
          <w:rFonts w:ascii="Arial" w:hAnsi="Arial" w:eastAsia="Arial" w:cs="Arial"/>
          <w:b w:val="0"/>
          <w:i w:val="0"/>
          <w:color w:val="2C3E50"/>
          <w:sz w:val="22"/>
        </w:rPr>
        <w:t>Endpoint: http://www.icpaas.in/v23.0/.../messages with single Bearer auth.</w:t>
      </w:r>
    </w:p>
    <w:p w14:paraId="7FC1E164">
      <w:pPr>
        <w:spacing w:before="0" w:after="40"/>
        <w:ind w:left="360"/>
      </w:pPr>
      <w:r>
        <w:rPr>
          <w:rFonts w:ascii="Arial" w:hAnsi="Arial" w:eastAsia="Arial" w:cs="Arial"/>
          <w:b/>
          <w:i w:val="0"/>
          <w:color w:val="1B3A5C"/>
          <w:sz w:val="22"/>
        </w:rPr>
        <w:t xml:space="preserve">•  </w:t>
      </w:r>
      <w:r>
        <w:rPr>
          <w:rFonts w:ascii="Arial" w:hAnsi="Arial" w:eastAsia="Arial" w:cs="Arial"/>
          <w:b w:val="0"/>
          <w:i w:val="0"/>
          <w:color w:val="2C3E50"/>
          <w:sz w:val="22"/>
        </w:rPr>
        <w:t>Templates: every workflow needs a Meta-approved template (UTILITY category for transactional). Operations submits via Meta Business Manager → ICPaaS BSP → Engineering wires the templateName.</w:t>
      </w:r>
    </w:p>
    <w:p w14:paraId="4914C084">
      <w:pPr>
        <w:spacing w:before="0" w:after="40"/>
        <w:ind w:left="360"/>
      </w:pPr>
      <w:r>
        <w:rPr>
          <w:rFonts w:ascii="Arial" w:hAnsi="Arial" w:eastAsia="Arial" w:cs="Arial"/>
          <w:b/>
          <w:i w:val="0"/>
          <w:color w:val="1B3A5C"/>
          <w:sz w:val="22"/>
        </w:rPr>
        <w:t xml:space="preserve">•  </w:t>
      </w:r>
      <w:r>
        <w:rPr>
          <w:rFonts w:ascii="Arial" w:hAnsi="Arial" w:eastAsia="Arial" w:cs="Arial"/>
          <w:b w:val="0"/>
          <w:i w:val="0"/>
          <w:color w:val="2C3E50"/>
          <w:sz w:val="22"/>
        </w:rPr>
        <w:t>Approval lead time: 24–72 hours. Common rejection reasons: marketing language in UTILITY, missing opt-out, ambiguous variables.</w:t>
      </w:r>
    </w:p>
    <w:p w14:paraId="6DCE785F">
      <w:pPr>
        <w:keepNext/>
        <w:spacing w:before="160" w:after="120"/>
      </w:pPr>
      <w:r>
        <w:rPr>
          <w:rFonts w:ascii="Arial" w:hAnsi="Arial" w:eastAsia="Arial" w:cs="Arial"/>
          <w:b/>
          <w:i w:val="0"/>
          <w:color w:val="1B3A5C"/>
          <w:sz w:val="28"/>
        </w:rPr>
        <w:t>12.3  Email via AWS SES</w:t>
      </w:r>
    </w:p>
    <w:p w14:paraId="4A46E818">
      <w:pPr>
        <w:spacing w:before="0" w:after="40"/>
        <w:ind w:left="360"/>
      </w:pPr>
      <w:r>
        <w:rPr>
          <w:rFonts w:ascii="Arial" w:hAnsi="Arial" w:eastAsia="Arial" w:cs="Arial"/>
          <w:b/>
          <w:i w:val="0"/>
          <w:color w:val="1B3A5C"/>
          <w:sz w:val="22"/>
        </w:rPr>
        <w:t xml:space="preserve">•  </w:t>
      </w:r>
      <w:r>
        <w:rPr>
          <w:rFonts w:ascii="Arial" w:hAnsi="Arial" w:eastAsia="Arial" w:cs="Arial"/>
          <w:b w:val="0"/>
          <w:i w:val="0"/>
          <w:color w:val="2C3E50"/>
          <w:sz w:val="22"/>
        </w:rPr>
        <w:t>Region: ap-south-1 (Mumbai) per Charter §4.1 India-residency rule.</w:t>
      </w:r>
    </w:p>
    <w:p w14:paraId="5054C3DA">
      <w:pPr>
        <w:spacing w:before="0" w:after="40"/>
        <w:ind w:left="360"/>
      </w:pPr>
      <w:r>
        <w:rPr>
          <w:rFonts w:ascii="Arial" w:hAnsi="Arial" w:eastAsia="Arial" w:cs="Arial"/>
          <w:b/>
          <w:i w:val="0"/>
          <w:color w:val="1B3A5C"/>
          <w:sz w:val="22"/>
        </w:rPr>
        <w:t xml:space="preserve">•  </w:t>
      </w:r>
      <w:r>
        <w:rPr>
          <w:rFonts w:ascii="Arial" w:hAnsi="Arial" w:eastAsia="Arial" w:cs="Arial"/>
          <w:b w:val="0"/>
          <w:i w:val="0"/>
          <w:color w:val="2C3E50"/>
          <w:sz w:val="22"/>
        </w:rPr>
        <w:t>Sender: no-reply@thepolicyexchange.com (verified SES identity).</w:t>
      </w:r>
    </w:p>
    <w:p w14:paraId="1FA5F84E">
      <w:pPr>
        <w:spacing w:before="0" w:after="40"/>
        <w:ind w:left="360"/>
      </w:pPr>
      <w:r>
        <w:rPr>
          <w:rFonts w:ascii="Arial" w:hAnsi="Arial" w:eastAsia="Arial" w:cs="Arial"/>
          <w:b/>
          <w:i w:val="0"/>
          <w:color w:val="1B3A5C"/>
          <w:sz w:val="22"/>
        </w:rPr>
        <w:t xml:space="preserve">•  </w:t>
      </w:r>
      <w:r>
        <w:rPr>
          <w:rFonts w:ascii="Arial" w:hAnsi="Arial" w:eastAsia="Arial" w:cs="Arial"/>
          <w:b w:val="0"/>
          <w:i w:val="0"/>
          <w:color w:val="2C3E50"/>
          <w:sz w:val="22"/>
        </w:rPr>
        <w:t>Status: production credentials are not yet provisioned — every email step gracefully skips with reason “SesNotConfigured”. Once Engineering adds the EMAIL_SES_REGION + access keys to the environment, no operator action is required; emails start firing on the next workflow run.</w:t>
      </w:r>
    </w:p>
    <w:p w14:paraId="479FC67C">
      <w:pPr>
        <w:spacing w:before="0" w:after="40"/>
        <w:ind w:left="360"/>
      </w:pPr>
      <w:r>
        <w:rPr>
          <w:rFonts w:ascii="Arial" w:hAnsi="Arial" w:eastAsia="Arial" w:cs="Arial"/>
          <w:b/>
          <w:i w:val="0"/>
          <w:color w:val="1B3A5C"/>
          <w:sz w:val="22"/>
        </w:rPr>
        <w:t xml:space="preserve">•  </w:t>
      </w:r>
      <w:r>
        <w:rPr>
          <w:rFonts w:ascii="Arial" w:hAnsi="Arial" w:eastAsia="Arial" w:cs="Arial"/>
          <w:b w:val="0"/>
          <w:i w:val="0"/>
          <w:color w:val="2C3E50"/>
          <w:sz w:val="22"/>
        </w:rPr>
        <w:t>Ramp-up: SES sandbox limits 200 emails per day until production access is requested.</w:t>
      </w:r>
    </w:p>
    <w:p w14:paraId="756B6C38">
      <w:pPr>
        <w:keepNext/>
        <w:spacing w:before="160" w:after="120"/>
      </w:pPr>
      <w:r>
        <w:rPr>
          <w:rFonts w:ascii="Arial" w:hAnsi="Arial" w:eastAsia="Arial" w:cs="Arial"/>
          <w:b/>
          <w:i w:val="0"/>
          <w:color w:val="1B3A5C"/>
          <w:sz w:val="28"/>
        </w:rPr>
        <w:t>12.4  In-App via Novu Inbox</w:t>
      </w:r>
    </w:p>
    <w:p w14:paraId="56E96397">
      <w:pPr>
        <w:spacing w:before="0" w:after="40"/>
        <w:ind w:left="360"/>
      </w:pPr>
      <w:r>
        <w:rPr>
          <w:rFonts w:ascii="Arial" w:hAnsi="Arial" w:eastAsia="Arial" w:cs="Arial"/>
          <w:b/>
          <w:i w:val="0"/>
          <w:color w:val="1B3A5C"/>
          <w:sz w:val="22"/>
        </w:rPr>
        <w:t xml:space="preserve">•  </w:t>
      </w:r>
      <w:r>
        <w:rPr>
          <w:rFonts w:ascii="Arial" w:hAnsi="Arial" w:eastAsia="Arial" w:cs="Arial"/>
          <w:b w:val="0"/>
          <w:i w:val="0"/>
          <w:color w:val="2C3E50"/>
          <w:sz w:val="22"/>
        </w:rPr>
        <w:t>Always works. No external provider; messages are stored in Novu's own Mongo and rendered by the &lt;Inbox/&gt; widget on the customer-facing portal.</w:t>
      </w:r>
    </w:p>
    <w:p w14:paraId="5CF546DD">
      <w:pPr>
        <w:spacing w:before="0" w:after="40"/>
        <w:ind w:left="360"/>
      </w:pPr>
      <w:r>
        <w:rPr>
          <w:rFonts w:ascii="Arial" w:hAnsi="Arial" w:eastAsia="Arial" w:cs="Arial"/>
          <w:b/>
          <w:i w:val="0"/>
          <w:color w:val="1B3A5C"/>
          <w:sz w:val="22"/>
        </w:rPr>
        <w:t xml:space="preserve">•  </w:t>
      </w:r>
      <w:r>
        <w:rPr>
          <w:rFonts w:ascii="Arial" w:hAnsi="Arial" w:eastAsia="Arial" w:cs="Arial"/>
          <w:b w:val="0"/>
          <w:i w:val="0"/>
          <w:color w:val="2C3E50"/>
          <w:sz w:val="22"/>
        </w:rPr>
        <w:t>Application Identifier (X0pp0lKPr8sb on stage) ties the widget to the dashboard.</w:t>
      </w:r>
    </w:p>
    <w:p w14:paraId="1CBECE29">
      <w:pPr>
        <w:spacing w:before="0" w:after="40"/>
        <w:ind w:left="360"/>
      </w:pPr>
      <w:r>
        <w:rPr>
          <w:rFonts w:ascii="Arial" w:hAnsi="Arial" w:eastAsia="Arial" w:cs="Arial"/>
          <w:b/>
          <w:i w:val="0"/>
          <w:color w:val="1B3A5C"/>
          <w:sz w:val="22"/>
        </w:rPr>
        <w:t xml:space="preserve">•  </w:t>
      </w:r>
      <w:r>
        <w:rPr>
          <w:rFonts w:ascii="Arial" w:hAnsi="Arial" w:eastAsia="Arial" w:cs="Arial"/>
          <w:b w:val="0"/>
          <w:i w:val="0"/>
          <w:color w:val="2C3E50"/>
          <w:sz w:val="22"/>
        </w:rPr>
        <w:t>Ideal first channel for any new workflow — confirms the trigger fired even when external channels are unconfigured.</w:t>
      </w:r>
    </w:p>
    <w:p w14:paraId="5F80A08F">
      <w:r>
        <w:br w:type="page"/>
      </w:r>
    </w:p>
    <w:p w14:paraId="2ABB3282">
      <w:pPr>
        <w:keepNext/>
        <w:spacing w:before="240" w:after="160"/>
      </w:pPr>
      <w:r>
        <w:rPr>
          <w:rFonts w:ascii="Arial" w:hAnsi="Arial" w:eastAsia="Arial" w:cs="Arial"/>
          <w:b/>
          <w:i w:val="0"/>
          <w:color w:val="1B3A5C"/>
          <w:sz w:val="36"/>
        </w:rPr>
        <w:t>13.  Compliance &amp; Operational Constraints</w:t>
      </w:r>
    </w:p>
    <w:p w14:paraId="3550AB5E">
      <w:pPr>
        <w:spacing w:before="0" w:after="80"/>
      </w:pPr>
      <w:r>
        <w:rPr>
          <w:rFonts w:ascii="Arial" w:hAnsi="Arial" w:eastAsia="Arial" w:cs="Arial"/>
          <w:b w:val="0"/>
          <w:i w:val="0"/>
          <w:sz w:val="22"/>
        </w:rPr>
        <w:t>This section summarises the compliance frame the platform operates under. The full controls and audit retention policies are in the Charter §4.8 and the Compliance Constraints memo.</w:t>
      </w:r>
    </w:p>
    <w:p w14:paraId="69E798CC">
      <w:pPr>
        <w:keepNext/>
        <w:spacing w:before="160" w:after="120"/>
      </w:pPr>
      <w:r>
        <w:rPr>
          <w:rFonts w:ascii="Arial" w:hAnsi="Arial" w:eastAsia="Arial" w:cs="Arial"/>
          <w:b/>
          <w:i w:val="0"/>
          <w:color w:val="1B3A5C"/>
          <w:sz w:val="28"/>
        </w:rPr>
        <w:t>13.1  Data residency (DPDPA)</w:t>
      </w:r>
    </w:p>
    <w:p w14:paraId="43B59D50">
      <w:pPr>
        <w:spacing w:before="0" w:after="40"/>
        <w:ind w:left="360"/>
      </w:pPr>
      <w:r>
        <w:rPr>
          <w:rFonts w:ascii="Arial" w:hAnsi="Arial" w:eastAsia="Arial" w:cs="Arial"/>
          <w:b/>
          <w:i w:val="0"/>
          <w:color w:val="1B3A5C"/>
          <w:sz w:val="22"/>
        </w:rPr>
        <w:t xml:space="preserve">•  </w:t>
      </w:r>
      <w:r>
        <w:rPr>
          <w:rFonts w:ascii="Arial" w:hAnsi="Arial" w:eastAsia="Arial" w:cs="Arial"/>
          <w:b w:val="0"/>
          <w:i w:val="0"/>
          <w:color w:val="2C3E50"/>
          <w:sz w:val="22"/>
        </w:rPr>
        <w:t>All primary data stores are in India (Mumbai region — Hosting World Pvt Ltd VPS, AWS ap-south-1).</w:t>
      </w:r>
    </w:p>
    <w:p w14:paraId="46755F90">
      <w:pPr>
        <w:spacing w:before="0" w:after="40"/>
        <w:ind w:left="360"/>
      </w:pPr>
      <w:r>
        <w:rPr>
          <w:rFonts w:ascii="Arial" w:hAnsi="Arial" w:eastAsia="Arial" w:cs="Arial"/>
          <w:b/>
          <w:i w:val="0"/>
          <w:color w:val="1B3A5C"/>
          <w:sz w:val="22"/>
        </w:rPr>
        <w:t xml:space="preserve">•  </w:t>
      </w:r>
      <w:r>
        <w:rPr>
          <w:rFonts w:ascii="Arial" w:hAnsi="Arial" w:eastAsia="Arial" w:cs="Arial"/>
          <w:b w:val="0"/>
          <w:i w:val="0"/>
          <w:color w:val="2C3E50"/>
          <w:sz w:val="22"/>
        </w:rPr>
        <w:t>No Novu Cloud, no US/EU managed services for primary stores. This is a hard rule — never override.</w:t>
      </w:r>
    </w:p>
    <w:p w14:paraId="2DCB8AB0">
      <w:pPr>
        <w:spacing w:before="0" w:after="40"/>
        <w:ind w:left="360"/>
      </w:pPr>
      <w:r>
        <w:rPr>
          <w:rFonts w:ascii="Arial" w:hAnsi="Arial" w:eastAsia="Arial" w:cs="Arial"/>
          <w:b/>
          <w:i w:val="0"/>
          <w:color w:val="1B3A5C"/>
          <w:sz w:val="22"/>
        </w:rPr>
        <w:t xml:space="preserve">•  </w:t>
      </w:r>
      <w:r>
        <w:rPr>
          <w:rFonts w:ascii="Arial" w:hAnsi="Arial" w:eastAsia="Arial" w:cs="Arial"/>
          <w:b w:val="0"/>
          <w:i w:val="0"/>
          <w:color w:val="2C3E50"/>
          <w:sz w:val="22"/>
        </w:rPr>
        <w:t>Cross-border data movement requires Compliance Lead sign-off + a Data Processing Agreement.</w:t>
      </w:r>
    </w:p>
    <w:p w14:paraId="4F70FCDE">
      <w:pPr>
        <w:keepNext/>
        <w:spacing w:before="160" w:after="120"/>
      </w:pPr>
      <w:r>
        <w:rPr>
          <w:rFonts w:ascii="Arial" w:hAnsi="Arial" w:eastAsia="Arial" w:cs="Arial"/>
          <w:b/>
          <w:i w:val="0"/>
          <w:color w:val="1B3A5C"/>
          <w:sz w:val="28"/>
        </w:rPr>
        <w:t>13.2  Quiet hours</w:t>
      </w:r>
    </w:p>
    <w:p w14:paraId="7B3965F6">
      <w:pPr>
        <w:spacing w:before="0" w:after="40"/>
        <w:ind w:left="360"/>
      </w:pPr>
      <w:r>
        <w:rPr>
          <w:rFonts w:ascii="Arial" w:hAnsi="Arial" w:eastAsia="Arial" w:cs="Arial"/>
          <w:b/>
          <w:i w:val="0"/>
          <w:color w:val="1B3A5C"/>
          <w:sz w:val="22"/>
        </w:rPr>
        <w:t xml:space="preserve">•  </w:t>
      </w:r>
      <w:r>
        <w:rPr>
          <w:rFonts w:ascii="Arial" w:hAnsi="Arial" w:eastAsia="Arial" w:cs="Arial"/>
          <w:b w:val="0"/>
          <w:i w:val="0"/>
          <w:color w:val="2C3E50"/>
          <w:sz w:val="22"/>
        </w:rPr>
        <w:t>Default: 21:00–09:00 IST quiet hours suppress non-urgent reminders.</w:t>
      </w:r>
    </w:p>
    <w:p w14:paraId="0B2A4898">
      <w:pPr>
        <w:spacing w:before="0" w:after="40"/>
        <w:ind w:left="360"/>
      </w:pPr>
      <w:r>
        <w:rPr>
          <w:rFonts w:ascii="Arial" w:hAnsi="Arial" w:eastAsia="Arial" w:cs="Arial"/>
          <w:b/>
          <w:i w:val="0"/>
          <w:color w:val="1B3A5C"/>
          <w:sz w:val="22"/>
        </w:rPr>
        <w:t xml:space="preserve">•  </w:t>
      </w:r>
      <w:r>
        <w:rPr>
          <w:rFonts w:ascii="Arial" w:hAnsi="Arial" w:eastAsia="Arial" w:cs="Arial"/>
          <w:b w:val="0"/>
          <w:i w:val="0"/>
          <w:color w:val="2C3E50"/>
          <w:sz w:val="22"/>
        </w:rPr>
        <w:t>OTP, payment-due, and similar urgent triggers bypass quiet hours by design.</w:t>
      </w:r>
    </w:p>
    <w:p w14:paraId="47A054E1">
      <w:pPr>
        <w:spacing w:before="0" w:after="40"/>
        <w:ind w:left="360"/>
      </w:pPr>
      <w:r>
        <w:rPr>
          <w:rFonts w:ascii="Arial" w:hAnsi="Arial" w:eastAsia="Arial" w:cs="Arial"/>
          <w:b/>
          <w:i w:val="0"/>
          <w:color w:val="1B3A5C"/>
          <w:sz w:val="22"/>
        </w:rPr>
        <w:t xml:space="preserve">•  </w:t>
      </w:r>
      <w:r>
        <w:rPr>
          <w:rFonts w:ascii="Arial" w:hAnsi="Arial" w:eastAsia="Arial" w:cs="Arial"/>
          <w:b w:val="0"/>
          <w:i w:val="0"/>
          <w:color w:val="2C3E50"/>
          <w:sz w:val="22"/>
        </w:rPr>
        <w:t>Quiet-hours enforcement is currently a Phase 2 deliverable — workflows are coded to respect the policy but the runtime gate lands when the quiet-hours middleware ships.</w:t>
      </w:r>
    </w:p>
    <w:p w14:paraId="53A7AD5C">
      <w:pPr>
        <w:keepNext/>
        <w:spacing w:before="160" w:after="120"/>
      </w:pPr>
      <w:r>
        <w:rPr>
          <w:rFonts w:ascii="Arial" w:hAnsi="Arial" w:eastAsia="Arial" w:cs="Arial"/>
          <w:b/>
          <w:i w:val="0"/>
          <w:color w:val="1B3A5C"/>
          <w:sz w:val="28"/>
        </w:rPr>
        <w:t>13.3  Audit retention (IRDAI / Income Tax / Insurance Act)</w:t>
      </w:r>
    </w:p>
    <w:p w14:paraId="0DFEB7E2">
      <w:pPr>
        <w:spacing w:before="0" w:after="40"/>
        <w:ind w:left="360"/>
      </w:pPr>
      <w:r>
        <w:rPr>
          <w:rFonts w:ascii="Arial" w:hAnsi="Arial" w:eastAsia="Arial" w:cs="Arial"/>
          <w:b/>
          <w:i w:val="0"/>
          <w:color w:val="1B3A5C"/>
          <w:sz w:val="22"/>
        </w:rPr>
        <w:t xml:space="preserve">•  </w:t>
      </w:r>
      <w:r>
        <w:rPr>
          <w:rFonts w:ascii="Arial" w:hAnsi="Arial" w:eastAsia="Arial" w:cs="Arial"/>
          <w:b w:val="0"/>
          <w:i w:val="0"/>
          <w:color w:val="2C3E50"/>
          <w:sz w:val="22"/>
        </w:rPr>
        <w:t>Per-message audit row retained 12 months hot, 5 years warm, 8 years cold.</w:t>
      </w:r>
    </w:p>
    <w:p w14:paraId="4E3F7583">
      <w:pPr>
        <w:spacing w:before="0" w:after="40"/>
        <w:ind w:left="360"/>
      </w:pPr>
      <w:r>
        <w:rPr>
          <w:rFonts w:ascii="Arial" w:hAnsi="Arial" w:eastAsia="Arial" w:cs="Arial"/>
          <w:b/>
          <w:i w:val="0"/>
          <w:color w:val="1B3A5C"/>
          <w:sz w:val="22"/>
        </w:rPr>
        <w:t xml:space="preserve">•  </w:t>
      </w:r>
      <w:r>
        <w:rPr>
          <w:rFonts w:ascii="Arial" w:hAnsi="Arial" w:eastAsia="Arial" w:cs="Arial"/>
          <w:b w:val="0"/>
          <w:i w:val="0"/>
          <w:color w:val="2C3E50"/>
          <w:sz w:val="22"/>
        </w:rPr>
        <w:t>Subject-access export (a customer asks for their data) returns within 60 seconds — see /admin/history for the operator-facing entry point.</w:t>
      </w:r>
    </w:p>
    <w:p w14:paraId="3AB2E4E1">
      <w:pPr>
        <w:spacing w:before="0" w:after="40"/>
        <w:ind w:left="360"/>
      </w:pPr>
      <w:r>
        <w:rPr>
          <w:rFonts w:ascii="Arial" w:hAnsi="Arial" w:eastAsia="Arial" w:cs="Arial"/>
          <w:b/>
          <w:i w:val="0"/>
          <w:color w:val="1B3A5C"/>
          <w:sz w:val="22"/>
        </w:rPr>
        <w:t xml:space="preserve">•  </w:t>
      </w:r>
      <w:r>
        <w:rPr>
          <w:rFonts w:ascii="Arial" w:hAnsi="Arial" w:eastAsia="Arial" w:cs="Arial"/>
          <w:b w:val="0"/>
          <w:i w:val="0"/>
          <w:color w:val="2C3E50"/>
          <w:sz w:val="22"/>
        </w:rPr>
        <w:t>PII is tokenised in audit rows; no raw email / phone numbers in the audit log.</w:t>
      </w:r>
    </w:p>
    <w:p w14:paraId="752B510D">
      <w:pPr>
        <w:keepNext/>
        <w:spacing w:before="160" w:after="120"/>
      </w:pPr>
      <w:r>
        <w:rPr>
          <w:rFonts w:ascii="Arial" w:hAnsi="Arial" w:eastAsia="Arial" w:cs="Arial"/>
          <w:b/>
          <w:i w:val="0"/>
          <w:color w:val="1B3A5C"/>
          <w:sz w:val="28"/>
        </w:rPr>
        <w:t>13.4  IRDAI message-content policy</w:t>
      </w:r>
    </w:p>
    <w:p w14:paraId="402657B7">
      <w:pPr>
        <w:spacing w:before="0" w:after="40"/>
        <w:ind w:left="360"/>
      </w:pPr>
      <w:r>
        <w:rPr>
          <w:rFonts w:ascii="Arial" w:hAnsi="Arial" w:eastAsia="Arial" w:cs="Arial"/>
          <w:b/>
          <w:i w:val="0"/>
          <w:color w:val="1B3A5C"/>
          <w:sz w:val="22"/>
        </w:rPr>
        <w:t xml:space="preserve">•  </w:t>
      </w:r>
      <w:r>
        <w:rPr>
          <w:rFonts w:ascii="Arial" w:hAnsi="Arial" w:eastAsia="Arial" w:cs="Arial"/>
          <w:b w:val="0"/>
          <w:i w:val="0"/>
          <w:color w:val="2C3E50"/>
          <w:sz w:val="22"/>
        </w:rPr>
        <w:t>Insurance-related communications must include the regulatory disclaimer required by IRDAI for the relevant product category. Marketing must verify each template against the current IRDAI guidance before submission.</w:t>
      </w:r>
    </w:p>
    <w:p w14:paraId="1AB55796">
      <w:pPr>
        <w:spacing w:before="0" w:after="40"/>
        <w:ind w:left="360"/>
      </w:pPr>
      <w:r>
        <w:rPr>
          <w:rFonts w:ascii="Arial" w:hAnsi="Arial" w:eastAsia="Arial" w:cs="Arial"/>
          <w:b/>
          <w:i w:val="0"/>
          <w:color w:val="1B3A5C"/>
          <w:sz w:val="22"/>
        </w:rPr>
        <w:t xml:space="preserve">•  </w:t>
      </w:r>
      <w:r>
        <w:rPr>
          <w:rFonts w:ascii="Arial" w:hAnsi="Arial" w:eastAsia="Arial" w:cs="Arial"/>
          <w:b w:val="0"/>
          <w:i w:val="0"/>
          <w:color w:val="2C3E50"/>
          <w:sz w:val="22"/>
        </w:rPr>
        <w:t>Compliance Lead sign-off is required on every regulatory (REG-*) trigger template body.</w:t>
      </w:r>
    </w:p>
    <w:p w14:paraId="5AE85310">
      <w:pPr>
        <w:keepNext/>
        <w:spacing w:before="160" w:after="120"/>
      </w:pPr>
      <w:r>
        <w:rPr>
          <w:rFonts w:ascii="Arial" w:hAnsi="Arial" w:eastAsia="Arial" w:cs="Arial"/>
          <w:b/>
          <w:i w:val="0"/>
          <w:color w:val="1B3A5C"/>
          <w:sz w:val="28"/>
        </w:rPr>
        <w:t>13.5  Opt-outs</w:t>
      </w:r>
    </w:p>
    <w:p w14:paraId="58410629">
      <w:pPr>
        <w:spacing w:before="0" w:after="40"/>
        <w:ind w:left="360"/>
      </w:pPr>
      <w:r>
        <w:rPr>
          <w:rFonts w:ascii="Arial" w:hAnsi="Arial" w:eastAsia="Arial" w:cs="Arial"/>
          <w:b/>
          <w:i w:val="0"/>
          <w:color w:val="1B3A5C"/>
          <w:sz w:val="22"/>
        </w:rPr>
        <w:t xml:space="preserve">•  </w:t>
      </w:r>
      <w:r>
        <w:rPr>
          <w:rFonts w:ascii="Arial" w:hAnsi="Arial" w:eastAsia="Arial" w:cs="Arial"/>
          <w:b w:val="0"/>
          <w:i w:val="0"/>
          <w:color w:val="2C3E50"/>
          <w:sz w:val="22"/>
        </w:rPr>
        <w:t>Every transactional SMS / WhatsApp / email surface includes the platform-standard opt-out language per provider rules (DLT for SMS, Meta for WhatsApp, SES for email).</w:t>
      </w:r>
    </w:p>
    <w:p w14:paraId="65E2C042">
      <w:pPr>
        <w:spacing w:before="0" w:after="40"/>
        <w:ind w:left="360"/>
      </w:pPr>
      <w:r>
        <w:rPr>
          <w:rFonts w:ascii="Arial" w:hAnsi="Arial" w:eastAsia="Arial" w:cs="Arial"/>
          <w:b/>
          <w:i w:val="0"/>
          <w:color w:val="1B3A5C"/>
          <w:sz w:val="22"/>
        </w:rPr>
        <w:t xml:space="preserve">•  </w:t>
      </w:r>
      <w:r>
        <w:rPr>
          <w:rFonts w:ascii="Arial" w:hAnsi="Arial" w:eastAsia="Arial" w:cs="Arial"/>
          <w:b w:val="0"/>
          <w:i w:val="0"/>
          <w:color w:val="2C3E50"/>
          <w:sz w:val="22"/>
        </w:rPr>
        <w:t>Subscriber-level opt-outs are honoured in dispatch — when a subscriber has opt-out flags set, the channel-step skips with reason “opt-out”.</w:t>
      </w:r>
    </w:p>
    <w:p w14:paraId="659253B8">
      <w:r>
        <w:br w:type="page"/>
      </w:r>
    </w:p>
    <w:p w14:paraId="2AABB6EB">
      <w:pPr>
        <w:keepNext/>
        <w:spacing w:before="240" w:after="160"/>
      </w:pPr>
      <w:r>
        <w:rPr>
          <w:rFonts w:ascii="Arial" w:hAnsi="Arial" w:eastAsia="Arial" w:cs="Arial"/>
          <w:b/>
          <w:i w:val="0"/>
          <w:color w:val="1B3A5C"/>
          <w:sz w:val="36"/>
        </w:rPr>
        <w:t>14.  Troubleshooting &amp; FAQ</w:t>
      </w:r>
    </w:p>
    <w:p w14:paraId="34EE2E26">
      <w:pPr>
        <w:keepNext/>
        <w:spacing w:before="160" w:after="120"/>
      </w:pPr>
      <w:r>
        <w:rPr>
          <w:rFonts w:ascii="Arial" w:hAnsi="Arial" w:eastAsia="Arial" w:cs="Arial"/>
          <w:b/>
          <w:i w:val="0"/>
          <w:color w:val="1B3A5C"/>
          <w:sz w:val="28"/>
        </w:rPr>
        <w:t>14.1  Common questions</w:t>
      </w:r>
    </w:p>
    <w:p w14:paraId="6C4B5153">
      <w:pPr>
        <w:spacing w:before="0" w:after="40"/>
      </w:pPr>
      <w:r>
        <w:rPr>
          <w:rFonts w:ascii="Arial" w:hAnsi="Arial" w:eastAsia="Arial" w:cs="Arial"/>
          <w:b/>
          <w:i w:val="0"/>
          <w:color w:val="1B3A5C"/>
          <w:sz w:val="22"/>
        </w:rPr>
        <w:t>My campaign fired but I see status=skipped on every row.</w:t>
      </w:r>
    </w:p>
    <w:p w14:paraId="37A7FEE8">
      <w:pPr>
        <w:spacing w:before="0" w:after="160"/>
      </w:pPr>
      <w:r>
        <w:rPr>
          <w:rFonts w:ascii="Arial" w:hAnsi="Arial" w:eastAsia="Arial" w:cs="Arial"/>
          <w:b w:val="0"/>
          <w:i w:val="0"/>
          <w:color w:val="2C3E50"/>
          <w:sz w:val="22"/>
        </w:rPr>
        <w:t>Check /admin/channels — at least one channel is unticked. The skip reason in the audit will say “channel ... disabled in /admin/channels”. Re-enable the channel(s) and fire again.</w:t>
      </w:r>
    </w:p>
    <w:p w14:paraId="2CB4AB0C">
      <w:pPr>
        <w:spacing w:before="0" w:after="40"/>
      </w:pPr>
      <w:r>
        <w:rPr>
          <w:rFonts w:ascii="Arial" w:hAnsi="Arial" w:eastAsia="Arial" w:cs="Arial"/>
          <w:b/>
          <w:i w:val="0"/>
          <w:color w:val="1B3A5C"/>
          <w:sz w:val="22"/>
        </w:rPr>
        <w:t>Email steps say SesNotConfigured.</w:t>
      </w:r>
    </w:p>
    <w:p w14:paraId="58161E2B">
      <w:pPr>
        <w:spacing w:before="0" w:after="160"/>
      </w:pPr>
      <w:r>
        <w:rPr>
          <w:rFonts w:ascii="Arial" w:hAnsi="Arial" w:eastAsia="Arial" w:cs="Arial"/>
          <w:b w:val="0"/>
          <w:i w:val="0"/>
          <w:color w:val="2C3E50"/>
          <w:sz w:val="22"/>
        </w:rPr>
        <w:t>AWS SES credentials are not yet provisioned for this environment. Open a ticket with Engineering. No operator action needed once Engineering adds the env vars — the next fire will pick up the new credentials.</w:t>
      </w:r>
    </w:p>
    <w:p w14:paraId="64831FD4">
      <w:pPr>
        <w:spacing w:before="0" w:after="40"/>
      </w:pPr>
      <w:r>
        <w:rPr>
          <w:rFonts w:ascii="Arial" w:hAnsi="Arial" w:eastAsia="Arial" w:cs="Arial"/>
          <w:b/>
          <w:i w:val="0"/>
          <w:color w:val="1B3A5C"/>
          <w:sz w:val="22"/>
        </w:rPr>
        <w:t>My campaign matched 0 rows.</w:t>
      </w:r>
    </w:p>
    <w:p w14:paraId="14EEACE6">
      <w:pPr>
        <w:spacing w:before="0" w:after="160"/>
      </w:pPr>
      <w:r>
        <w:rPr>
          <w:rFonts w:ascii="Arial" w:hAnsi="Arial" w:eastAsia="Arial" w:cs="Arial"/>
          <w:b w:val="0"/>
          <w:i w:val="0"/>
          <w:color w:val="2C3E50"/>
          <w:sz w:val="22"/>
        </w:rPr>
        <w:t>Open the SQL preview card on /admin/campaigns/new and inspect the WHERE clause. Common pitfalls: case-sensitivity (POLICY_NUMBER ≠ policy_number), leading/trailing spaces in IDs, NULL values that ILIKE doesn't match. Use IS NULL / IS NOT NULL filters explicitly.</w:t>
      </w:r>
    </w:p>
    <w:p w14:paraId="75366E26">
      <w:pPr>
        <w:spacing w:before="0" w:after="40"/>
      </w:pPr>
      <w:r>
        <w:rPr>
          <w:rFonts w:ascii="Arial" w:hAnsi="Arial" w:eastAsia="Arial" w:cs="Arial"/>
          <w:b/>
          <w:i w:val="0"/>
          <w:color w:val="1B3A5C"/>
          <w:sz w:val="22"/>
        </w:rPr>
        <w:t>The dashboard shows “Workflows deployed: 0”.</w:t>
      </w:r>
    </w:p>
    <w:p w14:paraId="261599CD">
      <w:pPr>
        <w:spacing w:before="0" w:after="160"/>
      </w:pPr>
      <w:r>
        <w:rPr>
          <w:rFonts w:ascii="Arial" w:hAnsi="Arial" w:eastAsia="Arial" w:cs="Arial"/>
          <w:b w:val="0"/>
          <w:i w:val="0"/>
          <w:color w:val="2C3E50"/>
          <w:sz w:val="22"/>
        </w:rPr>
        <w:t>There are no Active workflows. Either author one in the Novu Dashboard or activate an existing one. The TPE Admin Console only sees Active workflows.</w:t>
      </w:r>
    </w:p>
    <w:p w14:paraId="1C3236EA">
      <w:pPr>
        <w:spacing w:before="0" w:after="40"/>
      </w:pPr>
      <w:r>
        <w:rPr>
          <w:rFonts w:ascii="Arial" w:hAnsi="Arial" w:eastAsia="Arial" w:cs="Arial"/>
          <w:b/>
          <w:i w:val="0"/>
          <w:color w:val="1B3A5C"/>
          <w:sz w:val="22"/>
        </w:rPr>
        <w:t>How do I add another operator?</w:t>
      </w:r>
    </w:p>
    <w:p w14:paraId="4397897F">
      <w:pPr>
        <w:spacing w:before="0" w:after="160"/>
      </w:pPr>
      <w:r>
        <w:rPr>
          <w:rFonts w:ascii="Arial" w:hAnsi="Arial" w:eastAsia="Arial" w:cs="Arial"/>
          <w:b w:val="0"/>
          <w:i w:val="0"/>
          <w:color w:val="2C3E50"/>
          <w:sz w:val="22"/>
        </w:rPr>
        <w:t>TPE Admin: there is no per-user account in this MVP — everyone shares the operator password. To rotate, ask Engineering to update the TPE_ADMIN_PASSWORD environment variable. Novu Dashboard: ask Engineering to create the user via the Novu API or the dashboard's user-invite flow if enabled.</w:t>
      </w:r>
    </w:p>
    <w:p w14:paraId="1E97AC8A">
      <w:pPr>
        <w:spacing w:before="0" w:after="40"/>
      </w:pPr>
      <w:r>
        <w:rPr>
          <w:rFonts w:ascii="Arial" w:hAnsi="Arial" w:eastAsia="Arial" w:cs="Arial"/>
          <w:b/>
          <w:i w:val="0"/>
          <w:color w:val="1B3A5C"/>
          <w:sz w:val="22"/>
        </w:rPr>
        <w:t>My session keeps expiring.</w:t>
      </w:r>
    </w:p>
    <w:p w14:paraId="66F419EC">
      <w:pPr>
        <w:spacing w:before="0" w:after="160"/>
      </w:pPr>
      <w:r>
        <w:rPr>
          <w:rFonts w:ascii="Arial" w:hAnsi="Arial" w:eastAsia="Arial" w:cs="Arial"/>
          <w:b w:val="0"/>
          <w:i w:val="0"/>
          <w:color w:val="2C3E50"/>
          <w:sz w:val="22"/>
        </w:rPr>
        <w:t>TPE Admin sessions are 12 hours. After that, sign in again. Note: rotating the operator password invalidates every active session.</w:t>
      </w:r>
    </w:p>
    <w:p w14:paraId="785A0B66">
      <w:pPr>
        <w:spacing w:before="0" w:after="40"/>
      </w:pPr>
      <w:r>
        <w:rPr>
          <w:rFonts w:ascii="Arial" w:hAnsi="Arial" w:eastAsia="Arial" w:cs="Arial"/>
          <w:b/>
          <w:i w:val="0"/>
          <w:color w:val="1B3A5C"/>
          <w:sz w:val="22"/>
        </w:rPr>
        <w:t>Can I edit a workflow after publishing?</w:t>
      </w:r>
    </w:p>
    <w:p w14:paraId="22733C5B">
      <w:pPr>
        <w:spacing w:before="0" w:after="160"/>
      </w:pPr>
      <w:r>
        <w:rPr>
          <w:rFonts w:ascii="Arial" w:hAnsi="Arial" w:eastAsia="Arial" w:cs="Arial"/>
          <w:b w:val="0"/>
          <w:i w:val="0"/>
          <w:color w:val="2C3E50"/>
          <w:sz w:val="22"/>
        </w:rPr>
        <w:t>Yes — open the workflow in the Novu Dashboard, edit, save. The change takes effect on the next trigger. (Novu CE 3.x adds an explicit Publish-changes step; on the current 2.3.0 stage edits go live immediately.)</w:t>
      </w:r>
    </w:p>
    <w:p w14:paraId="3A8007D4">
      <w:pPr>
        <w:spacing w:before="0" w:after="40"/>
      </w:pPr>
      <w:r>
        <w:rPr>
          <w:rFonts w:ascii="Arial" w:hAnsi="Arial" w:eastAsia="Arial" w:cs="Arial"/>
          <w:b/>
          <w:i w:val="0"/>
          <w:color w:val="1B3A5C"/>
          <w:sz w:val="22"/>
        </w:rPr>
        <w:t>How do I send a test message to myself?</w:t>
      </w:r>
    </w:p>
    <w:p w14:paraId="56637C16">
      <w:pPr>
        <w:spacing w:before="0" w:after="160"/>
      </w:pPr>
      <w:r>
        <w:rPr>
          <w:rFonts w:ascii="Arial" w:hAnsi="Arial" w:eastAsia="Arial" w:cs="Arial"/>
          <w:b w:val="0"/>
          <w:i w:val="0"/>
          <w:color w:val="2C3E50"/>
          <w:sz w:val="22"/>
        </w:rPr>
        <w:t>Add yourself as a subscriber in the Novu Dashboard (Subscribers → + Add Subscriber). Then on /admin/schedules schedule a trigger to your subscriberId for ~2 minutes in the future. Or fire via the API directly using the curl snippet in this guide.</w:t>
      </w:r>
    </w:p>
    <w:p w14:paraId="76CE2CC6">
      <w:pPr>
        <w:spacing w:before="0" w:after="40"/>
      </w:pPr>
      <w:r>
        <w:rPr>
          <w:rFonts w:ascii="Arial" w:hAnsi="Arial" w:eastAsia="Arial" w:cs="Arial"/>
          <w:b/>
          <w:i w:val="0"/>
          <w:color w:val="1B3A5C"/>
          <w:sz w:val="22"/>
        </w:rPr>
        <w:t>Why are some workflows using SMS without an MSG91 template?</w:t>
      </w:r>
    </w:p>
    <w:p w14:paraId="071A608D">
      <w:pPr>
        <w:spacing w:before="0" w:after="160"/>
      </w:pPr>
      <w:r>
        <w:rPr>
          <w:rFonts w:ascii="Arial" w:hAnsi="Arial" w:eastAsia="Arial" w:cs="Arial"/>
          <w:b w:val="0"/>
          <w:i w:val="0"/>
          <w:color w:val="2C3E50"/>
          <w:sz w:val="22"/>
        </w:rPr>
        <w:t>Stage Dev workflows fall back to MSG91_OTP_TEMPLATE_ID when no per-trigger template is registered. This is intentional for testing; in Production every trigger has its own DLT-registered template.</w:t>
      </w:r>
    </w:p>
    <w:p w14:paraId="71BCDFE9">
      <w:pPr>
        <w:keepNext/>
        <w:spacing w:before="160" w:after="120"/>
      </w:pPr>
      <w:r>
        <w:rPr>
          <w:rFonts w:ascii="Arial" w:hAnsi="Arial" w:eastAsia="Arial" w:cs="Arial"/>
          <w:b/>
          <w:i w:val="0"/>
          <w:color w:val="1B3A5C"/>
          <w:sz w:val="28"/>
        </w:rPr>
        <w:t>14.2  Escalation</w:t>
      </w:r>
    </w:p>
    <w:tbl>
      <w:tblPr>
        <w:tblStyle w:val="12"/>
        <w:tblW w:w="0" w:type="auto"/>
        <w:tblInd w:w="0" w:type="dxa"/>
        <w:tblLayout w:type="fixed"/>
        <w:tblCellMar>
          <w:top w:w="0" w:type="dxa"/>
          <w:left w:w="108" w:type="dxa"/>
          <w:bottom w:w="0" w:type="dxa"/>
          <w:right w:w="108" w:type="dxa"/>
        </w:tblCellMar>
      </w:tblPr>
      <w:tblGrid>
        <w:gridCol w:w="1008"/>
        <w:gridCol w:w="3168"/>
        <w:gridCol w:w="3168"/>
        <w:gridCol w:w="2016"/>
      </w:tblGrid>
      <w:tr w14:paraId="6BCFA139">
        <w:tc>
          <w:tcPr>
            <w:tcW w:w="1008" w:type="dxa"/>
            <w:tcBorders>
              <w:top w:val="single" w:color="FFFFFF" w:sz="4" w:space="0"/>
              <w:left w:val="single" w:color="FFFFFF" w:sz="4" w:space="0"/>
              <w:bottom w:val="single" w:color="FFFFFF" w:sz="4" w:space="0"/>
              <w:right w:val="single" w:color="FFFFFF" w:sz="4" w:space="0"/>
            </w:tcBorders>
            <w:shd w:val="clear" w:color="auto" w:fill="1B3A5C"/>
            <w:vAlign w:val="center"/>
          </w:tcPr>
          <w:p w14:paraId="3568AD56">
            <w:pPr>
              <w:spacing w:before="40" w:after="40"/>
            </w:pPr>
            <w:r>
              <w:rPr>
                <w:rFonts w:ascii="Arial" w:hAnsi="Arial" w:eastAsia="Arial" w:cs="Arial"/>
                <w:b/>
                <w:i w:val="0"/>
                <w:color w:val="FFFFFF"/>
                <w:sz w:val="20"/>
              </w:rPr>
              <w:t>Severity</w:t>
            </w:r>
          </w:p>
        </w:tc>
        <w:tc>
          <w:tcPr>
            <w:tcW w:w="3168" w:type="dxa"/>
            <w:tcBorders>
              <w:top w:val="single" w:color="FFFFFF" w:sz="4" w:space="0"/>
              <w:left w:val="single" w:color="FFFFFF" w:sz="4" w:space="0"/>
              <w:bottom w:val="single" w:color="FFFFFF" w:sz="4" w:space="0"/>
              <w:right w:val="single" w:color="FFFFFF" w:sz="4" w:space="0"/>
            </w:tcBorders>
            <w:shd w:val="clear" w:color="auto" w:fill="1B3A5C"/>
            <w:vAlign w:val="center"/>
          </w:tcPr>
          <w:p w14:paraId="48000B66">
            <w:pPr>
              <w:spacing w:before="40" w:after="40"/>
            </w:pPr>
            <w:r>
              <w:rPr>
                <w:rFonts w:ascii="Arial" w:hAnsi="Arial" w:eastAsia="Arial" w:cs="Arial"/>
                <w:b/>
                <w:i w:val="0"/>
                <w:color w:val="FFFFFF"/>
                <w:sz w:val="20"/>
              </w:rPr>
              <w:t>When</w:t>
            </w:r>
          </w:p>
        </w:tc>
        <w:tc>
          <w:tcPr>
            <w:tcW w:w="3168" w:type="dxa"/>
            <w:tcBorders>
              <w:top w:val="single" w:color="FFFFFF" w:sz="4" w:space="0"/>
              <w:left w:val="single" w:color="FFFFFF" w:sz="4" w:space="0"/>
              <w:bottom w:val="single" w:color="FFFFFF" w:sz="4" w:space="0"/>
              <w:right w:val="single" w:color="FFFFFF" w:sz="4" w:space="0"/>
            </w:tcBorders>
            <w:shd w:val="clear" w:color="auto" w:fill="1B3A5C"/>
            <w:vAlign w:val="center"/>
          </w:tcPr>
          <w:p w14:paraId="07CDD794">
            <w:pPr>
              <w:spacing w:before="40" w:after="40"/>
            </w:pPr>
            <w:r>
              <w:rPr>
                <w:rFonts w:ascii="Arial" w:hAnsi="Arial" w:eastAsia="Arial" w:cs="Arial"/>
                <w:b/>
                <w:i w:val="0"/>
                <w:color w:val="FFFFFF"/>
                <w:sz w:val="20"/>
              </w:rPr>
              <w:t>Who to call</w:t>
            </w:r>
          </w:p>
        </w:tc>
        <w:tc>
          <w:tcPr>
            <w:tcW w:w="2016" w:type="dxa"/>
            <w:tcBorders>
              <w:top w:val="single" w:color="FFFFFF" w:sz="4" w:space="0"/>
              <w:left w:val="single" w:color="FFFFFF" w:sz="4" w:space="0"/>
              <w:bottom w:val="single" w:color="FFFFFF" w:sz="4" w:space="0"/>
              <w:right w:val="single" w:color="FFFFFF" w:sz="4" w:space="0"/>
            </w:tcBorders>
            <w:shd w:val="clear" w:color="auto" w:fill="1B3A5C"/>
            <w:vAlign w:val="center"/>
          </w:tcPr>
          <w:p w14:paraId="46FF4D2E">
            <w:pPr>
              <w:spacing w:before="40" w:after="40"/>
            </w:pPr>
            <w:r>
              <w:rPr>
                <w:rFonts w:ascii="Arial" w:hAnsi="Arial" w:eastAsia="Arial" w:cs="Arial"/>
                <w:b/>
                <w:i w:val="0"/>
                <w:color w:val="FFFFFF"/>
                <w:sz w:val="20"/>
              </w:rPr>
              <w:t>How fast</w:t>
            </w:r>
          </w:p>
        </w:tc>
      </w:tr>
      <w:tr w14:paraId="0A1C7498">
        <w:tc>
          <w:tcPr>
            <w:tcW w:w="1008" w:type="dxa"/>
            <w:tcBorders>
              <w:top w:val="single" w:color="DDDDDD" w:sz="4" w:space="0"/>
              <w:left w:val="single" w:color="DDDDDD" w:sz="4" w:space="0"/>
              <w:bottom w:val="single" w:color="DDDDDD" w:sz="4" w:space="0"/>
              <w:right w:val="single" w:color="DDDDDD" w:sz="4" w:space="0"/>
            </w:tcBorders>
            <w:vAlign w:val="top"/>
          </w:tcPr>
          <w:p w14:paraId="458EAD6E">
            <w:pPr>
              <w:spacing w:before="40" w:after="40"/>
            </w:pPr>
            <w:r>
              <w:rPr>
                <w:rFonts w:ascii="Arial" w:hAnsi="Arial" w:eastAsia="Arial" w:cs="Arial"/>
                <w:b w:val="0"/>
                <w:i w:val="0"/>
                <w:color w:val="2C3E50"/>
                <w:sz w:val="20"/>
              </w:rPr>
              <w:t>● Sev-1</w:t>
            </w:r>
          </w:p>
        </w:tc>
        <w:tc>
          <w:tcPr>
            <w:tcW w:w="3168" w:type="dxa"/>
            <w:tcBorders>
              <w:top w:val="single" w:color="DDDDDD" w:sz="4" w:space="0"/>
              <w:left w:val="single" w:color="DDDDDD" w:sz="4" w:space="0"/>
              <w:bottom w:val="single" w:color="DDDDDD" w:sz="4" w:space="0"/>
              <w:right w:val="single" w:color="DDDDDD" w:sz="4" w:space="0"/>
            </w:tcBorders>
            <w:vAlign w:val="top"/>
          </w:tcPr>
          <w:p w14:paraId="6469DB41">
            <w:pPr>
              <w:spacing w:before="40" w:after="40"/>
            </w:pPr>
            <w:r>
              <w:rPr>
                <w:rFonts w:ascii="Arial" w:hAnsi="Arial" w:eastAsia="Arial" w:cs="Arial"/>
                <w:b w:val="0"/>
                <w:i w:val="0"/>
                <w:color w:val="2C3E50"/>
                <w:sz w:val="20"/>
              </w:rPr>
              <w:t>Live customer-facing outage (no notifications fire at all)</w:t>
            </w:r>
          </w:p>
        </w:tc>
        <w:tc>
          <w:tcPr>
            <w:tcW w:w="3168" w:type="dxa"/>
            <w:tcBorders>
              <w:top w:val="single" w:color="DDDDDD" w:sz="4" w:space="0"/>
              <w:left w:val="single" w:color="DDDDDD" w:sz="4" w:space="0"/>
              <w:bottom w:val="single" w:color="DDDDDD" w:sz="4" w:space="0"/>
              <w:right w:val="single" w:color="DDDDDD" w:sz="4" w:space="0"/>
            </w:tcBorders>
            <w:vAlign w:val="top"/>
          </w:tcPr>
          <w:p w14:paraId="5DDAF32B">
            <w:pPr>
              <w:spacing w:before="40" w:after="40"/>
            </w:pPr>
            <w:r>
              <w:rPr>
                <w:rFonts w:ascii="Arial" w:hAnsi="Arial" w:eastAsia="Arial" w:cs="Arial"/>
                <w:b w:val="0"/>
                <w:i w:val="0"/>
                <w:color w:val="2C3E50"/>
                <w:sz w:val="20"/>
              </w:rPr>
              <w:t>Engineering on-call (PagerDuty or Slack #tpe-comms-oncall)</w:t>
            </w:r>
          </w:p>
        </w:tc>
        <w:tc>
          <w:tcPr>
            <w:tcW w:w="2016" w:type="dxa"/>
            <w:tcBorders>
              <w:top w:val="single" w:color="DDDDDD" w:sz="4" w:space="0"/>
              <w:left w:val="single" w:color="DDDDDD" w:sz="4" w:space="0"/>
              <w:bottom w:val="single" w:color="DDDDDD" w:sz="4" w:space="0"/>
              <w:right w:val="single" w:color="DDDDDD" w:sz="4" w:space="0"/>
            </w:tcBorders>
            <w:vAlign w:val="top"/>
          </w:tcPr>
          <w:p w14:paraId="3F4658FC">
            <w:pPr>
              <w:spacing w:before="40" w:after="40"/>
            </w:pPr>
            <w:r>
              <w:rPr>
                <w:rFonts w:ascii="Arial" w:hAnsi="Arial" w:eastAsia="Arial" w:cs="Arial"/>
                <w:b w:val="0"/>
                <w:i w:val="0"/>
                <w:color w:val="2C3E50"/>
                <w:sz w:val="20"/>
              </w:rPr>
              <w:t>Immediate</w:t>
            </w:r>
          </w:p>
        </w:tc>
      </w:tr>
      <w:tr w14:paraId="6E30AD12">
        <w:tc>
          <w:tcPr>
            <w:tcW w:w="1008" w:type="dxa"/>
            <w:tcBorders>
              <w:top w:val="single" w:color="DDDDDD" w:sz="4" w:space="0"/>
              <w:left w:val="single" w:color="DDDDDD" w:sz="4" w:space="0"/>
              <w:bottom w:val="single" w:color="DDDDDD" w:sz="4" w:space="0"/>
              <w:right w:val="single" w:color="DDDDDD" w:sz="4" w:space="0"/>
            </w:tcBorders>
            <w:shd w:val="clear" w:color="auto" w:fill="F8F9FA"/>
            <w:vAlign w:val="top"/>
          </w:tcPr>
          <w:p w14:paraId="01554E66">
            <w:pPr>
              <w:spacing w:before="40" w:after="40"/>
            </w:pPr>
            <w:r>
              <w:rPr>
                <w:rFonts w:ascii="Arial" w:hAnsi="Arial" w:eastAsia="Arial" w:cs="Arial"/>
                <w:b w:val="0"/>
                <w:i w:val="0"/>
                <w:color w:val="2C3E50"/>
                <w:sz w:val="20"/>
              </w:rPr>
              <w:t>● Sev-2</w:t>
            </w:r>
          </w:p>
        </w:tc>
        <w:tc>
          <w:tcPr>
            <w:tcW w:w="3168" w:type="dxa"/>
            <w:tcBorders>
              <w:top w:val="single" w:color="DDDDDD" w:sz="4" w:space="0"/>
              <w:left w:val="single" w:color="DDDDDD" w:sz="4" w:space="0"/>
              <w:bottom w:val="single" w:color="DDDDDD" w:sz="4" w:space="0"/>
              <w:right w:val="single" w:color="DDDDDD" w:sz="4" w:space="0"/>
            </w:tcBorders>
            <w:shd w:val="clear" w:color="auto" w:fill="F8F9FA"/>
            <w:vAlign w:val="top"/>
          </w:tcPr>
          <w:p w14:paraId="7D59FEDB">
            <w:pPr>
              <w:spacing w:before="40" w:after="40"/>
            </w:pPr>
            <w:r>
              <w:rPr>
                <w:rFonts w:ascii="Arial" w:hAnsi="Arial" w:eastAsia="Arial" w:cs="Arial"/>
                <w:b w:val="0"/>
                <w:i w:val="0"/>
                <w:color w:val="2C3E50"/>
                <w:sz w:val="20"/>
              </w:rPr>
              <w:t>Single channel down (e.g. SMS via MSG91 broken; others fine)</w:t>
            </w:r>
          </w:p>
        </w:tc>
        <w:tc>
          <w:tcPr>
            <w:tcW w:w="3168" w:type="dxa"/>
            <w:tcBorders>
              <w:top w:val="single" w:color="DDDDDD" w:sz="4" w:space="0"/>
              <w:left w:val="single" w:color="DDDDDD" w:sz="4" w:space="0"/>
              <w:bottom w:val="single" w:color="DDDDDD" w:sz="4" w:space="0"/>
              <w:right w:val="single" w:color="DDDDDD" w:sz="4" w:space="0"/>
            </w:tcBorders>
            <w:shd w:val="clear" w:color="auto" w:fill="F8F9FA"/>
            <w:vAlign w:val="top"/>
          </w:tcPr>
          <w:p w14:paraId="1E4046EB">
            <w:pPr>
              <w:spacing w:before="40" w:after="40"/>
            </w:pPr>
            <w:r>
              <w:rPr>
                <w:rFonts w:ascii="Arial" w:hAnsi="Arial" w:eastAsia="Arial" w:cs="Arial"/>
                <w:b w:val="0"/>
                <w:i w:val="0"/>
                <w:color w:val="2C3E50"/>
                <w:sz w:val="20"/>
              </w:rPr>
              <w:t>Engineering Lead via Slack</w:t>
            </w:r>
          </w:p>
        </w:tc>
        <w:tc>
          <w:tcPr>
            <w:tcW w:w="2016" w:type="dxa"/>
            <w:tcBorders>
              <w:top w:val="single" w:color="DDDDDD" w:sz="4" w:space="0"/>
              <w:left w:val="single" w:color="DDDDDD" w:sz="4" w:space="0"/>
              <w:bottom w:val="single" w:color="DDDDDD" w:sz="4" w:space="0"/>
              <w:right w:val="single" w:color="DDDDDD" w:sz="4" w:space="0"/>
            </w:tcBorders>
            <w:shd w:val="clear" w:color="auto" w:fill="F8F9FA"/>
            <w:vAlign w:val="top"/>
          </w:tcPr>
          <w:p w14:paraId="6059E7B9">
            <w:pPr>
              <w:spacing w:before="40" w:after="40"/>
            </w:pPr>
            <w:r>
              <w:rPr>
                <w:rFonts w:ascii="Arial" w:hAnsi="Arial" w:eastAsia="Arial" w:cs="Arial"/>
                <w:b w:val="0"/>
                <w:i w:val="0"/>
                <w:color w:val="2C3E50"/>
                <w:sz w:val="20"/>
              </w:rPr>
              <w:t>Within 30 minutes</w:t>
            </w:r>
          </w:p>
        </w:tc>
      </w:tr>
      <w:tr w14:paraId="2C60E7D8">
        <w:tc>
          <w:tcPr>
            <w:tcW w:w="1008" w:type="dxa"/>
            <w:tcBorders>
              <w:top w:val="single" w:color="DDDDDD" w:sz="4" w:space="0"/>
              <w:left w:val="single" w:color="DDDDDD" w:sz="4" w:space="0"/>
              <w:bottom w:val="single" w:color="DDDDDD" w:sz="4" w:space="0"/>
              <w:right w:val="single" w:color="DDDDDD" w:sz="4" w:space="0"/>
            </w:tcBorders>
            <w:vAlign w:val="top"/>
          </w:tcPr>
          <w:p w14:paraId="4DCA0A44">
            <w:pPr>
              <w:spacing w:before="40" w:after="40"/>
            </w:pPr>
            <w:r>
              <w:rPr>
                <w:rFonts w:ascii="Arial" w:hAnsi="Arial" w:eastAsia="Arial" w:cs="Arial"/>
                <w:b w:val="0"/>
                <w:i w:val="0"/>
                <w:color w:val="2C3E50"/>
                <w:sz w:val="20"/>
              </w:rPr>
              <w:t>● Sev-3</w:t>
            </w:r>
          </w:p>
        </w:tc>
        <w:tc>
          <w:tcPr>
            <w:tcW w:w="3168" w:type="dxa"/>
            <w:tcBorders>
              <w:top w:val="single" w:color="DDDDDD" w:sz="4" w:space="0"/>
              <w:left w:val="single" w:color="DDDDDD" w:sz="4" w:space="0"/>
              <w:bottom w:val="single" w:color="DDDDDD" w:sz="4" w:space="0"/>
              <w:right w:val="single" w:color="DDDDDD" w:sz="4" w:space="0"/>
            </w:tcBorders>
            <w:vAlign w:val="top"/>
          </w:tcPr>
          <w:p w14:paraId="42DBFA37">
            <w:pPr>
              <w:spacing w:before="40" w:after="40"/>
            </w:pPr>
            <w:r>
              <w:rPr>
                <w:rFonts w:ascii="Arial" w:hAnsi="Arial" w:eastAsia="Arial" w:cs="Arial"/>
                <w:b w:val="0"/>
                <w:i w:val="0"/>
                <w:color w:val="2C3E50"/>
                <w:sz w:val="20"/>
              </w:rPr>
              <w:t>Bug in admin console UI, missing data in /admin/history</w:t>
            </w:r>
          </w:p>
        </w:tc>
        <w:tc>
          <w:tcPr>
            <w:tcW w:w="3168" w:type="dxa"/>
            <w:tcBorders>
              <w:top w:val="single" w:color="DDDDDD" w:sz="4" w:space="0"/>
              <w:left w:val="single" w:color="DDDDDD" w:sz="4" w:space="0"/>
              <w:bottom w:val="single" w:color="DDDDDD" w:sz="4" w:space="0"/>
              <w:right w:val="single" w:color="DDDDDD" w:sz="4" w:space="0"/>
            </w:tcBorders>
            <w:vAlign w:val="top"/>
          </w:tcPr>
          <w:p w14:paraId="2144D591">
            <w:pPr>
              <w:spacing w:before="40" w:after="40"/>
            </w:pPr>
            <w:r>
              <w:rPr>
                <w:rFonts w:ascii="Arial" w:hAnsi="Arial" w:eastAsia="Arial" w:cs="Arial"/>
                <w:b w:val="0"/>
                <w:i w:val="0"/>
                <w:color w:val="2C3E50"/>
                <w:sz w:val="20"/>
              </w:rPr>
              <w:t>File a ticket; tag Engineering</w:t>
            </w:r>
          </w:p>
        </w:tc>
        <w:tc>
          <w:tcPr>
            <w:tcW w:w="2016" w:type="dxa"/>
            <w:tcBorders>
              <w:top w:val="single" w:color="DDDDDD" w:sz="4" w:space="0"/>
              <w:left w:val="single" w:color="DDDDDD" w:sz="4" w:space="0"/>
              <w:bottom w:val="single" w:color="DDDDDD" w:sz="4" w:space="0"/>
              <w:right w:val="single" w:color="DDDDDD" w:sz="4" w:space="0"/>
            </w:tcBorders>
            <w:vAlign w:val="top"/>
          </w:tcPr>
          <w:p w14:paraId="0053FB6F">
            <w:pPr>
              <w:spacing w:before="40" w:after="40"/>
            </w:pPr>
            <w:r>
              <w:rPr>
                <w:rFonts w:ascii="Arial" w:hAnsi="Arial" w:eastAsia="Arial" w:cs="Arial"/>
                <w:b w:val="0"/>
                <w:i w:val="0"/>
                <w:color w:val="2C3E50"/>
                <w:sz w:val="20"/>
              </w:rPr>
              <w:t>Next business day</w:t>
            </w:r>
          </w:p>
        </w:tc>
      </w:tr>
      <w:tr w14:paraId="70940B35">
        <w:tc>
          <w:tcPr>
            <w:tcW w:w="1008" w:type="dxa"/>
            <w:tcBorders>
              <w:top w:val="single" w:color="DDDDDD" w:sz="4" w:space="0"/>
              <w:left w:val="single" w:color="DDDDDD" w:sz="4" w:space="0"/>
              <w:bottom w:val="single" w:color="DDDDDD" w:sz="4" w:space="0"/>
              <w:right w:val="single" w:color="DDDDDD" w:sz="4" w:space="0"/>
            </w:tcBorders>
            <w:shd w:val="clear" w:color="auto" w:fill="F8F9FA"/>
            <w:vAlign w:val="top"/>
          </w:tcPr>
          <w:p w14:paraId="7F021348">
            <w:pPr>
              <w:spacing w:before="40" w:after="40"/>
            </w:pPr>
            <w:r>
              <w:rPr>
                <w:rFonts w:ascii="Arial" w:hAnsi="Arial" w:eastAsia="Arial" w:cs="Arial"/>
                <w:b w:val="0"/>
                <w:i w:val="0"/>
                <w:color w:val="2C3E50"/>
                <w:sz w:val="20"/>
              </w:rPr>
              <w:t>● Sev-4</w:t>
            </w:r>
          </w:p>
        </w:tc>
        <w:tc>
          <w:tcPr>
            <w:tcW w:w="3168" w:type="dxa"/>
            <w:tcBorders>
              <w:top w:val="single" w:color="DDDDDD" w:sz="4" w:space="0"/>
              <w:left w:val="single" w:color="DDDDDD" w:sz="4" w:space="0"/>
              <w:bottom w:val="single" w:color="DDDDDD" w:sz="4" w:space="0"/>
              <w:right w:val="single" w:color="DDDDDD" w:sz="4" w:space="0"/>
            </w:tcBorders>
            <w:shd w:val="clear" w:color="auto" w:fill="F8F9FA"/>
            <w:vAlign w:val="top"/>
          </w:tcPr>
          <w:p w14:paraId="3C042B05">
            <w:pPr>
              <w:spacing w:before="40" w:after="40"/>
            </w:pPr>
            <w:r>
              <w:rPr>
                <w:rFonts w:ascii="Arial" w:hAnsi="Arial" w:eastAsia="Arial" w:cs="Arial"/>
                <w:b w:val="0"/>
                <w:i w:val="0"/>
                <w:color w:val="2C3E50"/>
                <w:sz w:val="20"/>
              </w:rPr>
              <w:t>Documentation question, feature request</w:t>
            </w:r>
          </w:p>
        </w:tc>
        <w:tc>
          <w:tcPr>
            <w:tcW w:w="3168" w:type="dxa"/>
            <w:tcBorders>
              <w:top w:val="single" w:color="DDDDDD" w:sz="4" w:space="0"/>
              <w:left w:val="single" w:color="DDDDDD" w:sz="4" w:space="0"/>
              <w:bottom w:val="single" w:color="DDDDDD" w:sz="4" w:space="0"/>
              <w:right w:val="single" w:color="DDDDDD" w:sz="4" w:space="0"/>
            </w:tcBorders>
            <w:shd w:val="clear" w:color="auto" w:fill="F8F9FA"/>
            <w:vAlign w:val="top"/>
          </w:tcPr>
          <w:p w14:paraId="7A490E50">
            <w:pPr>
              <w:spacing w:before="40" w:after="40"/>
            </w:pPr>
            <w:r>
              <w:rPr>
                <w:rFonts w:ascii="Arial" w:hAnsi="Arial" w:eastAsia="Arial" w:cs="Arial"/>
                <w:b w:val="0"/>
                <w:i w:val="0"/>
                <w:color w:val="2C3E50"/>
                <w:sz w:val="20"/>
              </w:rPr>
              <w:t>Slack #tpe-comms-help</w:t>
            </w:r>
          </w:p>
        </w:tc>
        <w:tc>
          <w:tcPr>
            <w:tcW w:w="2016" w:type="dxa"/>
            <w:tcBorders>
              <w:top w:val="single" w:color="DDDDDD" w:sz="4" w:space="0"/>
              <w:left w:val="single" w:color="DDDDDD" w:sz="4" w:space="0"/>
              <w:bottom w:val="single" w:color="DDDDDD" w:sz="4" w:space="0"/>
              <w:right w:val="single" w:color="DDDDDD" w:sz="4" w:space="0"/>
            </w:tcBorders>
            <w:shd w:val="clear" w:color="auto" w:fill="F8F9FA"/>
            <w:vAlign w:val="top"/>
          </w:tcPr>
          <w:p w14:paraId="6F6AD742">
            <w:pPr>
              <w:spacing w:before="40" w:after="40"/>
            </w:pPr>
            <w:r>
              <w:rPr>
                <w:rFonts w:ascii="Arial" w:hAnsi="Arial" w:eastAsia="Arial" w:cs="Arial"/>
                <w:b w:val="0"/>
                <w:i w:val="0"/>
                <w:color w:val="2C3E50"/>
                <w:sz w:val="20"/>
              </w:rPr>
              <w:t>Best-effort</w:t>
            </w:r>
          </w:p>
        </w:tc>
      </w:tr>
    </w:tbl>
    <w:p w14:paraId="461EF6B9">
      <w:r>
        <w:br w:type="page"/>
      </w:r>
    </w:p>
    <w:p w14:paraId="3E0C4227">
      <w:pPr>
        <w:keepNext/>
        <w:spacing w:before="240" w:after="160"/>
      </w:pPr>
      <w:r>
        <w:rPr>
          <w:rFonts w:ascii="Arial" w:hAnsi="Arial" w:eastAsia="Arial" w:cs="Arial"/>
          <w:b/>
          <w:i w:val="0"/>
          <w:color w:val="1B3A5C"/>
          <w:sz w:val="36"/>
        </w:rPr>
        <w:t>15.  Glossary</w:t>
      </w:r>
    </w:p>
    <w:tbl>
      <w:tblPr>
        <w:tblStyle w:val="12"/>
        <w:tblW w:w="0" w:type="auto"/>
        <w:tblInd w:w="0" w:type="dxa"/>
        <w:tblLayout w:type="fixed"/>
        <w:tblCellMar>
          <w:top w:w="0" w:type="dxa"/>
          <w:left w:w="108" w:type="dxa"/>
          <w:bottom w:w="0" w:type="dxa"/>
          <w:right w:w="108" w:type="dxa"/>
        </w:tblCellMar>
      </w:tblPr>
      <w:tblGrid>
        <w:gridCol w:w="2448"/>
        <w:gridCol w:w="6912"/>
      </w:tblGrid>
      <w:tr w14:paraId="0768312A">
        <w:tc>
          <w:tcPr>
            <w:tcW w:w="2448" w:type="dxa"/>
            <w:tcBorders>
              <w:top w:val="single" w:color="FFFFFF" w:sz="4" w:space="0"/>
              <w:left w:val="single" w:color="FFFFFF" w:sz="4" w:space="0"/>
              <w:bottom w:val="single" w:color="FFFFFF" w:sz="4" w:space="0"/>
              <w:right w:val="single" w:color="FFFFFF" w:sz="4" w:space="0"/>
            </w:tcBorders>
            <w:shd w:val="clear" w:color="auto" w:fill="1B3A5C"/>
            <w:vAlign w:val="center"/>
          </w:tcPr>
          <w:p w14:paraId="48AFA79D">
            <w:pPr>
              <w:spacing w:before="40" w:after="40"/>
            </w:pPr>
            <w:r>
              <w:rPr>
                <w:rFonts w:ascii="Arial" w:hAnsi="Arial" w:eastAsia="Arial" w:cs="Arial"/>
                <w:b/>
                <w:i w:val="0"/>
                <w:color w:val="FFFFFF"/>
                <w:sz w:val="20"/>
              </w:rPr>
              <w:t>Term</w:t>
            </w:r>
          </w:p>
        </w:tc>
        <w:tc>
          <w:tcPr>
            <w:tcW w:w="6912" w:type="dxa"/>
            <w:tcBorders>
              <w:top w:val="single" w:color="FFFFFF" w:sz="4" w:space="0"/>
              <w:left w:val="single" w:color="FFFFFF" w:sz="4" w:space="0"/>
              <w:bottom w:val="single" w:color="FFFFFF" w:sz="4" w:space="0"/>
              <w:right w:val="single" w:color="FFFFFF" w:sz="4" w:space="0"/>
            </w:tcBorders>
            <w:shd w:val="clear" w:color="auto" w:fill="1B3A5C"/>
            <w:vAlign w:val="center"/>
          </w:tcPr>
          <w:p w14:paraId="6486BC79">
            <w:pPr>
              <w:spacing w:before="40" w:after="40"/>
            </w:pPr>
            <w:r>
              <w:rPr>
                <w:rFonts w:ascii="Arial" w:hAnsi="Arial" w:eastAsia="Arial" w:cs="Arial"/>
                <w:b/>
                <w:i w:val="0"/>
                <w:color w:val="FFFFFF"/>
                <w:sz w:val="20"/>
              </w:rPr>
              <w:t>Meaning</w:t>
            </w:r>
          </w:p>
        </w:tc>
      </w:tr>
      <w:tr w14:paraId="15D95217">
        <w:tc>
          <w:tcPr>
            <w:tcW w:w="2448" w:type="dxa"/>
            <w:tcBorders>
              <w:top w:val="single" w:color="DDDDDD" w:sz="4" w:space="0"/>
              <w:left w:val="single" w:color="DDDDDD" w:sz="4" w:space="0"/>
              <w:bottom w:val="single" w:color="DDDDDD" w:sz="4" w:space="0"/>
              <w:right w:val="single" w:color="DDDDDD" w:sz="4" w:space="0"/>
            </w:tcBorders>
            <w:vAlign w:val="top"/>
          </w:tcPr>
          <w:p w14:paraId="3C8E99D3">
            <w:pPr>
              <w:spacing w:before="40" w:after="40"/>
            </w:pPr>
            <w:r>
              <w:rPr>
                <w:rFonts w:ascii="Arial" w:hAnsi="Arial" w:eastAsia="Arial" w:cs="Arial"/>
                <w:b w:val="0"/>
                <w:i w:val="0"/>
                <w:color w:val="2C3E50"/>
                <w:sz w:val="20"/>
              </w:rPr>
              <w:t>Audit row</w:t>
            </w:r>
          </w:p>
        </w:tc>
        <w:tc>
          <w:tcPr>
            <w:tcW w:w="6912" w:type="dxa"/>
            <w:tcBorders>
              <w:top w:val="single" w:color="DDDDDD" w:sz="4" w:space="0"/>
              <w:left w:val="single" w:color="DDDDDD" w:sz="4" w:space="0"/>
              <w:bottom w:val="single" w:color="DDDDDD" w:sz="4" w:space="0"/>
              <w:right w:val="single" w:color="DDDDDD" w:sz="4" w:space="0"/>
            </w:tcBorders>
            <w:vAlign w:val="top"/>
          </w:tcPr>
          <w:p w14:paraId="567186DB">
            <w:pPr>
              <w:spacing w:before="40" w:after="40"/>
            </w:pPr>
            <w:r>
              <w:rPr>
                <w:rFonts w:ascii="Arial" w:hAnsi="Arial" w:eastAsia="Arial" w:cs="Arial"/>
                <w:b w:val="0"/>
                <w:i w:val="0"/>
                <w:color w:val="2C3E50"/>
                <w:sz w:val="20"/>
              </w:rPr>
              <w:t>A structured log entry written for every channel-step. Carries transactionId, workflowId, triggerId, audienceGroup, subscriberToken (PII-tokenised), channel, status, reason.</w:t>
            </w:r>
          </w:p>
        </w:tc>
      </w:tr>
      <w:tr w14:paraId="50A3A047">
        <w:tc>
          <w:tcPr>
            <w:tcW w:w="2448" w:type="dxa"/>
            <w:tcBorders>
              <w:top w:val="single" w:color="DDDDDD" w:sz="4" w:space="0"/>
              <w:left w:val="single" w:color="DDDDDD" w:sz="4" w:space="0"/>
              <w:bottom w:val="single" w:color="DDDDDD" w:sz="4" w:space="0"/>
              <w:right w:val="single" w:color="DDDDDD" w:sz="4" w:space="0"/>
            </w:tcBorders>
            <w:shd w:val="clear" w:color="auto" w:fill="F8F9FA"/>
            <w:vAlign w:val="top"/>
          </w:tcPr>
          <w:p w14:paraId="12383B7D">
            <w:pPr>
              <w:spacing w:before="40" w:after="40"/>
            </w:pPr>
            <w:r>
              <w:rPr>
                <w:rFonts w:ascii="Arial" w:hAnsi="Arial" w:eastAsia="Arial" w:cs="Arial"/>
                <w:b w:val="0"/>
                <w:i w:val="0"/>
                <w:color w:val="2C3E50"/>
                <w:sz w:val="20"/>
              </w:rPr>
              <w:t>Bridge</w:t>
            </w:r>
          </w:p>
        </w:tc>
        <w:tc>
          <w:tcPr>
            <w:tcW w:w="6912" w:type="dxa"/>
            <w:tcBorders>
              <w:top w:val="single" w:color="DDDDDD" w:sz="4" w:space="0"/>
              <w:left w:val="single" w:color="DDDDDD" w:sz="4" w:space="0"/>
              <w:bottom w:val="single" w:color="DDDDDD" w:sz="4" w:space="0"/>
              <w:right w:val="single" w:color="DDDDDD" w:sz="4" w:space="0"/>
            </w:tcBorders>
            <w:shd w:val="clear" w:color="auto" w:fill="F8F9FA"/>
            <w:vAlign w:val="top"/>
          </w:tcPr>
          <w:p w14:paraId="43FA27AC">
            <w:pPr>
              <w:spacing w:before="40" w:after="40"/>
            </w:pPr>
            <w:r>
              <w:rPr>
                <w:rFonts w:ascii="Arial" w:hAnsi="Arial" w:eastAsia="Arial" w:cs="Arial"/>
                <w:b w:val="0"/>
                <w:i w:val="0"/>
                <w:color w:val="2C3E50"/>
                <w:sz w:val="20"/>
              </w:rPr>
              <w:t>The TypeScript service that hosts code-first workflows. Engineering-owned. Operators don't interact with it directly; they interact with Studio (the dashboard authoring UI) and the TPE Admin Console.</w:t>
            </w:r>
          </w:p>
        </w:tc>
      </w:tr>
      <w:tr w14:paraId="5648ECC3">
        <w:tc>
          <w:tcPr>
            <w:tcW w:w="2448" w:type="dxa"/>
            <w:tcBorders>
              <w:top w:val="single" w:color="DDDDDD" w:sz="4" w:space="0"/>
              <w:left w:val="single" w:color="DDDDDD" w:sz="4" w:space="0"/>
              <w:bottom w:val="single" w:color="DDDDDD" w:sz="4" w:space="0"/>
              <w:right w:val="single" w:color="DDDDDD" w:sz="4" w:space="0"/>
            </w:tcBorders>
            <w:vAlign w:val="top"/>
          </w:tcPr>
          <w:p w14:paraId="5744198F">
            <w:pPr>
              <w:spacing w:before="40" w:after="40"/>
            </w:pPr>
            <w:r>
              <w:rPr>
                <w:rFonts w:ascii="Arial" w:hAnsi="Arial" w:eastAsia="Arial" w:cs="Arial"/>
                <w:b w:val="0"/>
                <w:i w:val="0"/>
                <w:color w:val="2C3E50"/>
                <w:sz w:val="20"/>
              </w:rPr>
              <w:t>Campaign</w:t>
            </w:r>
          </w:p>
        </w:tc>
        <w:tc>
          <w:tcPr>
            <w:tcW w:w="6912" w:type="dxa"/>
            <w:tcBorders>
              <w:top w:val="single" w:color="DDDDDD" w:sz="4" w:space="0"/>
              <w:left w:val="single" w:color="DDDDDD" w:sz="4" w:space="0"/>
              <w:bottom w:val="single" w:color="DDDDDD" w:sz="4" w:space="0"/>
              <w:right w:val="single" w:color="DDDDDD" w:sz="4" w:space="0"/>
            </w:tcBorders>
            <w:vAlign w:val="top"/>
          </w:tcPr>
          <w:p w14:paraId="0482166B">
            <w:pPr>
              <w:spacing w:before="40" w:after="40"/>
            </w:pPr>
            <w:r>
              <w:rPr>
                <w:rFonts w:ascii="Arial" w:hAnsi="Arial" w:eastAsia="Arial" w:cs="Arial"/>
                <w:b w:val="0"/>
                <w:i w:val="0"/>
                <w:color w:val="2C3E50"/>
                <w:sz w:val="20"/>
              </w:rPr>
              <w:t>A saved record on /admin/campaigns describing source data + filter + workflow + field map + schedule. The atomic unit of operator-driven data sends.</w:t>
            </w:r>
          </w:p>
        </w:tc>
      </w:tr>
      <w:tr w14:paraId="3E2154BA">
        <w:tc>
          <w:tcPr>
            <w:tcW w:w="2448" w:type="dxa"/>
            <w:tcBorders>
              <w:top w:val="single" w:color="DDDDDD" w:sz="4" w:space="0"/>
              <w:left w:val="single" w:color="DDDDDD" w:sz="4" w:space="0"/>
              <w:bottom w:val="single" w:color="DDDDDD" w:sz="4" w:space="0"/>
              <w:right w:val="single" w:color="DDDDDD" w:sz="4" w:space="0"/>
            </w:tcBorders>
            <w:shd w:val="clear" w:color="auto" w:fill="F8F9FA"/>
            <w:vAlign w:val="top"/>
          </w:tcPr>
          <w:p w14:paraId="37484AA2">
            <w:pPr>
              <w:spacing w:before="40" w:after="40"/>
            </w:pPr>
            <w:r>
              <w:rPr>
                <w:rFonts w:ascii="Arial" w:hAnsi="Arial" w:eastAsia="Arial" w:cs="Arial"/>
                <w:b w:val="0"/>
                <w:i w:val="0"/>
                <w:color w:val="2C3E50"/>
                <w:sz w:val="20"/>
              </w:rPr>
              <w:t>Channel</w:t>
            </w:r>
          </w:p>
        </w:tc>
        <w:tc>
          <w:tcPr>
            <w:tcW w:w="6912" w:type="dxa"/>
            <w:tcBorders>
              <w:top w:val="single" w:color="DDDDDD" w:sz="4" w:space="0"/>
              <w:left w:val="single" w:color="DDDDDD" w:sz="4" w:space="0"/>
              <w:bottom w:val="single" w:color="DDDDDD" w:sz="4" w:space="0"/>
              <w:right w:val="single" w:color="DDDDDD" w:sz="4" w:space="0"/>
            </w:tcBorders>
            <w:shd w:val="clear" w:color="auto" w:fill="F8F9FA"/>
            <w:vAlign w:val="top"/>
          </w:tcPr>
          <w:p w14:paraId="1746F952">
            <w:pPr>
              <w:spacing w:before="40" w:after="40"/>
            </w:pPr>
            <w:r>
              <w:rPr>
                <w:rFonts w:ascii="Arial" w:hAnsi="Arial" w:eastAsia="Arial" w:cs="Arial"/>
                <w:b w:val="0"/>
                <w:i w:val="0"/>
                <w:color w:val="2C3E50"/>
                <w:sz w:val="20"/>
              </w:rPr>
              <w:t>A delivery surface: SMS, WhatsApp, Email, In-app.</w:t>
            </w:r>
          </w:p>
        </w:tc>
      </w:tr>
      <w:tr w14:paraId="77E50EB4">
        <w:tc>
          <w:tcPr>
            <w:tcW w:w="2448" w:type="dxa"/>
            <w:tcBorders>
              <w:top w:val="single" w:color="DDDDDD" w:sz="4" w:space="0"/>
              <w:left w:val="single" w:color="DDDDDD" w:sz="4" w:space="0"/>
              <w:bottom w:val="single" w:color="DDDDDD" w:sz="4" w:space="0"/>
              <w:right w:val="single" w:color="DDDDDD" w:sz="4" w:space="0"/>
            </w:tcBorders>
            <w:vAlign w:val="top"/>
          </w:tcPr>
          <w:p w14:paraId="63BC9AFB">
            <w:pPr>
              <w:spacing w:before="40" w:after="40"/>
            </w:pPr>
            <w:r>
              <w:rPr>
                <w:rFonts w:ascii="Arial" w:hAnsi="Arial" w:eastAsia="Arial" w:cs="Arial"/>
                <w:b w:val="0"/>
                <w:i w:val="0"/>
                <w:color w:val="2C3E50"/>
                <w:sz w:val="20"/>
              </w:rPr>
              <w:t>Channel allowlist</w:t>
            </w:r>
          </w:p>
        </w:tc>
        <w:tc>
          <w:tcPr>
            <w:tcW w:w="6912" w:type="dxa"/>
            <w:tcBorders>
              <w:top w:val="single" w:color="DDDDDD" w:sz="4" w:space="0"/>
              <w:left w:val="single" w:color="DDDDDD" w:sz="4" w:space="0"/>
              <w:bottom w:val="single" w:color="DDDDDD" w:sz="4" w:space="0"/>
              <w:right w:val="single" w:color="DDDDDD" w:sz="4" w:space="0"/>
            </w:tcBorders>
            <w:vAlign w:val="top"/>
          </w:tcPr>
          <w:p w14:paraId="1E73A7E6">
            <w:pPr>
              <w:spacing w:before="40" w:after="40"/>
            </w:pPr>
            <w:r>
              <w:rPr>
                <w:rFonts w:ascii="Arial" w:hAnsi="Arial" w:eastAsia="Arial" w:cs="Arial"/>
                <w:b w:val="0"/>
                <w:i w:val="0"/>
                <w:color w:val="2C3E50"/>
                <w:sz w:val="20"/>
              </w:rPr>
              <w:t>The toggle on /admin/channels that gates dispatch per channel. Operator-managed kill switch.</w:t>
            </w:r>
          </w:p>
        </w:tc>
      </w:tr>
      <w:tr w14:paraId="34A70340">
        <w:tc>
          <w:tcPr>
            <w:tcW w:w="2448" w:type="dxa"/>
            <w:tcBorders>
              <w:top w:val="single" w:color="DDDDDD" w:sz="4" w:space="0"/>
              <w:left w:val="single" w:color="DDDDDD" w:sz="4" w:space="0"/>
              <w:bottom w:val="single" w:color="DDDDDD" w:sz="4" w:space="0"/>
              <w:right w:val="single" w:color="DDDDDD" w:sz="4" w:space="0"/>
            </w:tcBorders>
            <w:shd w:val="clear" w:color="auto" w:fill="F8F9FA"/>
            <w:vAlign w:val="top"/>
          </w:tcPr>
          <w:p w14:paraId="5AF17E53">
            <w:pPr>
              <w:spacing w:before="40" w:after="40"/>
            </w:pPr>
            <w:r>
              <w:rPr>
                <w:rFonts w:ascii="Arial" w:hAnsi="Arial" w:eastAsia="Arial" w:cs="Arial"/>
                <w:b w:val="0"/>
                <w:i w:val="0"/>
                <w:color w:val="2C3E50"/>
                <w:sz w:val="20"/>
              </w:rPr>
              <w:t>DLT</w:t>
            </w:r>
          </w:p>
        </w:tc>
        <w:tc>
          <w:tcPr>
            <w:tcW w:w="6912" w:type="dxa"/>
            <w:tcBorders>
              <w:top w:val="single" w:color="DDDDDD" w:sz="4" w:space="0"/>
              <w:left w:val="single" w:color="DDDDDD" w:sz="4" w:space="0"/>
              <w:bottom w:val="single" w:color="DDDDDD" w:sz="4" w:space="0"/>
              <w:right w:val="single" w:color="DDDDDD" w:sz="4" w:space="0"/>
            </w:tcBorders>
            <w:shd w:val="clear" w:color="auto" w:fill="F8F9FA"/>
            <w:vAlign w:val="top"/>
          </w:tcPr>
          <w:p w14:paraId="70BAC907">
            <w:pPr>
              <w:spacing w:before="40" w:after="40"/>
            </w:pPr>
            <w:r>
              <w:rPr>
                <w:rFonts w:ascii="Arial" w:hAnsi="Arial" w:eastAsia="Arial" w:cs="Arial"/>
                <w:b w:val="0"/>
                <w:i w:val="0"/>
                <w:color w:val="2C3E50"/>
                <w:sz w:val="20"/>
              </w:rPr>
              <w:t>Distributed Ledger Technology — TRAI mandate for India SMS. Every Sender ID + template body must be registered before a single SMS can fire.</w:t>
            </w:r>
          </w:p>
        </w:tc>
      </w:tr>
      <w:tr w14:paraId="1D879DAC">
        <w:tc>
          <w:tcPr>
            <w:tcW w:w="2448" w:type="dxa"/>
            <w:tcBorders>
              <w:top w:val="single" w:color="DDDDDD" w:sz="4" w:space="0"/>
              <w:left w:val="single" w:color="DDDDDD" w:sz="4" w:space="0"/>
              <w:bottom w:val="single" w:color="DDDDDD" w:sz="4" w:space="0"/>
              <w:right w:val="single" w:color="DDDDDD" w:sz="4" w:space="0"/>
            </w:tcBorders>
            <w:vAlign w:val="top"/>
          </w:tcPr>
          <w:p w14:paraId="43C9D89A">
            <w:pPr>
              <w:spacing w:before="40" w:after="40"/>
            </w:pPr>
            <w:r>
              <w:rPr>
                <w:rFonts w:ascii="Arial" w:hAnsi="Arial" w:eastAsia="Arial" w:cs="Arial"/>
                <w:b w:val="0"/>
                <w:i w:val="0"/>
                <w:color w:val="2C3E50"/>
                <w:sz w:val="20"/>
              </w:rPr>
              <w:t>Dispatch</w:t>
            </w:r>
          </w:p>
        </w:tc>
        <w:tc>
          <w:tcPr>
            <w:tcW w:w="6912" w:type="dxa"/>
            <w:tcBorders>
              <w:top w:val="single" w:color="DDDDDD" w:sz="4" w:space="0"/>
              <w:left w:val="single" w:color="DDDDDD" w:sz="4" w:space="0"/>
              <w:bottom w:val="single" w:color="DDDDDD" w:sz="4" w:space="0"/>
              <w:right w:val="single" w:color="DDDDDD" w:sz="4" w:space="0"/>
            </w:tcBorders>
            <w:vAlign w:val="top"/>
          </w:tcPr>
          <w:p w14:paraId="6B782A4C">
            <w:pPr>
              <w:spacing w:before="40" w:after="40"/>
            </w:pPr>
            <w:r>
              <w:rPr>
                <w:rFonts w:ascii="Arial" w:hAnsi="Arial" w:eastAsia="Arial" w:cs="Arial"/>
                <w:b w:val="0"/>
                <w:i w:val="0"/>
                <w:color w:val="2C3E50"/>
                <w:sz w:val="20"/>
              </w:rPr>
              <w:t>The act of sending one channel's content for one subscriber. Each trigger produces one dispatch per channel-step.</w:t>
            </w:r>
          </w:p>
        </w:tc>
      </w:tr>
      <w:tr w14:paraId="4830599F">
        <w:tc>
          <w:tcPr>
            <w:tcW w:w="2448" w:type="dxa"/>
            <w:tcBorders>
              <w:top w:val="single" w:color="DDDDDD" w:sz="4" w:space="0"/>
              <w:left w:val="single" w:color="DDDDDD" w:sz="4" w:space="0"/>
              <w:bottom w:val="single" w:color="DDDDDD" w:sz="4" w:space="0"/>
              <w:right w:val="single" w:color="DDDDDD" w:sz="4" w:space="0"/>
            </w:tcBorders>
            <w:shd w:val="clear" w:color="auto" w:fill="F8F9FA"/>
            <w:vAlign w:val="top"/>
          </w:tcPr>
          <w:p w14:paraId="711579D1">
            <w:pPr>
              <w:spacing w:before="40" w:after="40"/>
            </w:pPr>
            <w:r>
              <w:rPr>
                <w:rFonts w:ascii="Arial" w:hAnsi="Arial" w:eastAsia="Arial" w:cs="Arial"/>
                <w:b w:val="0"/>
                <w:i w:val="0"/>
                <w:color w:val="2C3E50"/>
                <w:sz w:val="20"/>
              </w:rPr>
              <w:t>Environment</w:t>
            </w:r>
          </w:p>
        </w:tc>
        <w:tc>
          <w:tcPr>
            <w:tcW w:w="6912" w:type="dxa"/>
            <w:tcBorders>
              <w:top w:val="single" w:color="DDDDDD" w:sz="4" w:space="0"/>
              <w:left w:val="single" w:color="DDDDDD" w:sz="4" w:space="0"/>
              <w:bottom w:val="single" w:color="DDDDDD" w:sz="4" w:space="0"/>
              <w:right w:val="single" w:color="DDDDDD" w:sz="4" w:space="0"/>
            </w:tcBorders>
            <w:shd w:val="clear" w:color="auto" w:fill="F8F9FA"/>
            <w:vAlign w:val="top"/>
          </w:tcPr>
          <w:p w14:paraId="68F7A9CF">
            <w:pPr>
              <w:spacing w:before="40" w:after="40"/>
            </w:pPr>
            <w:r>
              <w:rPr>
                <w:rFonts w:ascii="Arial" w:hAnsi="Arial" w:eastAsia="Arial" w:cs="Arial"/>
                <w:b w:val="0"/>
                <w:i w:val="0"/>
                <w:color w:val="2C3E50"/>
                <w:sz w:val="20"/>
              </w:rPr>
              <w:t>Novu's notion of a logical scope. Stage has Development + Production. Workflows authored in Development are visible there only until promoted.</w:t>
            </w:r>
          </w:p>
        </w:tc>
      </w:tr>
      <w:tr w14:paraId="06A4BECC">
        <w:tc>
          <w:tcPr>
            <w:tcW w:w="2448" w:type="dxa"/>
            <w:tcBorders>
              <w:top w:val="single" w:color="DDDDDD" w:sz="4" w:space="0"/>
              <w:left w:val="single" w:color="DDDDDD" w:sz="4" w:space="0"/>
              <w:bottom w:val="single" w:color="DDDDDD" w:sz="4" w:space="0"/>
              <w:right w:val="single" w:color="DDDDDD" w:sz="4" w:space="0"/>
            </w:tcBorders>
            <w:vAlign w:val="top"/>
          </w:tcPr>
          <w:p w14:paraId="6969D2A7">
            <w:pPr>
              <w:spacing w:before="40" w:after="40"/>
            </w:pPr>
            <w:r>
              <w:rPr>
                <w:rFonts w:ascii="Arial" w:hAnsi="Arial" w:eastAsia="Arial" w:cs="Arial"/>
                <w:b w:val="0"/>
                <w:i w:val="0"/>
                <w:color w:val="2C3E50"/>
                <w:sz w:val="20"/>
              </w:rPr>
              <w:t>ICPaaS</w:t>
            </w:r>
          </w:p>
        </w:tc>
        <w:tc>
          <w:tcPr>
            <w:tcW w:w="6912" w:type="dxa"/>
            <w:tcBorders>
              <w:top w:val="single" w:color="DDDDDD" w:sz="4" w:space="0"/>
              <w:left w:val="single" w:color="DDDDDD" w:sz="4" w:space="0"/>
              <w:bottom w:val="single" w:color="DDDDDD" w:sz="4" w:space="0"/>
              <w:right w:val="single" w:color="DDDDDD" w:sz="4" w:space="0"/>
            </w:tcBorders>
            <w:vAlign w:val="top"/>
          </w:tcPr>
          <w:p w14:paraId="7F7F6C09">
            <w:pPr>
              <w:spacing w:before="40" w:after="40"/>
            </w:pPr>
            <w:r>
              <w:rPr>
                <w:rFonts w:ascii="Arial" w:hAnsi="Arial" w:eastAsia="Arial" w:cs="Arial"/>
                <w:b w:val="0"/>
                <w:i w:val="0"/>
                <w:color w:val="2C3E50"/>
                <w:sz w:val="20"/>
              </w:rPr>
              <w:t>TPE's WhatsApp BSP (Business Solution Provider) — Indian-hosted, DPDPA-compliant. Routes to Meta's WhatsApp Cloud API.</w:t>
            </w:r>
          </w:p>
        </w:tc>
      </w:tr>
      <w:tr w14:paraId="6CBDE55D">
        <w:tc>
          <w:tcPr>
            <w:tcW w:w="2448" w:type="dxa"/>
            <w:tcBorders>
              <w:top w:val="single" w:color="DDDDDD" w:sz="4" w:space="0"/>
              <w:left w:val="single" w:color="DDDDDD" w:sz="4" w:space="0"/>
              <w:bottom w:val="single" w:color="DDDDDD" w:sz="4" w:space="0"/>
              <w:right w:val="single" w:color="DDDDDD" w:sz="4" w:space="0"/>
            </w:tcBorders>
            <w:shd w:val="clear" w:color="auto" w:fill="F8F9FA"/>
            <w:vAlign w:val="top"/>
          </w:tcPr>
          <w:p w14:paraId="2FE54A7E">
            <w:pPr>
              <w:spacing w:before="40" w:after="40"/>
            </w:pPr>
            <w:r>
              <w:rPr>
                <w:rFonts w:ascii="Arial" w:hAnsi="Arial" w:eastAsia="Arial" w:cs="Arial"/>
                <w:b w:val="0"/>
                <w:i w:val="0"/>
                <w:color w:val="2C3E50"/>
                <w:sz w:val="20"/>
              </w:rPr>
              <w:t>MSG91</w:t>
            </w:r>
          </w:p>
        </w:tc>
        <w:tc>
          <w:tcPr>
            <w:tcW w:w="6912" w:type="dxa"/>
            <w:tcBorders>
              <w:top w:val="single" w:color="DDDDDD" w:sz="4" w:space="0"/>
              <w:left w:val="single" w:color="DDDDDD" w:sz="4" w:space="0"/>
              <w:bottom w:val="single" w:color="DDDDDD" w:sz="4" w:space="0"/>
              <w:right w:val="single" w:color="DDDDDD" w:sz="4" w:space="0"/>
            </w:tcBorders>
            <w:shd w:val="clear" w:color="auto" w:fill="F8F9FA"/>
            <w:vAlign w:val="top"/>
          </w:tcPr>
          <w:p w14:paraId="72A63B38">
            <w:pPr>
              <w:spacing w:before="40" w:after="40"/>
            </w:pPr>
            <w:r>
              <w:rPr>
                <w:rFonts w:ascii="Arial" w:hAnsi="Arial" w:eastAsia="Arial" w:cs="Arial"/>
                <w:b w:val="0"/>
                <w:i w:val="0"/>
                <w:color w:val="2C3E50"/>
                <w:sz w:val="20"/>
              </w:rPr>
              <w:t>TPE's primary SMS provider via DLT-registered templates.</w:t>
            </w:r>
          </w:p>
        </w:tc>
      </w:tr>
      <w:tr w14:paraId="7A0AC2F6">
        <w:tc>
          <w:tcPr>
            <w:tcW w:w="2448" w:type="dxa"/>
            <w:tcBorders>
              <w:top w:val="single" w:color="DDDDDD" w:sz="4" w:space="0"/>
              <w:left w:val="single" w:color="DDDDDD" w:sz="4" w:space="0"/>
              <w:bottom w:val="single" w:color="DDDDDD" w:sz="4" w:space="0"/>
              <w:right w:val="single" w:color="DDDDDD" w:sz="4" w:space="0"/>
            </w:tcBorders>
            <w:vAlign w:val="top"/>
          </w:tcPr>
          <w:p w14:paraId="5E4A257E">
            <w:pPr>
              <w:spacing w:before="40" w:after="40"/>
            </w:pPr>
            <w:r>
              <w:rPr>
                <w:rFonts w:ascii="Arial" w:hAnsi="Arial" w:eastAsia="Arial" w:cs="Arial"/>
                <w:b w:val="0"/>
                <w:i w:val="0"/>
                <w:color w:val="2C3E50"/>
                <w:sz w:val="20"/>
              </w:rPr>
              <w:t>Novu Cloud</w:t>
            </w:r>
          </w:p>
        </w:tc>
        <w:tc>
          <w:tcPr>
            <w:tcW w:w="6912" w:type="dxa"/>
            <w:tcBorders>
              <w:top w:val="single" w:color="DDDDDD" w:sz="4" w:space="0"/>
              <w:left w:val="single" w:color="DDDDDD" w:sz="4" w:space="0"/>
              <w:bottom w:val="single" w:color="DDDDDD" w:sz="4" w:space="0"/>
              <w:right w:val="single" w:color="DDDDDD" w:sz="4" w:space="0"/>
            </w:tcBorders>
            <w:vAlign w:val="top"/>
          </w:tcPr>
          <w:p w14:paraId="639901B3">
            <w:pPr>
              <w:spacing w:before="40" w:after="40"/>
            </w:pPr>
            <w:r>
              <w:rPr>
                <w:rFonts w:ascii="Arial" w:hAnsi="Arial" w:eastAsia="Arial" w:cs="Arial"/>
                <w:b w:val="0"/>
                <w:i w:val="0"/>
                <w:color w:val="2C3E50"/>
                <w:sz w:val="20"/>
              </w:rPr>
              <w:t>The hosted offering at novu.co. Forbidden by Charter — TPE self-hosts the Community Edition.</w:t>
            </w:r>
          </w:p>
        </w:tc>
      </w:tr>
      <w:tr w14:paraId="70482047">
        <w:tc>
          <w:tcPr>
            <w:tcW w:w="2448" w:type="dxa"/>
            <w:tcBorders>
              <w:top w:val="single" w:color="DDDDDD" w:sz="4" w:space="0"/>
              <w:left w:val="single" w:color="DDDDDD" w:sz="4" w:space="0"/>
              <w:bottom w:val="single" w:color="DDDDDD" w:sz="4" w:space="0"/>
              <w:right w:val="single" w:color="DDDDDD" w:sz="4" w:space="0"/>
            </w:tcBorders>
            <w:shd w:val="clear" w:color="auto" w:fill="F8F9FA"/>
            <w:vAlign w:val="top"/>
          </w:tcPr>
          <w:p w14:paraId="7EF78BF3">
            <w:pPr>
              <w:spacing w:before="40" w:after="40"/>
            </w:pPr>
            <w:r>
              <w:rPr>
                <w:rFonts w:ascii="Arial" w:hAnsi="Arial" w:eastAsia="Arial" w:cs="Arial"/>
                <w:b w:val="0"/>
                <w:i w:val="0"/>
                <w:color w:val="2C3E50"/>
                <w:sz w:val="20"/>
              </w:rPr>
              <w:t>Operator</w:t>
            </w:r>
          </w:p>
        </w:tc>
        <w:tc>
          <w:tcPr>
            <w:tcW w:w="6912" w:type="dxa"/>
            <w:tcBorders>
              <w:top w:val="single" w:color="DDDDDD" w:sz="4" w:space="0"/>
              <w:left w:val="single" w:color="DDDDDD" w:sz="4" w:space="0"/>
              <w:bottom w:val="single" w:color="DDDDDD" w:sz="4" w:space="0"/>
              <w:right w:val="single" w:color="DDDDDD" w:sz="4" w:space="0"/>
            </w:tcBorders>
            <w:shd w:val="clear" w:color="auto" w:fill="F8F9FA"/>
            <w:vAlign w:val="top"/>
          </w:tcPr>
          <w:p w14:paraId="5B1DB3CE">
            <w:pPr>
              <w:spacing w:before="40" w:after="40"/>
            </w:pPr>
            <w:r>
              <w:rPr>
                <w:rFonts w:ascii="Arial" w:hAnsi="Arial" w:eastAsia="Arial" w:cs="Arial"/>
                <w:b w:val="0"/>
                <w:i w:val="0"/>
                <w:color w:val="2C3E50"/>
                <w:sz w:val="20"/>
              </w:rPr>
              <w:t>A non-developer human who uses the TPE Admin Console or the Novu Dashboard.</w:t>
            </w:r>
          </w:p>
        </w:tc>
      </w:tr>
      <w:tr w14:paraId="7A29672E">
        <w:tc>
          <w:tcPr>
            <w:tcW w:w="2448" w:type="dxa"/>
            <w:tcBorders>
              <w:top w:val="single" w:color="DDDDDD" w:sz="4" w:space="0"/>
              <w:left w:val="single" w:color="DDDDDD" w:sz="4" w:space="0"/>
              <w:bottom w:val="single" w:color="DDDDDD" w:sz="4" w:space="0"/>
              <w:right w:val="single" w:color="DDDDDD" w:sz="4" w:space="0"/>
            </w:tcBorders>
            <w:vAlign w:val="top"/>
          </w:tcPr>
          <w:p w14:paraId="3382697B">
            <w:pPr>
              <w:spacing w:before="40" w:after="40"/>
            </w:pPr>
            <w:r>
              <w:rPr>
                <w:rFonts w:ascii="Arial" w:hAnsi="Arial" w:eastAsia="Arial" w:cs="Arial"/>
                <w:b w:val="0"/>
                <w:i w:val="0"/>
                <w:color w:val="2C3E50"/>
                <w:sz w:val="20"/>
              </w:rPr>
              <w:t>Quiet hours</w:t>
            </w:r>
          </w:p>
        </w:tc>
        <w:tc>
          <w:tcPr>
            <w:tcW w:w="6912" w:type="dxa"/>
            <w:tcBorders>
              <w:top w:val="single" w:color="DDDDDD" w:sz="4" w:space="0"/>
              <w:left w:val="single" w:color="DDDDDD" w:sz="4" w:space="0"/>
              <w:bottom w:val="single" w:color="DDDDDD" w:sz="4" w:space="0"/>
              <w:right w:val="single" w:color="DDDDDD" w:sz="4" w:space="0"/>
            </w:tcBorders>
            <w:vAlign w:val="top"/>
          </w:tcPr>
          <w:p w14:paraId="37BEC2F9">
            <w:pPr>
              <w:spacing w:before="40" w:after="40"/>
            </w:pPr>
            <w:r>
              <w:rPr>
                <w:rFonts w:ascii="Arial" w:hAnsi="Arial" w:eastAsia="Arial" w:cs="Arial"/>
                <w:b w:val="0"/>
                <w:i w:val="0"/>
                <w:color w:val="2C3E50"/>
                <w:sz w:val="20"/>
              </w:rPr>
              <w:t>21:00–09:00 IST window during which non-urgent triggers are suppressed.</w:t>
            </w:r>
          </w:p>
        </w:tc>
      </w:tr>
      <w:tr w14:paraId="43981F9E">
        <w:tc>
          <w:tcPr>
            <w:tcW w:w="2448" w:type="dxa"/>
            <w:tcBorders>
              <w:top w:val="single" w:color="DDDDDD" w:sz="4" w:space="0"/>
              <w:left w:val="single" w:color="DDDDDD" w:sz="4" w:space="0"/>
              <w:bottom w:val="single" w:color="DDDDDD" w:sz="4" w:space="0"/>
              <w:right w:val="single" w:color="DDDDDD" w:sz="4" w:space="0"/>
            </w:tcBorders>
            <w:shd w:val="clear" w:color="auto" w:fill="F8F9FA"/>
            <w:vAlign w:val="top"/>
          </w:tcPr>
          <w:p w14:paraId="22FE1827">
            <w:pPr>
              <w:spacing w:before="40" w:after="40"/>
            </w:pPr>
            <w:r>
              <w:rPr>
                <w:rFonts w:ascii="Arial" w:hAnsi="Arial" w:eastAsia="Arial" w:cs="Arial"/>
                <w:b w:val="0"/>
                <w:i w:val="0"/>
                <w:color w:val="2C3E50"/>
                <w:sz w:val="20"/>
              </w:rPr>
              <w:t>Run</w:t>
            </w:r>
          </w:p>
        </w:tc>
        <w:tc>
          <w:tcPr>
            <w:tcW w:w="6912" w:type="dxa"/>
            <w:tcBorders>
              <w:top w:val="single" w:color="DDDDDD" w:sz="4" w:space="0"/>
              <w:left w:val="single" w:color="DDDDDD" w:sz="4" w:space="0"/>
              <w:bottom w:val="single" w:color="DDDDDD" w:sz="4" w:space="0"/>
              <w:right w:val="single" w:color="DDDDDD" w:sz="4" w:space="0"/>
            </w:tcBorders>
            <w:shd w:val="clear" w:color="auto" w:fill="F8F9FA"/>
            <w:vAlign w:val="top"/>
          </w:tcPr>
          <w:p w14:paraId="2733C5E8">
            <w:pPr>
              <w:spacing w:before="40" w:after="40"/>
            </w:pPr>
            <w:r>
              <w:rPr>
                <w:rFonts w:ascii="Arial" w:hAnsi="Arial" w:eastAsia="Arial" w:cs="Arial"/>
                <w:b w:val="0"/>
                <w:i w:val="0"/>
                <w:color w:val="2C3E50"/>
                <w:sz w:val="20"/>
              </w:rPr>
              <w:t>A single execution of a campaign's fan-out. Multiple runs per campaign — each fires the same campaign config but produces a new row in tpe_campaign_runs.</w:t>
            </w:r>
          </w:p>
        </w:tc>
      </w:tr>
      <w:tr w14:paraId="6C2E40B7">
        <w:tc>
          <w:tcPr>
            <w:tcW w:w="2448" w:type="dxa"/>
            <w:tcBorders>
              <w:top w:val="single" w:color="DDDDDD" w:sz="4" w:space="0"/>
              <w:left w:val="single" w:color="DDDDDD" w:sz="4" w:space="0"/>
              <w:bottom w:val="single" w:color="DDDDDD" w:sz="4" w:space="0"/>
              <w:right w:val="single" w:color="DDDDDD" w:sz="4" w:space="0"/>
            </w:tcBorders>
            <w:vAlign w:val="top"/>
          </w:tcPr>
          <w:p w14:paraId="7978B3CC">
            <w:pPr>
              <w:spacing w:before="40" w:after="40"/>
            </w:pPr>
            <w:r>
              <w:rPr>
                <w:rFonts w:ascii="Arial" w:hAnsi="Arial" w:eastAsia="Arial" w:cs="Arial"/>
                <w:b w:val="0"/>
                <w:i w:val="0"/>
                <w:color w:val="2C3E50"/>
                <w:sz w:val="20"/>
              </w:rPr>
              <w:t>Schedule (one-off)</w:t>
            </w:r>
          </w:p>
        </w:tc>
        <w:tc>
          <w:tcPr>
            <w:tcW w:w="6912" w:type="dxa"/>
            <w:tcBorders>
              <w:top w:val="single" w:color="DDDDDD" w:sz="4" w:space="0"/>
              <w:left w:val="single" w:color="DDDDDD" w:sz="4" w:space="0"/>
              <w:bottom w:val="single" w:color="DDDDDD" w:sz="4" w:space="0"/>
              <w:right w:val="single" w:color="DDDDDD" w:sz="4" w:space="0"/>
            </w:tcBorders>
            <w:vAlign w:val="top"/>
          </w:tcPr>
          <w:p w14:paraId="251FCC1C">
            <w:pPr>
              <w:spacing w:before="40" w:after="40"/>
            </w:pPr>
            <w:r>
              <w:rPr>
                <w:rFonts w:ascii="Arial" w:hAnsi="Arial" w:eastAsia="Arial" w:cs="Arial"/>
                <w:b w:val="0"/>
                <w:i w:val="0"/>
                <w:color w:val="2C3E50"/>
                <w:sz w:val="20"/>
              </w:rPr>
              <w:t>A single deferred trigger on /admin/schedules. The admin-worker picks it up at fireAt and fires once.</w:t>
            </w:r>
          </w:p>
        </w:tc>
      </w:tr>
      <w:tr w14:paraId="44ABB610">
        <w:tc>
          <w:tcPr>
            <w:tcW w:w="2448" w:type="dxa"/>
            <w:tcBorders>
              <w:top w:val="single" w:color="DDDDDD" w:sz="4" w:space="0"/>
              <w:left w:val="single" w:color="DDDDDD" w:sz="4" w:space="0"/>
              <w:bottom w:val="single" w:color="DDDDDD" w:sz="4" w:space="0"/>
              <w:right w:val="single" w:color="DDDDDD" w:sz="4" w:space="0"/>
            </w:tcBorders>
            <w:shd w:val="clear" w:color="auto" w:fill="F8F9FA"/>
            <w:vAlign w:val="top"/>
          </w:tcPr>
          <w:p w14:paraId="310FDC6B">
            <w:pPr>
              <w:spacing w:before="40" w:after="40"/>
            </w:pPr>
            <w:r>
              <w:rPr>
                <w:rFonts w:ascii="Arial" w:hAnsi="Arial" w:eastAsia="Arial" w:cs="Arial"/>
                <w:b w:val="0"/>
                <w:i w:val="0"/>
                <w:color w:val="2C3E50"/>
                <w:sz w:val="20"/>
              </w:rPr>
              <w:t>SES</w:t>
            </w:r>
          </w:p>
        </w:tc>
        <w:tc>
          <w:tcPr>
            <w:tcW w:w="6912" w:type="dxa"/>
            <w:tcBorders>
              <w:top w:val="single" w:color="DDDDDD" w:sz="4" w:space="0"/>
              <w:left w:val="single" w:color="DDDDDD" w:sz="4" w:space="0"/>
              <w:bottom w:val="single" w:color="DDDDDD" w:sz="4" w:space="0"/>
              <w:right w:val="single" w:color="DDDDDD" w:sz="4" w:space="0"/>
            </w:tcBorders>
            <w:shd w:val="clear" w:color="auto" w:fill="F8F9FA"/>
            <w:vAlign w:val="top"/>
          </w:tcPr>
          <w:p w14:paraId="2F8DD5FC">
            <w:pPr>
              <w:spacing w:before="40" w:after="40"/>
            </w:pPr>
            <w:r>
              <w:rPr>
                <w:rFonts w:ascii="Arial" w:hAnsi="Arial" w:eastAsia="Arial" w:cs="Arial"/>
                <w:b w:val="0"/>
                <w:i w:val="0"/>
                <w:color w:val="2C3E50"/>
                <w:sz w:val="20"/>
              </w:rPr>
              <w:t>AWS Simple Email Service — TPE's email provider, region ap-south-1.</w:t>
            </w:r>
          </w:p>
        </w:tc>
      </w:tr>
      <w:tr w14:paraId="57D93203">
        <w:tc>
          <w:tcPr>
            <w:tcW w:w="2448" w:type="dxa"/>
            <w:tcBorders>
              <w:top w:val="single" w:color="DDDDDD" w:sz="4" w:space="0"/>
              <w:left w:val="single" w:color="DDDDDD" w:sz="4" w:space="0"/>
              <w:bottom w:val="single" w:color="DDDDDD" w:sz="4" w:space="0"/>
              <w:right w:val="single" w:color="DDDDDD" w:sz="4" w:space="0"/>
            </w:tcBorders>
            <w:vAlign w:val="top"/>
          </w:tcPr>
          <w:p w14:paraId="2346EF99">
            <w:pPr>
              <w:spacing w:before="40" w:after="40"/>
            </w:pPr>
            <w:r>
              <w:rPr>
                <w:rFonts w:ascii="Arial" w:hAnsi="Arial" w:eastAsia="Arial" w:cs="Arial"/>
                <w:b w:val="0"/>
                <w:i w:val="0"/>
                <w:color w:val="2C3E50"/>
                <w:sz w:val="20"/>
              </w:rPr>
              <w:t>Studio</w:t>
            </w:r>
          </w:p>
        </w:tc>
        <w:tc>
          <w:tcPr>
            <w:tcW w:w="6912" w:type="dxa"/>
            <w:tcBorders>
              <w:top w:val="single" w:color="DDDDDD" w:sz="4" w:space="0"/>
              <w:left w:val="single" w:color="DDDDDD" w:sz="4" w:space="0"/>
              <w:bottom w:val="single" w:color="DDDDDD" w:sz="4" w:space="0"/>
              <w:right w:val="single" w:color="DDDDDD" w:sz="4" w:space="0"/>
            </w:tcBorders>
            <w:vAlign w:val="top"/>
          </w:tcPr>
          <w:p w14:paraId="46876578">
            <w:pPr>
              <w:spacing w:before="40" w:after="40"/>
            </w:pPr>
            <w:r>
              <w:rPr>
                <w:rFonts w:ascii="Arial" w:hAnsi="Arial" w:eastAsia="Arial" w:cs="Arial"/>
                <w:b w:val="0"/>
                <w:i w:val="0"/>
                <w:color w:val="2C3E50"/>
                <w:sz w:val="20"/>
              </w:rPr>
              <w:t>Novu Dashboard's workflow authoring UI.</w:t>
            </w:r>
          </w:p>
        </w:tc>
      </w:tr>
      <w:tr w14:paraId="3F3453AC">
        <w:tc>
          <w:tcPr>
            <w:tcW w:w="2448" w:type="dxa"/>
            <w:tcBorders>
              <w:top w:val="single" w:color="DDDDDD" w:sz="4" w:space="0"/>
              <w:left w:val="single" w:color="DDDDDD" w:sz="4" w:space="0"/>
              <w:bottom w:val="single" w:color="DDDDDD" w:sz="4" w:space="0"/>
              <w:right w:val="single" w:color="DDDDDD" w:sz="4" w:space="0"/>
            </w:tcBorders>
            <w:shd w:val="clear" w:color="auto" w:fill="F8F9FA"/>
            <w:vAlign w:val="top"/>
          </w:tcPr>
          <w:p w14:paraId="5366E975">
            <w:pPr>
              <w:spacing w:before="40" w:after="40"/>
            </w:pPr>
            <w:r>
              <w:rPr>
                <w:rFonts w:ascii="Arial" w:hAnsi="Arial" w:eastAsia="Arial" w:cs="Arial"/>
                <w:b w:val="0"/>
                <w:i w:val="0"/>
                <w:color w:val="2C3E50"/>
                <w:sz w:val="20"/>
              </w:rPr>
              <w:t>Subscriber</w:t>
            </w:r>
          </w:p>
        </w:tc>
        <w:tc>
          <w:tcPr>
            <w:tcW w:w="6912" w:type="dxa"/>
            <w:tcBorders>
              <w:top w:val="single" w:color="DDDDDD" w:sz="4" w:space="0"/>
              <w:left w:val="single" w:color="DDDDDD" w:sz="4" w:space="0"/>
              <w:bottom w:val="single" w:color="DDDDDD" w:sz="4" w:space="0"/>
              <w:right w:val="single" w:color="DDDDDD" w:sz="4" w:space="0"/>
            </w:tcBorders>
            <w:shd w:val="clear" w:color="auto" w:fill="F8F9FA"/>
            <w:vAlign w:val="top"/>
          </w:tcPr>
          <w:p w14:paraId="3F8E4E8E">
            <w:pPr>
              <w:spacing w:before="40" w:after="40"/>
            </w:pPr>
            <w:r>
              <w:rPr>
                <w:rFonts w:ascii="Arial" w:hAnsi="Arial" w:eastAsia="Arial" w:cs="Arial"/>
                <w:b w:val="0"/>
                <w:i w:val="0"/>
                <w:color w:val="2C3E50"/>
                <w:sz w:val="20"/>
              </w:rPr>
              <w:t>A notification recipient, identified by subscriberId. Created automatically on first trigger or explicitly via the dashboard.</w:t>
            </w:r>
          </w:p>
        </w:tc>
      </w:tr>
      <w:tr w14:paraId="0962F70D">
        <w:tc>
          <w:tcPr>
            <w:tcW w:w="2448" w:type="dxa"/>
            <w:tcBorders>
              <w:top w:val="single" w:color="DDDDDD" w:sz="4" w:space="0"/>
              <w:left w:val="single" w:color="DDDDDD" w:sz="4" w:space="0"/>
              <w:bottom w:val="single" w:color="DDDDDD" w:sz="4" w:space="0"/>
              <w:right w:val="single" w:color="DDDDDD" w:sz="4" w:space="0"/>
            </w:tcBorders>
            <w:vAlign w:val="top"/>
          </w:tcPr>
          <w:p w14:paraId="2882B11F">
            <w:pPr>
              <w:spacing w:before="40" w:after="40"/>
            </w:pPr>
            <w:r>
              <w:rPr>
                <w:rFonts w:ascii="Arial" w:hAnsi="Arial" w:eastAsia="Arial" w:cs="Arial"/>
                <w:b w:val="0"/>
                <w:i w:val="0"/>
                <w:color w:val="2C3E50"/>
                <w:sz w:val="20"/>
              </w:rPr>
              <w:t>transactionId</w:t>
            </w:r>
          </w:p>
        </w:tc>
        <w:tc>
          <w:tcPr>
            <w:tcW w:w="6912" w:type="dxa"/>
            <w:tcBorders>
              <w:top w:val="single" w:color="DDDDDD" w:sz="4" w:space="0"/>
              <w:left w:val="single" w:color="DDDDDD" w:sz="4" w:space="0"/>
              <w:bottom w:val="single" w:color="DDDDDD" w:sz="4" w:space="0"/>
              <w:right w:val="single" w:color="DDDDDD" w:sz="4" w:space="0"/>
            </w:tcBorders>
            <w:vAlign w:val="top"/>
          </w:tcPr>
          <w:p w14:paraId="7B712D77">
            <w:pPr>
              <w:spacing w:before="40" w:after="40"/>
            </w:pPr>
            <w:r>
              <w:rPr>
                <w:rFonts w:ascii="Arial" w:hAnsi="Arial" w:eastAsia="Arial" w:cs="Arial"/>
                <w:b w:val="0"/>
                <w:i w:val="0"/>
                <w:color w:val="2C3E50"/>
                <w:sz w:val="20"/>
              </w:rPr>
              <w:t>Novu's unique key per trigger. Used to correlate dispatches across channels in audit rows.</w:t>
            </w:r>
          </w:p>
        </w:tc>
      </w:tr>
      <w:tr w14:paraId="29FEB68E">
        <w:tc>
          <w:tcPr>
            <w:tcW w:w="2448" w:type="dxa"/>
            <w:tcBorders>
              <w:top w:val="single" w:color="DDDDDD" w:sz="4" w:space="0"/>
              <w:left w:val="single" w:color="DDDDDD" w:sz="4" w:space="0"/>
              <w:bottom w:val="single" w:color="DDDDDD" w:sz="4" w:space="0"/>
              <w:right w:val="single" w:color="DDDDDD" w:sz="4" w:space="0"/>
            </w:tcBorders>
            <w:shd w:val="clear" w:color="auto" w:fill="F8F9FA"/>
            <w:vAlign w:val="top"/>
          </w:tcPr>
          <w:p w14:paraId="69424F53">
            <w:pPr>
              <w:spacing w:before="40" w:after="40"/>
            </w:pPr>
            <w:r>
              <w:rPr>
                <w:rFonts w:ascii="Arial" w:hAnsi="Arial" w:eastAsia="Arial" w:cs="Arial"/>
                <w:b w:val="0"/>
                <w:i w:val="0"/>
                <w:color w:val="2C3E50"/>
                <w:sz w:val="20"/>
              </w:rPr>
              <w:t>Workflow</w:t>
            </w:r>
          </w:p>
        </w:tc>
        <w:tc>
          <w:tcPr>
            <w:tcW w:w="6912" w:type="dxa"/>
            <w:tcBorders>
              <w:top w:val="single" w:color="DDDDDD" w:sz="4" w:space="0"/>
              <w:left w:val="single" w:color="DDDDDD" w:sz="4" w:space="0"/>
              <w:bottom w:val="single" w:color="DDDDDD" w:sz="4" w:space="0"/>
              <w:right w:val="single" w:color="DDDDDD" w:sz="4" w:space="0"/>
            </w:tcBorders>
            <w:shd w:val="clear" w:color="auto" w:fill="F8F9FA"/>
            <w:vAlign w:val="top"/>
          </w:tcPr>
          <w:p w14:paraId="586909F6">
            <w:pPr>
              <w:spacing w:before="40" w:after="40"/>
            </w:pPr>
            <w:r>
              <w:rPr>
                <w:rFonts w:ascii="Arial" w:hAnsi="Arial" w:eastAsia="Arial" w:cs="Arial"/>
                <w:b w:val="0"/>
                <w:i w:val="0"/>
                <w:color w:val="2C3E50"/>
                <w:sz w:val="20"/>
              </w:rPr>
              <w:t>A series of channel-steps + delays + decisions. The recipe for a notification.</w:t>
            </w:r>
          </w:p>
        </w:tc>
      </w:tr>
    </w:tbl>
    <w:p w14:paraId="31A60095">
      <w:r>
        <w:br w:type="page"/>
      </w:r>
    </w:p>
    <w:p w14:paraId="6CE4DD07">
      <w:pPr>
        <w:keepNext/>
        <w:spacing w:before="240" w:after="160"/>
      </w:pPr>
      <w:r>
        <w:rPr>
          <w:rFonts w:ascii="Arial" w:hAnsi="Arial" w:eastAsia="Arial" w:cs="Arial"/>
          <w:b/>
          <w:i w:val="0"/>
          <w:color w:val="1B3A5C"/>
          <w:sz w:val="36"/>
        </w:rPr>
        <w:t>16.  References &amp; Links</w:t>
      </w:r>
    </w:p>
    <w:p w14:paraId="394446D6">
      <w:pPr>
        <w:keepNext/>
        <w:spacing w:before="160" w:after="120"/>
      </w:pPr>
      <w:r>
        <w:rPr>
          <w:rFonts w:ascii="Arial" w:hAnsi="Arial" w:eastAsia="Arial" w:cs="Arial"/>
          <w:b/>
          <w:i w:val="0"/>
          <w:color w:val="1B3A5C"/>
          <w:sz w:val="28"/>
        </w:rPr>
        <w:t>16.1  Internal documents</w:t>
      </w:r>
    </w:p>
    <w:tbl>
      <w:tblPr>
        <w:tblStyle w:val="12"/>
        <w:tblW w:w="0" w:type="auto"/>
        <w:tblInd w:w="0" w:type="dxa"/>
        <w:tblLayout w:type="fixed"/>
        <w:tblCellMar>
          <w:top w:w="0" w:type="dxa"/>
          <w:left w:w="108" w:type="dxa"/>
          <w:bottom w:w="0" w:type="dxa"/>
          <w:right w:w="108" w:type="dxa"/>
        </w:tblCellMar>
      </w:tblPr>
      <w:tblGrid>
        <w:gridCol w:w="3456"/>
        <w:gridCol w:w="5904"/>
      </w:tblGrid>
      <w:tr w14:paraId="3E3B2219">
        <w:tc>
          <w:tcPr>
            <w:tcW w:w="3456" w:type="dxa"/>
            <w:tcBorders>
              <w:top w:val="single" w:color="FFFFFF" w:sz="4" w:space="0"/>
              <w:left w:val="single" w:color="FFFFFF" w:sz="4" w:space="0"/>
              <w:bottom w:val="single" w:color="FFFFFF" w:sz="4" w:space="0"/>
              <w:right w:val="single" w:color="FFFFFF" w:sz="4" w:space="0"/>
            </w:tcBorders>
            <w:shd w:val="clear" w:color="auto" w:fill="1B3A5C"/>
            <w:vAlign w:val="center"/>
          </w:tcPr>
          <w:p w14:paraId="307A0B15">
            <w:pPr>
              <w:spacing w:before="40" w:after="40"/>
            </w:pPr>
            <w:r>
              <w:rPr>
                <w:rFonts w:ascii="Arial" w:hAnsi="Arial" w:eastAsia="Arial" w:cs="Arial"/>
                <w:b/>
                <w:i w:val="0"/>
                <w:color w:val="FFFFFF"/>
                <w:sz w:val="20"/>
              </w:rPr>
              <w:t>Document</w:t>
            </w:r>
          </w:p>
        </w:tc>
        <w:tc>
          <w:tcPr>
            <w:tcW w:w="5904" w:type="dxa"/>
            <w:tcBorders>
              <w:top w:val="single" w:color="FFFFFF" w:sz="4" w:space="0"/>
              <w:left w:val="single" w:color="FFFFFF" w:sz="4" w:space="0"/>
              <w:bottom w:val="single" w:color="FFFFFF" w:sz="4" w:space="0"/>
              <w:right w:val="single" w:color="FFFFFF" w:sz="4" w:space="0"/>
            </w:tcBorders>
            <w:shd w:val="clear" w:color="auto" w:fill="1B3A5C"/>
            <w:vAlign w:val="center"/>
          </w:tcPr>
          <w:p w14:paraId="3EF4C0DD">
            <w:pPr>
              <w:spacing w:before="40" w:after="40"/>
            </w:pPr>
            <w:r>
              <w:rPr>
                <w:rFonts w:ascii="Arial" w:hAnsi="Arial" w:eastAsia="Arial" w:cs="Arial"/>
                <w:b/>
                <w:i w:val="0"/>
                <w:color w:val="FFFFFF"/>
                <w:sz w:val="20"/>
              </w:rPr>
              <w:t>Path / location</w:t>
            </w:r>
          </w:p>
        </w:tc>
      </w:tr>
      <w:tr w14:paraId="2236A40F">
        <w:tc>
          <w:tcPr>
            <w:tcW w:w="3456" w:type="dxa"/>
            <w:tcBorders>
              <w:top w:val="single" w:color="DDDDDD" w:sz="4" w:space="0"/>
              <w:left w:val="single" w:color="DDDDDD" w:sz="4" w:space="0"/>
              <w:bottom w:val="single" w:color="DDDDDD" w:sz="4" w:space="0"/>
              <w:right w:val="single" w:color="DDDDDD" w:sz="4" w:space="0"/>
            </w:tcBorders>
            <w:vAlign w:val="top"/>
          </w:tcPr>
          <w:p w14:paraId="6EBE59E8">
            <w:pPr>
              <w:spacing w:before="40" w:after="40"/>
            </w:pPr>
            <w:r>
              <w:rPr>
                <w:rFonts w:ascii="Arial" w:hAnsi="Arial" w:eastAsia="Arial" w:cs="Arial"/>
                <w:b w:val="0"/>
                <w:i w:val="0"/>
                <w:color w:val="2C3E50"/>
                <w:sz w:val="20"/>
              </w:rPr>
              <w:t>Charter v1.0 + Addendum v1.1</w:t>
            </w:r>
          </w:p>
        </w:tc>
        <w:tc>
          <w:tcPr>
            <w:tcW w:w="5904" w:type="dxa"/>
            <w:tcBorders>
              <w:top w:val="single" w:color="DDDDDD" w:sz="4" w:space="0"/>
              <w:left w:val="single" w:color="DDDDDD" w:sz="4" w:space="0"/>
              <w:bottom w:val="single" w:color="DDDDDD" w:sz="4" w:space="0"/>
              <w:right w:val="single" w:color="DDDDDD" w:sz="4" w:space="0"/>
            </w:tcBorders>
            <w:vAlign w:val="top"/>
          </w:tcPr>
          <w:p w14:paraId="2F7A1731">
            <w:pPr>
              <w:spacing w:before="40" w:after="40"/>
            </w:pPr>
            <w:r>
              <w:rPr>
                <w:rFonts w:ascii="Arial" w:hAnsi="Arial" w:eastAsia="Arial" w:cs="Arial"/>
                <w:b w:val="0"/>
                <w:i w:val="0"/>
                <w:color w:val="2C3E50"/>
                <w:sz w:val="20"/>
              </w:rPr>
              <w:t>docs/TPE_Communication_System_Charter_*.docx</w:t>
            </w:r>
          </w:p>
        </w:tc>
      </w:tr>
      <w:tr w14:paraId="50C8E7A1">
        <w:tc>
          <w:tcPr>
            <w:tcW w:w="3456" w:type="dxa"/>
            <w:tcBorders>
              <w:top w:val="single" w:color="DDDDDD" w:sz="4" w:space="0"/>
              <w:left w:val="single" w:color="DDDDDD" w:sz="4" w:space="0"/>
              <w:bottom w:val="single" w:color="DDDDDD" w:sz="4" w:space="0"/>
              <w:right w:val="single" w:color="DDDDDD" w:sz="4" w:space="0"/>
            </w:tcBorders>
            <w:shd w:val="clear" w:color="auto" w:fill="F8F9FA"/>
            <w:vAlign w:val="top"/>
          </w:tcPr>
          <w:p w14:paraId="1CE1D62E">
            <w:pPr>
              <w:spacing w:before="40" w:after="40"/>
            </w:pPr>
            <w:r>
              <w:rPr>
                <w:rFonts w:ascii="Arial" w:hAnsi="Arial" w:eastAsia="Arial" w:cs="Arial"/>
                <w:b w:val="0"/>
                <w:i w:val="0"/>
                <w:color w:val="2C3E50"/>
                <w:sz w:val="20"/>
              </w:rPr>
              <w:t>Solution Document v1.0</w:t>
            </w:r>
          </w:p>
        </w:tc>
        <w:tc>
          <w:tcPr>
            <w:tcW w:w="5904" w:type="dxa"/>
            <w:tcBorders>
              <w:top w:val="single" w:color="DDDDDD" w:sz="4" w:space="0"/>
              <w:left w:val="single" w:color="DDDDDD" w:sz="4" w:space="0"/>
              <w:bottom w:val="single" w:color="DDDDDD" w:sz="4" w:space="0"/>
              <w:right w:val="single" w:color="DDDDDD" w:sz="4" w:space="0"/>
            </w:tcBorders>
            <w:shd w:val="clear" w:color="auto" w:fill="F8F9FA"/>
            <w:vAlign w:val="top"/>
          </w:tcPr>
          <w:p w14:paraId="2E21729E">
            <w:pPr>
              <w:spacing w:before="40" w:after="40"/>
            </w:pPr>
            <w:r>
              <w:rPr>
                <w:rFonts w:ascii="Arial" w:hAnsi="Arial" w:eastAsia="Arial" w:cs="Arial"/>
                <w:b w:val="0"/>
                <w:i w:val="0"/>
                <w:color w:val="2C3E50"/>
                <w:sz w:val="20"/>
              </w:rPr>
              <w:t>docs/TPE_Communication_System_Novu_Solution_v1.0_turn1_review.docx</w:t>
            </w:r>
          </w:p>
        </w:tc>
      </w:tr>
      <w:tr w14:paraId="21B72A09">
        <w:tc>
          <w:tcPr>
            <w:tcW w:w="3456" w:type="dxa"/>
            <w:tcBorders>
              <w:top w:val="single" w:color="DDDDDD" w:sz="4" w:space="0"/>
              <w:left w:val="single" w:color="DDDDDD" w:sz="4" w:space="0"/>
              <w:bottom w:val="single" w:color="DDDDDD" w:sz="4" w:space="0"/>
              <w:right w:val="single" w:color="DDDDDD" w:sz="4" w:space="0"/>
            </w:tcBorders>
            <w:vAlign w:val="top"/>
          </w:tcPr>
          <w:p w14:paraId="3967A774">
            <w:pPr>
              <w:spacing w:before="40" w:after="40"/>
            </w:pPr>
            <w:r>
              <w:rPr>
                <w:rFonts w:ascii="Arial" w:hAnsi="Arial" w:eastAsia="Arial" w:cs="Arial"/>
                <w:b w:val="0"/>
                <w:i w:val="0"/>
                <w:color w:val="2C3E50"/>
                <w:sz w:val="20"/>
              </w:rPr>
              <w:t>Trigger Conditions v2.0</w:t>
            </w:r>
          </w:p>
        </w:tc>
        <w:tc>
          <w:tcPr>
            <w:tcW w:w="5904" w:type="dxa"/>
            <w:tcBorders>
              <w:top w:val="single" w:color="DDDDDD" w:sz="4" w:space="0"/>
              <w:left w:val="single" w:color="DDDDDD" w:sz="4" w:space="0"/>
              <w:bottom w:val="single" w:color="DDDDDD" w:sz="4" w:space="0"/>
              <w:right w:val="single" w:color="DDDDDD" w:sz="4" w:space="0"/>
            </w:tcBorders>
            <w:vAlign w:val="top"/>
          </w:tcPr>
          <w:p w14:paraId="3E668284">
            <w:pPr>
              <w:spacing w:before="40" w:after="40"/>
            </w:pPr>
            <w:r>
              <w:rPr>
                <w:rFonts w:ascii="Arial" w:hAnsi="Arial" w:eastAsia="Arial" w:cs="Arial"/>
                <w:b w:val="0"/>
                <w:i w:val="0"/>
                <w:color w:val="2C3E50"/>
                <w:sz w:val="20"/>
              </w:rPr>
              <w:t>docs/TPE_Communication_System_Trigger_Conditions_v2.0.docx</w:t>
            </w:r>
          </w:p>
        </w:tc>
      </w:tr>
      <w:tr w14:paraId="0050D3DE">
        <w:tc>
          <w:tcPr>
            <w:tcW w:w="3456" w:type="dxa"/>
            <w:tcBorders>
              <w:top w:val="single" w:color="DDDDDD" w:sz="4" w:space="0"/>
              <w:left w:val="single" w:color="DDDDDD" w:sz="4" w:space="0"/>
              <w:bottom w:val="single" w:color="DDDDDD" w:sz="4" w:space="0"/>
              <w:right w:val="single" w:color="DDDDDD" w:sz="4" w:space="0"/>
            </w:tcBorders>
            <w:shd w:val="clear" w:color="auto" w:fill="F8F9FA"/>
            <w:vAlign w:val="top"/>
          </w:tcPr>
          <w:p w14:paraId="05BC2052">
            <w:pPr>
              <w:spacing w:before="40" w:after="40"/>
            </w:pPr>
            <w:r>
              <w:rPr>
                <w:rFonts w:ascii="Arial" w:hAnsi="Arial" w:eastAsia="Arial" w:cs="Arial"/>
                <w:b w:val="0"/>
                <w:i w:val="0"/>
                <w:color w:val="2C3E50"/>
                <w:sz w:val="20"/>
              </w:rPr>
              <w:t>Combined Deployment Guide</w:t>
            </w:r>
          </w:p>
        </w:tc>
        <w:tc>
          <w:tcPr>
            <w:tcW w:w="5904" w:type="dxa"/>
            <w:tcBorders>
              <w:top w:val="single" w:color="DDDDDD" w:sz="4" w:space="0"/>
              <w:left w:val="single" w:color="DDDDDD" w:sz="4" w:space="0"/>
              <w:bottom w:val="single" w:color="DDDDDD" w:sz="4" w:space="0"/>
              <w:right w:val="single" w:color="DDDDDD" w:sz="4" w:space="0"/>
            </w:tcBorders>
            <w:shd w:val="clear" w:color="auto" w:fill="F8F9FA"/>
            <w:vAlign w:val="top"/>
          </w:tcPr>
          <w:p w14:paraId="16D0EB72">
            <w:pPr>
              <w:spacing w:before="40" w:after="40"/>
            </w:pPr>
            <w:r>
              <w:rPr>
                <w:rFonts w:ascii="Arial" w:hAnsi="Arial" w:eastAsia="Arial" w:cs="Arial"/>
                <w:b w:val="0"/>
                <w:i w:val="0"/>
                <w:color w:val="2C3E50"/>
                <w:sz w:val="20"/>
              </w:rPr>
              <w:t>deployment/Novu-Combined-Deployment-Guide.docx</w:t>
            </w:r>
          </w:p>
        </w:tc>
      </w:tr>
      <w:tr w14:paraId="3D314993">
        <w:tc>
          <w:tcPr>
            <w:tcW w:w="3456" w:type="dxa"/>
            <w:tcBorders>
              <w:top w:val="single" w:color="DDDDDD" w:sz="4" w:space="0"/>
              <w:left w:val="single" w:color="DDDDDD" w:sz="4" w:space="0"/>
              <w:bottom w:val="single" w:color="DDDDDD" w:sz="4" w:space="0"/>
              <w:right w:val="single" w:color="DDDDDD" w:sz="4" w:space="0"/>
            </w:tcBorders>
            <w:vAlign w:val="top"/>
          </w:tcPr>
          <w:p w14:paraId="72FF6A6B">
            <w:pPr>
              <w:spacing w:before="40" w:after="40"/>
            </w:pPr>
            <w:r>
              <w:rPr>
                <w:rFonts w:ascii="Arial" w:hAnsi="Arial" w:eastAsia="Arial" w:cs="Arial"/>
                <w:b w:val="0"/>
                <w:i w:val="0"/>
                <w:color w:val="2C3E50"/>
                <w:sz w:val="20"/>
              </w:rPr>
              <w:t>Bridge AUTHORING.md</w:t>
            </w:r>
          </w:p>
        </w:tc>
        <w:tc>
          <w:tcPr>
            <w:tcW w:w="5904" w:type="dxa"/>
            <w:tcBorders>
              <w:top w:val="single" w:color="DDDDDD" w:sz="4" w:space="0"/>
              <w:left w:val="single" w:color="DDDDDD" w:sz="4" w:space="0"/>
              <w:bottom w:val="single" w:color="DDDDDD" w:sz="4" w:space="0"/>
              <w:right w:val="single" w:color="DDDDDD" w:sz="4" w:space="0"/>
            </w:tcBorders>
            <w:vAlign w:val="top"/>
          </w:tcPr>
          <w:p w14:paraId="189AFE59">
            <w:pPr>
              <w:spacing w:before="40" w:after="40"/>
            </w:pPr>
            <w:r>
              <w:rPr>
                <w:rFonts w:ascii="Arial" w:hAnsi="Arial" w:eastAsia="Arial" w:cs="Arial"/>
                <w:b w:val="0"/>
                <w:i w:val="0"/>
                <w:color w:val="2C3E50"/>
                <w:sz w:val="20"/>
              </w:rPr>
              <w:t>bridge/workflows/AUTHORING.md  (engineering-only)</w:t>
            </w:r>
          </w:p>
        </w:tc>
      </w:tr>
    </w:tbl>
    <w:p w14:paraId="4E5BF171">
      <w:pPr>
        <w:keepNext/>
        <w:spacing w:before="160" w:after="120"/>
      </w:pPr>
      <w:r>
        <w:rPr>
          <w:rFonts w:ascii="Arial" w:hAnsi="Arial" w:eastAsia="Arial" w:cs="Arial"/>
          <w:b/>
          <w:i w:val="0"/>
          <w:color w:val="1B3A5C"/>
          <w:sz w:val="28"/>
        </w:rPr>
        <w:t>16.2  External references</w:t>
      </w:r>
    </w:p>
    <w:tbl>
      <w:tblPr>
        <w:tblStyle w:val="12"/>
        <w:tblW w:w="0" w:type="auto"/>
        <w:tblInd w:w="0" w:type="dxa"/>
        <w:tblLayout w:type="fixed"/>
        <w:tblCellMar>
          <w:top w:w="0" w:type="dxa"/>
          <w:left w:w="108" w:type="dxa"/>
          <w:bottom w:w="0" w:type="dxa"/>
          <w:right w:w="108" w:type="dxa"/>
        </w:tblCellMar>
      </w:tblPr>
      <w:tblGrid>
        <w:gridCol w:w="3456"/>
        <w:gridCol w:w="5904"/>
      </w:tblGrid>
      <w:tr w14:paraId="78B21935">
        <w:tc>
          <w:tcPr>
            <w:tcW w:w="3456" w:type="dxa"/>
            <w:tcBorders>
              <w:top w:val="single" w:color="FFFFFF" w:sz="4" w:space="0"/>
              <w:left w:val="single" w:color="FFFFFF" w:sz="4" w:space="0"/>
              <w:bottom w:val="single" w:color="FFFFFF" w:sz="4" w:space="0"/>
              <w:right w:val="single" w:color="FFFFFF" w:sz="4" w:space="0"/>
            </w:tcBorders>
            <w:shd w:val="clear" w:color="auto" w:fill="1B3A5C"/>
            <w:vAlign w:val="center"/>
          </w:tcPr>
          <w:p w14:paraId="4D88FD46">
            <w:pPr>
              <w:spacing w:before="40" w:after="40"/>
            </w:pPr>
            <w:r>
              <w:rPr>
                <w:rFonts w:ascii="Arial" w:hAnsi="Arial" w:eastAsia="Arial" w:cs="Arial"/>
                <w:b/>
                <w:i w:val="0"/>
                <w:color w:val="FFFFFF"/>
                <w:sz w:val="20"/>
              </w:rPr>
              <w:t>Resource</w:t>
            </w:r>
          </w:p>
        </w:tc>
        <w:tc>
          <w:tcPr>
            <w:tcW w:w="5904" w:type="dxa"/>
            <w:tcBorders>
              <w:top w:val="single" w:color="FFFFFF" w:sz="4" w:space="0"/>
              <w:left w:val="single" w:color="FFFFFF" w:sz="4" w:space="0"/>
              <w:bottom w:val="single" w:color="FFFFFF" w:sz="4" w:space="0"/>
              <w:right w:val="single" w:color="FFFFFF" w:sz="4" w:space="0"/>
            </w:tcBorders>
            <w:shd w:val="clear" w:color="auto" w:fill="1B3A5C"/>
            <w:vAlign w:val="center"/>
          </w:tcPr>
          <w:p w14:paraId="34B12DEB">
            <w:pPr>
              <w:spacing w:before="40" w:after="40"/>
            </w:pPr>
            <w:r>
              <w:rPr>
                <w:rFonts w:ascii="Arial" w:hAnsi="Arial" w:eastAsia="Arial" w:cs="Arial"/>
                <w:b/>
                <w:i w:val="0"/>
                <w:color w:val="FFFFFF"/>
                <w:sz w:val="20"/>
              </w:rPr>
              <w:t>URL</w:t>
            </w:r>
          </w:p>
        </w:tc>
      </w:tr>
      <w:tr w14:paraId="47416A85">
        <w:tc>
          <w:tcPr>
            <w:tcW w:w="3456" w:type="dxa"/>
            <w:tcBorders>
              <w:top w:val="single" w:color="DDDDDD" w:sz="4" w:space="0"/>
              <w:left w:val="single" w:color="DDDDDD" w:sz="4" w:space="0"/>
              <w:bottom w:val="single" w:color="DDDDDD" w:sz="4" w:space="0"/>
              <w:right w:val="single" w:color="DDDDDD" w:sz="4" w:space="0"/>
            </w:tcBorders>
            <w:vAlign w:val="top"/>
          </w:tcPr>
          <w:p w14:paraId="3AF01053">
            <w:pPr>
              <w:spacing w:before="40" w:after="40"/>
            </w:pPr>
            <w:r>
              <w:rPr>
                <w:rFonts w:ascii="Arial" w:hAnsi="Arial" w:eastAsia="Arial" w:cs="Arial"/>
                <w:b w:val="0"/>
                <w:i w:val="0"/>
                <w:color w:val="2C3E50"/>
                <w:sz w:val="20"/>
              </w:rPr>
              <w:t>Novu CE Documentation</w:t>
            </w:r>
          </w:p>
        </w:tc>
        <w:tc>
          <w:tcPr>
            <w:tcW w:w="5904" w:type="dxa"/>
            <w:tcBorders>
              <w:top w:val="single" w:color="DDDDDD" w:sz="4" w:space="0"/>
              <w:left w:val="single" w:color="DDDDDD" w:sz="4" w:space="0"/>
              <w:bottom w:val="single" w:color="DDDDDD" w:sz="4" w:space="0"/>
              <w:right w:val="single" w:color="DDDDDD" w:sz="4" w:space="0"/>
            </w:tcBorders>
            <w:vAlign w:val="top"/>
          </w:tcPr>
          <w:p w14:paraId="5B6212E2">
            <w:pPr>
              <w:spacing w:before="40" w:after="40"/>
            </w:pPr>
            <w:r>
              <w:rPr>
                <w:rFonts w:ascii="Arial" w:hAnsi="Arial" w:eastAsia="Arial" w:cs="Arial"/>
                <w:b w:val="0"/>
                <w:i w:val="0"/>
                <w:color w:val="2C3E50"/>
                <w:sz w:val="20"/>
              </w:rPr>
              <w:t>https://docs.novu.co/</w:t>
            </w:r>
          </w:p>
        </w:tc>
      </w:tr>
      <w:tr w14:paraId="3B26E3B0">
        <w:tc>
          <w:tcPr>
            <w:tcW w:w="3456" w:type="dxa"/>
            <w:tcBorders>
              <w:top w:val="single" w:color="DDDDDD" w:sz="4" w:space="0"/>
              <w:left w:val="single" w:color="DDDDDD" w:sz="4" w:space="0"/>
              <w:bottom w:val="single" w:color="DDDDDD" w:sz="4" w:space="0"/>
              <w:right w:val="single" w:color="DDDDDD" w:sz="4" w:space="0"/>
            </w:tcBorders>
            <w:shd w:val="clear" w:color="auto" w:fill="F8F9FA"/>
            <w:vAlign w:val="top"/>
          </w:tcPr>
          <w:p w14:paraId="0B4A63D4">
            <w:pPr>
              <w:spacing w:before="40" w:after="40"/>
            </w:pPr>
            <w:r>
              <w:rPr>
                <w:rFonts w:ascii="Arial" w:hAnsi="Arial" w:eastAsia="Arial" w:cs="Arial"/>
                <w:b w:val="0"/>
                <w:i w:val="0"/>
                <w:color w:val="2C3E50"/>
                <w:sz w:val="20"/>
              </w:rPr>
              <w:t>MSG91 v5 Flow API</w:t>
            </w:r>
          </w:p>
        </w:tc>
        <w:tc>
          <w:tcPr>
            <w:tcW w:w="5904" w:type="dxa"/>
            <w:tcBorders>
              <w:top w:val="single" w:color="DDDDDD" w:sz="4" w:space="0"/>
              <w:left w:val="single" w:color="DDDDDD" w:sz="4" w:space="0"/>
              <w:bottom w:val="single" w:color="DDDDDD" w:sz="4" w:space="0"/>
              <w:right w:val="single" w:color="DDDDDD" w:sz="4" w:space="0"/>
            </w:tcBorders>
            <w:shd w:val="clear" w:color="auto" w:fill="F8F9FA"/>
            <w:vAlign w:val="top"/>
          </w:tcPr>
          <w:p w14:paraId="2C085464">
            <w:pPr>
              <w:spacing w:before="40" w:after="40"/>
            </w:pPr>
            <w:r>
              <w:rPr>
                <w:rFonts w:ascii="Arial" w:hAnsi="Arial" w:eastAsia="Arial" w:cs="Arial"/>
                <w:b w:val="0"/>
                <w:i w:val="0"/>
                <w:color w:val="2C3E50"/>
                <w:sz w:val="20"/>
              </w:rPr>
              <w:t>https://docs.msg91.com/</w:t>
            </w:r>
          </w:p>
        </w:tc>
      </w:tr>
      <w:tr w14:paraId="66327E11">
        <w:tc>
          <w:tcPr>
            <w:tcW w:w="3456" w:type="dxa"/>
            <w:tcBorders>
              <w:top w:val="single" w:color="DDDDDD" w:sz="4" w:space="0"/>
              <w:left w:val="single" w:color="DDDDDD" w:sz="4" w:space="0"/>
              <w:bottom w:val="single" w:color="DDDDDD" w:sz="4" w:space="0"/>
              <w:right w:val="single" w:color="DDDDDD" w:sz="4" w:space="0"/>
            </w:tcBorders>
            <w:vAlign w:val="top"/>
          </w:tcPr>
          <w:p w14:paraId="75564C76">
            <w:pPr>
              <w:spacing w:before="40" w:after="40"/>
            </w:pPr>
            <w:r>
              <w:rPr>
                <w:rFonts w:ascii="Arial" w:hAnsi="Arial" w:eastAsia="Arial" w:cs="Arial"/>
                <w:b w:val="0"/>
                <w:i w:val="0"/>
                <w:color w:val="2C3E50"/>
                <w:sz w:val="20"/>
              </w:rPr>
              <w:t>Meta WhatsApp Cloud API</w:t>
            </w:r>
          </w:p>
        </w:tc>
        <w:tc>
          <w:tcPr>
            <w:tcW w:w="5904" w:type="dxa"/>
            <w:tcBorders>
              <w:top w:val="single" w:color="DDDDDD" w:sz="4" w:space="0"/>
              <w:left w:val="single" w:color="DDDDDD" w:sz="4" w:space="0"/>
              <w:bottom w:val="single" w:color="DDDDDD" w:sz="4" w:space="0"/>
              <w:right w:val="single" w:color="DDDDDD" w:sz="4" w:space="0"/>
            </w:tcBorders>
            <w:vAlign w:val="top"/>
          </w:tcPr>
          <w:p w14:paraId="1B9B1313">
            <w:pPr>
              <w:spacing w:before="40" w:after="40"/>
            </w:pPr>
            <w:r>
              <w:rPr>
                <w:rFonts w:ascii="Arial" w:hAnsi="Arial" w:eastAsia="Arial" w:cs="Arial"/>
                <w:b w:val="0"/>
                <w:i w:val="0"/>
                <w:color w:val="2C3E50"/>
                <w:sz w:val="20"/>
              </w:rPr>
              <w:t>https://developers.facebook.com/docs/whatsapp/cloud-api</w:t>
            </w:r>
          </w:p>
        </w:tc>
      </w:tr>
      <w:tr w14:paraId="60A0DF72">
        <w:tc>
          <w:tcPr>
            <w:tcW w:w="3456" w:type="dxa"/>
            <w:tcBorders>
              <w:top w:val="single" w:color="DDDDDD" w:sz="4" w:space="0"/>
              <w:left w:val="single" w:color="DDDDDD" w:sz="4" w:space="0"/>
              <w:bottom w:val="single" w:color="DDDDDD" w:sz="4" w:space="0"/>
              <w:right w:val="single" w:color="DDDDDD" w:sz="4" w:space="0"/>
            </w:tcBorders>
            <w:shd w:val="clear" w:color="auto" w:fill="F8F9FA"/>
            <w:vAlign w:val="top"/>
          </w:tcPr>
          <w:p w14:paraId="5A5860BE">
            <w:pPr>
              <w:spacing w:before="40" w:after="40"/>
            </w:pPr>
            <w:r>
              <w:rPr>
                <w:rFonts w:ascii="Arial" w:hAnsi="Arial" w:eastAsia="Arial" w:cs="Arial"/>
                <w:b w:val="0"/>
                <w:i w:val="0"/>
                <w:color w:val="2C3E50"/>
                <w:sz w:val="20"/>
              </w:rPr>
              <w:t>AWS SES Developer Guide</w:t>
            </w:r>
          </w:p>
        </w:tc>
        <w:tc>
          <w:tcPr>
            <w:tcW w:w="5904" w:type="dxa"/>
            <w:tcBorders>
              <w:top w:val="single" w:color="DDDDDD" w:sz="4" w:space="0"/>
              <w:left w:val="single" w:color="DDDDDD" w:sz="4" w:space="0"/>
              <w:bottom w:val="single" w:color="DDDDDD" w:sz="4" w:space="0"/>
              <w:right w:val="single" w:color="DDDDDD" w:sz="4" w:space="0"/>
            </w:tcBorders>
            <w:shd w:val="clear" w:color="auto" w:fill="F8F9FA"/>
            <w:vAlign w:val="top"/>
          </w:tcPr>
          <w:p w14:paraId="32F545C6">
            <w:pPr>
              <w:spacing w:before="40" w:after="40"/>
            </w:pPr>
            <w:r>
              <w:rPr>
                <w:rFonts w:ascii="Arial" w:hAnsi="Arial" w:eastAsia="Arial" w:cs="Arial"/>
                <w:b w:val="0"/>
                <w:i w:val="0"/>
                <w:color w:val="2C3E50"/>
                <w:sz w:val="20"/>
              </w:rPr>
              <w:t>https://docs.aws.amazon.com/ses/</w:t>
            </w:r>
          </w:p>
        </w:tc>
      </w:tr>
      <w:tr w14:paraId="4E619651">
        <w:tc>
          <w:tcPr>
            <w:tcW w:w="3456" w:type="dxa"/>
            <w:tcBorders>
              <w:top w:val="single" w:color="DDDDDD" w:sz="4" w:space="0"/>
              <w:left w:val="single" w:color="DDDDDD" w:sz="4" w:space="0"/>
              <w:bottom w:val="single" w:color="DDDDDD" w:sz="4" w:space="0"/>
              <w:right w:val="single" w:color="DDDDDD" w:sz="4" w:space="0"/>
            </w:tcBorders>
            <w:vAlign w:val="top"/>
          </w:tcPr>
          <w:p w14:paraId="0B865719">
            <w:pPr>
              <w:spacing w:before="40" w:after="40"/>
            </w:pPr>
            <w:r>
              <w:rPr>
                <w:rFonts w:ascii="Arial" w:hAnsi="Arial" w:eastAsia="Arial" w:cs="Arial"/>
                <w:b w:val="0"/>
                <w:i w:val="0"/>
                <w:color w:val="2C3E50"/>
                <w:sz w:val="20"/>
              </w:rPr>
              <w:t>DPDPA 2023 (text)</w:t>
            </w:r>
          </w:p>
        </w:tc>
        <w:tc>
          <w:tcPr>
            <w:tcW w:w="5904" w:type="dxa"/>
            <w:tcBorders>
              <w:top w:val="single" w:color="DDDDDD" w:sz="4" w:space="0"/>
              <w:left w:val="single" w:color="DDDDDD" w:sz="4" w:space="0"/>
              <w:bottom w:val="single" w:color="DDDDDD" w:sz="4" w:space="0"/>
              <w:right w:val="single" w:color="DDDDDD" w:sz="4" w:space="0"/>
            </w:tcBorders>
            <w:vAlign w:val="top"/>
          </w:tcPr>
          <w:p w14:paraId="36634CA2">
            <w:pPr>
              <w:spacing w:before="40" w:after="40"/>
            </w:pPr>
            <w:r>
              <w:rPr>
                <w:rFonts w:ascii="Arial" w:hAnsi="Arial" w:eastAsia="Arial" w:cs="Arial"/>
                <w:b w:val="0"/>
                <w:i w:val="0"/>
                <w:color w:val="2C3E50"/>
                <w:sz w:val="20"/>
              </w:rPr>
              <w:t>https://www.meity.gov.in/data-protection-framework</w:t>
            </w:r>
          </w:p>
        </w:tc>
      </w:tr>
    </w:tbl>
    <w:p w14:paraId="26987A27">
      <w:pPr>
        <w:keepNext/>
        <w:spacing w:before="160" w:after="120"/>
      </w:pPr>
      <w:r>
        <w:rPr>
          <w:rFonts w:ascii="Arial" w:hAnsi="Arial" w:eastAsia="Arial" w:cs="Arial"/>
          <w:b/>
          <w:i w:val="0"/>
          <w:color w:val="1B3A5C"/>
          <w:sz w:val="28"/>
        </w:rPr>
        <w:t>16.3  Operator URLs (Stage)</w:t>
      </w:r>
    </w:p>
    <w:tbl>
      <w:tblPr>
        <w:tblStyle w:val="12"/>
        <w:tblW w:w="0" w:type="auto"/>
        <w:tblInd w:w="0" w:type="dxa"/>
        <w:tblLayout w:type="fixed"/>
        <w:tblCellMar>
          <w:top w:w="0" w:type="dxa"/>
          <w:left w:w="108" w:type="dxa"/>
          <w:bottom w:w="0" w:type="dxa"/>
          <w:right w:w="108" w:type="dxa"/>
        </w:tblCellMar>
      </w:tblPr>
      <w:tblGrid>
        <w:gridCol w:w="3456"/>
        <w:gridCol w:w="5904"/>
      </w:tblGrid>
      <w:tr w14:paraId="1A2902D7">
        <w:tc>
          <w:tcPr>
            <w:tcW w:w="3456" w:type="dxa"/>
            <w:tcBorders>
              <w:top w:val="single" w:color="FFFFFF" w:sz="4" w:space="0"/>
              <w:left w:val="single" w:color="FFFFFF" w:sz="4" w:space="0"/>
              <w:bottom w:val="single" w:color="FFFFFF" w:sz="4" w:space="0"/>
              <w:right w:val="single" w:color="FFFFFF" w:sz="4" w:space="0"/>
            </w:tcBorders>
            <w:shd w:val="clear" w:color="auto" w:fill="1B3A5C"/>
            <w:vAlign w:val="center"/>
          </w:tcPr>
          <w:p w14:paraId="3A97E85E">
            <w:pPr>
              <w:spacing w:before="40" w:after="40"/>
            </w:pPr>
            <w:r>
              <w:rPr>
                <w:rFonts w:ascii="Arial" w:hAnsi="Arial" w:eastAsia="Arial" w:cs="Arial"/>
                <w:b/>
                <w:i w:val="0"/>
                <w:color w:val="FFFFFF"/>
                <w:sz w:val="20"/>
              </w:rPr>
              <w:t>Surface</w:t>
            </w:r>
          </w:p>
        </w:tc>
        <w:tc>
          <w:tcPr>
            <w:tcW w:w="5904" w:type="dxa"/>
            <w:tcBorders>
              <w:top w:val="single" w:color="FFFFFF" w:sz="4" w:space="0"/>
              <w:left w:val="single" w:color="FFFFFF" w:sz="4" w:space="0"/>
              <w:bottom w:val="single" w:color="FFFFFF" w:sz="4" w:space="0"/>
              <w:right w:val="single" w:color="FFFFFF" w:sz="4" w:space="0"/>
            </w:tcBorders>
            <w:shd w:val="clear" w:color="auto" w:fill="1B3A5C"/>
            <w:vAlign w:val="center"/>
          </w:tcPr>
          <w:p w14:paraId="5526AA18">
            <w:pPr>
              <w:spacing w:before="40" w:after="40"/>
            </w:pPr>
            <w:r>
              <w:rPr>
                <w:rFonts w:ascii="Arial" w:hAnsi="Arial" w:eastAsia="Arial" w:cs="Arial"/>
                <w:b/>
                <w:i w:val="0"/>
                <w:color w:val="FFFFFF"/>
                <w:sz w:val="20"/>
              </w:rPr>
              <w:t>URL</w:t>
            </w:r>
          </w:p>
        </w:tc>
      </w:tr>
      <w:tr w14:paraId="04AF02ED">
        <w:tc>
          <w:tcPr>
            <w:tcW w:w="3456" w:type="dxa"/>
            <w:tcBorders>
              <w:top w:val="single" w:color="DDDDDD" w:sz="4" w:space="0"/>
              <w:left w:val="single" w:color="DDDDDD" w:sz="4" w:space="0"/>
              <w:bottom w:val="single" w:color="DDDDDD" w:sz="4" w:space="0"/>
              <w:right w:val="single" w:color="DDDDDD" w:sz="4" w:space="0"/>
            </w:tcBorders>
            <w:vAlign w:val="top"/>
          </w:tcPr>
          <w:p w14:paraId="18FDE5FF">
            <w:pPr>
              <w:spacing w:before="40" w:after="40"/>
            </w:pPr>
            <w:r>
              <w:rPr>
                <w:rFonts w:ascii="Arial" w:hAnsi="Arial" w:eastAsia="Arial" w:cs="Arial"/>
                <w:b w:val="0"/>
                <w:i w:val="0"/>
                <w:color w:val="2C3E50"/>
                <w:sz w:val="20"/>
              </w:rPr>
              <w:t>TPE Admin Console</w:t>
            </w:r>
          </w:p>
        </w:tc>
        <w:tc>
          <w:tcPr>
            <w:tcW w:w="5904" w:type="dxa"/>
            <w:tcBorders>
              <w:top w:val="single" w:color="DDDDDD" w:sz="4" w:space="0"/>
              <w:left w:val="single" w:color="DDDDDD" w:sz="4" w:space="0"/>
              <w:bottom w:val="single" w:color="DDDDDD" w:sz="4" w:space="0"/>
              <w:right w:val="single" w:color="DDDDDD" w:sz="4" w:space="0"/>
            </w:tcBorders>
            <w:vAlign w:val="top"/>
          </w:tcPr>
          <w:p w14:paraId="148CE845">
            <w:pPr>
              <w:spacing w:before="40" w:after="40"/>
            </w:pPr>
            <w:r>
              <w:rPr>
                <w:rFonts w:ascii="Arial" w:hAnsi="Arial" w:eastAsia="Arial" w:cs="Arial"/>
                <w:b w:val="0"/>
                <w:i w:val="0"/>
                <w:color w:val="2C3E50"/>
                <w:sz w:val="20"/>
              </w:rPr>
              <w:t>http://103.138.96.180/admin</w:t>
            </w:r>
          </w:p>
        </w:tc>
      </w:tr>
      <w:tr w14:paraId="5DC7DE8A">
        <w:tc>
          <w:tcPr>
            <w:tcW w:w="3456" w:type="dxa"/>
            <w:tcBorders>
              <w:top w:val="single" w:color="DDDDDD" w:sz="4" w:space="0"/>
              <w:left w:val="single" w:color="DDDDDD" w:sz="4" w:space="0"/>
              <w:bottom w:val="single" w:color="DDDDDD" w:sz="4" w:space="0"/>
              <w:right w:val="single" w:color="DDDDDD" w:sz="4" w:space="0"/>
            </w:tcBorders>
            <w:shd w:val="clear" w:color="auto" w:fill="F8F9FA"/>
            <w:vAlign w:val="top"/>
          </w:tcPr>
          <w:p w14:paraId="50AF085E">
            <w:pPr>
              <w:spacing w:before="40" w:after="40"/>
            </w:pPr>
            <w:r>
              <w:rPr>
                <w:rFonts w:ascii="Arial" w:hAnsi="Arial" w:eastAsia="Arial" w:cs="Arial"/>
                <w:b w:val="0"/>
                <w:i w:val="0"/>
                <w:color w:val="2C3E50"/>
                <w:sz w:val="20"/>
              </w:rPr>
              <w:t>Novu CE Dashboard 2.3.0</w:t>
            </w:r>
          </w:p>
        </w:tc>
        <w:tc>
          <w:tcPr>
            <w:tcW w:w="5904" w:type="dxa"/>
            <w:tcBorders>
              <w:top w:val="single" w:color="DDDDDD" w:sz="4" w:space="0"/>
              <w:left w:val="single" w:color="DDDDDD" w:sz="4" w:space="0"/>
              <w:bottom w:val="single" w:color="DDDDDD" w:sz="4" w:space="0"/>
              <w:right w:val="single" w:color="DDDDDD" w:sz="4" w:space="0"/>
            </w:tcBorders>
            <w:shd w:val="clear" w:color="auto" w:fill="F8F9FA"/>
            <w:vAlign w:val="top"/>
          </w:tcPr>
          <w:p w14:paraId="2A0EF282">
            <w:pPr>
              <w:spacing w:before="40" w:after="40"/>
            </w:pPr>
            <w:r>
              <w:rPr>
                <w:rFonts w:ascii="Arial" w:hAnsi="Arial" w:eastAsia="Arial" w:cs="Arial"/>
                <w:b w:val="0"/>
                <w:i w:val="0"/>
                <w:color w:val="2C3E50"/>
                <w:sz w:val="20"/>
              </w:rPr>
              <w:t>http://103.138.96.180/</w:t>
            </w:r>
          </w:p>
        </w:tc>
      </w:tr>
      <w:tr w14:paraId="42C70DDA">
        <w:tc>
          <w:tcPr>
            <w:tcW w:w="3456" w:type="dxa"/>
            <w:tcBorders>
              <w:top w:val="single" w:color="DDDDDD" w:sz="4" w:space="0"/>
              <w:left w:val="single" w:color="DDDDDD" w:sz="4" w:space="0"/>
              <w:bottom w:val="single" w:color="DDDDDD" w:sz="4" w:space="0"/>
              <w:right w:val="single" w:color="DDDDDD" w:sz="4" w:space="0"/>
            </w:tcBorders>
            <w:vAlign w:val="top"/>
          </w:tcPr>
          <w:p w14:paraId="575CA9CE">
            <w:pPr>
              <w:spacing w:before="40" w:after="40"/>
            </w:pPr>
            <w:r>
              <w:rPr>
                <w:rFonts w:ascii="Arial" w:hAnsi="Arial" w:eastAsia="Arial" w:cs="Arial"/>
                <w:b w:val="0"/>
                <w:i w:val="0"/>
                <w:color w:val="2C3E50"/>
                <w:sz w:val="20"/>
              </w:rPr>
              <w:t>Novu CE Sandbox 3.15.0</w:t>
            </w:r>
          </w:p>
        </w:tc>
        <w:tc>
          <w:tcPr>
            <w:tcW w:w="5904" w:type="dxa"/>
            <w:tcBorders>
              <w:top w:val="single" w:color="DDDDDD" w:sz="4" w:space="0"/>
              <w:left w:val="single" w:color="DDDDDD" w:sz="4" w:space="0"/>
              <w:bottom w:val="single" w:color="DDDDDD" w:sz="4" w:space="0"/>
              <w:right w:val="single" w:color="DDDDDD" w:sz="4" w:space="0"/>
            </w:tcBorders>
            <w:vAlign w:val="top"/>
          </w:tcPr>
          <w:p w14:paraId="6B27046D">
            <w:pPr>
              <w:spacing w:before="40" w:after="40"/>
            </w:pPr>
            <w:r>
              <w:rPr>
                <w:rFonts w:ascii="Arial" w:hAnsi="Arial" w:eastAsia="Arial" w:cs="Arial"/>
                <w:b w:val="0"/>
                <w:i w:val="0"/>
                <w:color w:val="2C3E50"/>
                <w:sz w:val="20"/>
              </w:rPr>
              <w:t>http://103.138.96.180:8080/  (eval only)</w:t>
            </w:r>
          </w:p>
        </w:tc>
      </w:tr>
    </w:tbl>
    <w:p w14:paraId="535E85D1">
      <w:pPr>
        <w:keepNext/>
        <w:spacing w:before="160" w:after="120"/>
      </w:pPr>
      <w:r>
        <w:rPr>
          <w:rFonts w:ascii="Arial" w:hAnsi="Arial" w:eastAsia="Arial" w:cs="Arial"/>
          <w:b/>
          <w:i w:val="0"/>
          <w:color w:val="1B3A5C"/>
          <w:sz w:val="28"/>
        </w:rPr>
        <w:t>16.4  Support contacts</w:t>
      </w:r>
    </w:p>
    <w:tbl>
      <w:tblPr>
        <w:tblStyle w:val="12"/>
        <w:tblW w:w="0" w:type="auto"/>
        <w:tblInd w:w="0" w:type="dxa"/>
        <w:tblLayout w:type="fixed"/>
        <w:tblCellMar>
          <w:top w:w="0" w:type="dxa"/>
          <w:left w:w="108" w:type="dxa"/>
          <w:bottom w:w="0" w:type="dxa"/>
          <w:right w:w="108" w:type="dxa"/>
        </w:tblCellMar>
      </w:tblPr>
      <w:tblGrid>
        <w:gridCol w:w="3456"/>
        <w:gridCol w:w="5904"/>
      </w:tblGrid>
      <w:tr w14:paraId="3782B88C">
        <w:tc>
          <w:tcPr>
            <w:tcW w:w="3456" w:type="dxa"/>
            <w:tcBorders>
              <w:top w:val="single" w:color="FFFFFF" w:sz="4" w:space="0"/>
              <w:left w:val="single" w:color="FFFFFF" w:sz="4" w:space="0"/>
              <w:bottom w:val="single" w:color="FFFFFF" w:sz="4" w:space="0"/>
              <w:right w:val="single" w:color="FFFFFF" w:sz="4" w:space="0"/>
            </w:tcBorders>
            <w:shd w:val="clear" w:color="auto" w:fill="1B3A5C"/>
            <w:vAlign w:val="center"/>
          </w:tcPr>
          <w:p w14:paraId="25DAEDD0">
            <w:pPr>
              <w:spacing w:before="40" w:after="40"/>
            </w:pPr>
            <w:r>
              <w:rPr>
                <w:rFonts w:ascii="Arial" w:hAnsi="Arial" w:eastAsia="Arial" w:cs="Arial"/>
                <w:b/>
                <w:i w:val="0"/>
                <w:color w:val="FFFFFF"/>
                <w:sz w:val="20"/>
              </w:rPr>
              <w:t>Role / channel</w:t>
            </w:r>
          </w:p>
        </w:tc>
        <w:tc>
          <w:tcPr>
            <w:tcW w:w="5904" w:type="dxa"/>
            <w:tcBorders>
              <w:top w:val="single" w:color="FFFFFF" w:sz="4" w:space="0"/>
              <w:left w:val="single" w:color="FFFFFF" w:sz="4" w:space="0"/>
              <w:bottom w:val="single" w:color="FFFFFF" w:sz="4" w:space="0"/>
              <w:right w:val="single" w:color="FFFFFF" w:sz="4" w:space="0"/>
            </w:tcBorders>
            <w:shd w:val="clear" w:color="auto" w:fill="1B3A5C"/>
            <w:vAlign w:val="center"/>
          </w:tcPr>
          <w:p w14:paraId="59A647B1">
            <w:pPr>
              <w:spacing w:before="40" w:after="40"/>
            </w:pPr>
            <w:r>
              <w:rPr>
                <w:rFonts w:ascii="Arial" w:hAnsi="Arial" w:eastAsia="Arial" w:cs="Arial"/>
                <w:b/>
                <w:i w:val="0"/>
                <w:color w:val="FFFFFF"/>
                <w:sz w:val="20"/>
              </w:rPr>
              <w:t>Contact</w:t>
            </w:r>
          </w:p>
        </w:tc>
      </w:tr>
      <w:tr w14:paraId="6B146047">
        <w:tc>
          <w:tcPr>
            <w:tcW w:w="3456" w:type="dxa"/>
            <w:tcBorders>
              <w:top w:val="single" w:color="DDDDDD" w:sz="4" w:space="0"/>
              <w:left w:val="single" w:color="DDDDDD" w:sz="4" w:space="0"/>
              <w:bottom w:val="single" w:color="DDDDDD" w:sz="4" w:space="0"/>
              <w:right w:val="single" w:color="DDDDDD" w:sz="4" w:space="0"/>
            </w:tcBorders>
            <w:vAlign w:val="top"/>
          </w:tcPr>
          <w:p w14:paraId="099B282D">
            <w:pPr>
              <w:spacing w:before="40" w:after="40"/>
            </w:pPr>
            <w:r>
              <w:rPr>
                <w:rFonts w:ascii="Arial" w:hAnsi="Arial" w:eastAsia="Arial" w:cs="Arial"/>
                <w:b w:val="0"/>
                <w:i w:val="0"/>
                <w:color w:val="2C3E50"/>
                <w:sz w:val="20"/>
              </w:rPr>
              <w:t>Engineering Lead</w:t>
            </w:r>
          </w:p>
        </w:tc>
        <w:tc>
          <w:tcPr>
            <w:tcW w:w="5904" w:type="dxa"/>
            <w:tcBorders>
              <w:top w:val="single" w:color="DDDDDD" w:sz="4" w:space="0"/>
              <w:left w:val="single" w:color="DDDDDD" w:sz="4" w:space="0"/>
              <w:bottom w:val="single" w:color="DDDDDD" w:sz="4" w:space="0"/>
              <w:right w:val="single" w:color="DDDDDD" w:sz="4" w:space="0"/>
            </w:tcBorders>
            <w:vAlign w:val="top"/>
          </w:tcPr>
          <w:p w14:paraId="60510245">
            <w:pPr>
              <w:spacing w:before="40" w:after="40"/>
            </w:pPr>
            <w:r>
              <w:rPr>
                <w:rFonts w:ascii="Arial" w:hAnsi="Arial" w:eastAsia="Arial" w:cs="Arial"/>
                <w:b w:val="0"/>
                <w:i w:val="0"/>
                <w:color w:val="2C3E50"/>
                <w:sz w:val="20"/>
              </w:rPr>
              <w:t>TechDigital WishTree — Slack #tpe-comms-help</w:t>
            </w:r>
          </w:p>
        </w:tc>
      </w:tr>
      <w:tr w14:paraId="406E9CBB">
        <w:tc>
          <w:tcPr>
            <w:tcW w:w="3456" w:type="dxa"/>
            <w:tcBorders>
              <w:top w:val="single" w:color="DDDDDD" w:sz="4" w:space="0"/>
              <w:left w:val="single" w:color="DDDDDD" w:sz="4" w:space="0"/>
              <w:bottom w:val="single" w:color="DDDDDD" w:sz="4" w:space="0"/>
              <w:right w:val="single" w:color="DDDDDD" w:sz="4" w:space="0"/>
            </w:tcBorders>
            <w:shd w:val="clear" w:color="auto" w:fill="F8F9FA"/>
            <w:vAlign w:val="top"/>
          </w:tcPr>
          <w:p w14:paraId="3BC8CF2F">
            <w:pPr>
              <w:spacing w:before="40" w:after="40"/>
            </w:pPr>
            <w:r>
              <w:rPr>
                <w:rFonts w:ascii="Arial" w:hAnsi="Arial" w:eastAsia="Arial" w:cs="Arial"/>
                <w:b w:val="0"/>
                <w:i w:val="0"/>
                <w:color w:val="2C3E50"/>
                <w:sz w:val="20"/>
              </w:rPr>
              <w:t>On-call (Sev-1)</w:t>
            </w:r>
          </w:p>
        </w:tc>
        <w:tc>
          <w:tcPr>
            <w:tcW w:w="5904" w:type="dxa"/>
            <w:tcBorders>
              <w:top w:val="single" w:color="DDDDDD" w:sz="4" w:space="0"/>
              <w:left w:val="single" w:color="DDDDDD" w:sz="4" w:space="0"/>
              <w:bottom w:val="single" w:color="DDDDDD" w:sz="4" w:space="0"/>
              <w:right w:val="single" w:color="DDDDDD" w:sz="4" w:space="0"/>
            </w:tcBorders>
            <w:shd w:val="clear" w:color="auto" w:fill="F8F9FA"/>
            <w:vAlign w:val="top"/>
          </w:tcPr>
          <w:p w14:paraId="13BD652B">
            <w:pPr>
              <w:spacing w:before="40" w:after="40"/>
            </w:pPr>
            <w:r>
              <w:rPr>
                <w:rFonts w:ascii="Arial" w:hAnsi="Arial" w:eastAsia="Arial" w:cs="Arial"/>
                <w:b w:val="0"/>
                <w:i w:val="0"/>
                <w:color w:val="2C3E50"/>
                <w:sz w:val="20"/>
              </w:rPr>
              <w:t>PagerDuty / Slack #tpe-comms-oncall</w:t>
            </w:r>
          </w:p>
        </w:tc>
      </w:tr>
      <w:tr w14:paraId="0C1A24A2">
        <w:tc>
          <w:tcPr>
            <w:tcW w:w="3456" w:type="dxa"/>
            <w:tcBorders>
              <w:top w:val="single" w:color="DDDDDD" w:sz="4" w:space="0"/>
              <w:left w:val="single" w:color="DDDDDD" w:sz="4" w:space="0"/>
              <w:bottom w:val="single" w:color="DDDDDD" w:sz="4" w:space="0"/>
              <w:right w:val="single" w:color="DDDDDD" w:sz="4" w:space="0"/>
            </w:tcBorders>
            <w:vAlign w:val="top"/>
          </w:tcPr>
          <w:p w14:paraId="57729659">
            <w:pPr>
              <w:spacing w:before="40" w:after="40"/>
            </w:pPr>
            <w:r>
              <w:rPr>
                <w:rFonts w:ascii="Arial" w:hAnsi="Arial" w:eastAsia="Arial" w:cs="Arial"/>
                <w:b w:val="0"/>
                <w:i w:val="0"/>
                <w:color w:val="2C3E50"/>
                <w:sz w:val="20"/>
              </w:rPr>
              <w:t>Compliance Lead</w:t>
            </w:r>
          </w:p>
        </w:tc>
        <w:tc>
          <w:tcPr>
            <w:tcW w:w="5904" w:type="dxa"/>
            <w:tcBorders>
              <w:top w:val="single" w:color="DDDDDD" w:sz="4" w:space="0"/>
              <w:left w:val="single" w:color="DDDDDD" w:sz="4" w:space="0"/>
              <w:bottom w:val="single" w:color="DDDDDD" w:sz="4" w:space="0"/>
              <w:right w:val="single" w:color="DDDDDD" w:sz="4" w:space="0"/>
            </w:tcBorders>
            <w:vAlign w:val="top"/>
          </w:tcPr>
          <w:p w14:paraId="4FF7F078">
            <w:pPr>
              <w:spacing w:before="40" w:after="40"/>
            </w:pPr>
            <w:r>
              <w:rPr>
                <w:rFonts w:ascii="Arial" w:hAnsi="Arial" w:eastAsia="Arial" w:cs="Arial"/>
                <w:b w:val="0"/>
                <w:i w:val="0"/>
                <w:color w:val="2C3E50"/>
                <w:sz w:val="20"/>
              </w:rPr>
              <w:t>compliance@thepolicyexchange.com</w:t>
            </w:r>
          </w:p>
        </w:tc>
      </w:tr>
      <w:tr w14:paraId="67A3E1C1">
        <w:tc>
          <w:tcPr>
            <w:tcW w:w="3456" w:type="dxa"/>
            <w:tcBorders>
              <w:top w:val="single" w:color="DDDDDD" w:sz="4" w:space="0"/>
              <w:left w:val="single" w:color="DDDDDD" w:sz="4" w:space="0"/>
              <w:bottom w:val="single" w:color="DDDDDD" w:sz="4" w:space="0"/>
              <w:right w:val="single" w:color="DDDDDD" w:sz="4" w:space="0"/>
            </w:tcBorders>
            <w:shd w:val="clear" w:color="auto" w:fill="F8F9FA"/>
            <w:vAlign w:val="top"/>
          </w:tcPr>
          <w:p w14:paraId="3DE6572A">
            <w:pPr>
              <w:spacing w:before="40" w:after="40"/>
            </w:pPr>
            <w:r>
              <w:rPr>
                <w:rFonts w:ascii="Arial" w:hAnsi="Arial" w:eastAsia="Arial" w:cs="Arial"/>
                <w:b w:val="0"/>
                <w:i w:val="0"/>
                <w:color w:val="2C3E50"/>
                <w:sz w:val="20"/>
              </w:rPr>
              <w:t>CX Lead</w:t>
            </w:r>
          </w:p>
        </w:tc>
        <w:tc>
          <w:tcPr>
            <w:tcW w:w="5904" w:type="dxa"/>
            <w:tcBorders>
              <w:top w:val="single" w:color="DDDDDD" w:sz="4" w:space="0"/>
              <w:left w:val="single" w:color="DDDDDD" w:sz="4" w:space="0"/>
              <w:bottom w:val="single" w:color="DDDDDD" w:sz="4" w:space="0"/>
              <w:right w:val="single" w:color="DDDDDD" w:sz="4" w:space="0"/>
            </w:tcBorders>
            <w:shd w:val="clear" w:color="auto" w:fill="F8F9FA"/>
            <w:vAlign w:val="top"/>
          </w:tcPr>
          <w:p w14:paraId="25EFEE50">
            <w:pPr>
              <w:spacing w:before="40" w:after="40"/>
            </w:pPr>
            <w:r>
              <w:rPr>
                <w:rFonts w:ascii="Arial" w:hAnsi="Arial" w:eastAsia="Arial" w:cs="Arial"/>
                <w:b w:val="0"/>
                <w:i w:val="0"/>
                <w:color w:val="2C3E50"/>
                <w:sz w:val="20"/>
              </w:rPr>
              <w:t>cx@thepolicyexchange.com</w:t>
            </w:r>
          </w:p>
        </w:tc>
      </w:tr>
    </w:tbl>
    <w:p w14:paraId="4C7BDA2D">
      <w:pPr>
        <w:spacing w:before="0" w:after="480"/>
      </w:pPr>
    </w:p>
    <w:p w14:paraId="4ACB3D26">
      <w:pPr>
        <w:spacing w:before="0" w:after="80"/>
        <w:jc w:val="center"/>
      </w:pPr>
      <w:r>
        <w:rPr>
          <w:rFonts w:ascii="Arial" w:hAnsi="Arial" w:eastAsia="Arial" w:cs="Arial"/>
          <w:b w:val="0"/>
          <w:i/>
          <w:color w:val="7F8C8D"/>
          <w:sz w:val="22"/>
        </w:rPr>
        <w:t>— End of document —</w:t>
      </w:r>
    </w:p>
    <w:sectPr>
      <w:headerReference r:id="rId5" w:type="default"/>
      <w:footerReference r:id="rId6" w:type="default"/>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汉仪中黑KW"/>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SimSun">
    <w:altName w:val="汉仪书宋二KW"/>
    <w:panose1 w:val="02010600030101010101"/>
    <w:charset w:val="86"/>
    <w:family w:val="auto"/>
    <w:pitch w:val="default"/>
    <w:sig w:usb0="00000000" w:usb1="00000000" w:usb2="00000016" w:usb3="00000000" w:csb0="00040001"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ourier">
    <w:altName w:val="苹方-简"/>
    <w:panose1 w:val="02000500000000000000"/>
    <w:charset w:val="00"/>
    <w:family w:val="auto"/>
    <w:pitch w:val="default"/>
    <w:sig w:usb0="00000000" w:usb1="00000000" w:usb2="00000000" w:usb3="00000000" w:csb0="00000001" w:csb1="00000000"/>
  </w:font>
  <w:font w:name="Consolas">
    <w:altName w:val="苹方-简"/>
    <w:panose1 w:val="00000000000000000000"/>
    <w:charset w:val="00"/>
    <w:family w:val="auto"/>
    <w:pitch w:val="default"/>
    <w:sig w:usb0="00000000" w:usb1="00000000" w:usb2="00000000" w:usb3="00000000" w:csb0="00000000"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苹方-简">
    <w:altName w:val="Times New Roman"/>
    <w:panose1 w:val="020B0600000000000000"/>
    <w:charset w:val="00"/>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Arial Unicode MS">
    <w:panose1 w:val="020B0604020202020204"/>
    <w:charset w:val="86"/>
    <w:family w:val="auto"/>
    <w:pitch w:val="default"/>
    <w:sig w:usb0="FFFFFFFF" w:usb1="E9FFFFFF" w:usb2="0000003F" w:usb3="00000000" w:csb0="603F01FF" w:csb1="FFFF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096FAA">
    <w:pPr>
      <w:pStyle w:val="18"/>
      <w:jc w:val="center"/>
    </w:pPr>
    <w:r>
      <w:rPr>
        <w:rFonts w:ascii="Arial" w:hAnsi="Arial" w:eastAsia="Arial" w:cs="Arial"/>
        <w:b/>
        <w:i w:val="0"/>
        <w:color w:val="E74C3C"/>
        <w:sz w:val="18"/>
      </w:rPr>
      <w:t xml:space="preserve">Internal / Confidential  •  </w:t>
    </w:r>
    <w:r>
      <w:rPr>
        <w:rFonts w:ascii="Arial" w:hAnsi="Arial" w:eastAsia="Arial" w:cs="Arial"/>
        <w:b w:val="0"/>
        <w:i w:val="0"/>
        <w:color w:val="7F8C8D"/>
        <w:sz w:val="18"/>
      </w:rPr>
      <w:t xml:space="preserve">Page </w:t>
    </w: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B064F4">
    <w:pPr>
      <w:pStyle w:val="19"/>
      <w:jc w:val="right"/>
    </w:pPr>
    <w:r>
      <w:rPr>
        <w:rFonts w:ascii="Arial" w:hAnsi="Arial" w:eastAsia="Arial" w:cs="Arial"/>
        <w:b w:val="0"/>
        <w:i w:val="0"/>
        <w:color w:val="7F8C8D"/>
        <w:sz w:val="18"/>
      </w:rPr>
      <w:t>End User Guide — TPE Communication System — Operator Manual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ADF9C05F"/>
    <w:rsid w:val="DE3F95C1"/>
    <w:rsid w:val="FE59BE6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Arial" w:hAnsi="Arial"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0</Words>
  <Characters>0</Characters>
  <Lines>0</Lines>
  <Paragraphs>0</Paragraphs>
  <TotalTime>0</TotalTime>
  <ScaleCrop>false</ScaleCrop>
  <LinksUpToDate>false</LinksUpToDate>
  <CharactersWithSpaces>0</CharactersWithSpaces>
  <Application>WPS Office_12.1.25880.25880_F1E327BC-269C-435d-A152-05C5408002CA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2013-12-24T04:45:00Z</dcterms:created>
  <dc:creator>python-docx</dc:creator>
  <dc:description>generated by python-docx</dc:description>
  <cp:lastModifiedBy>google1598606780</cp:lastModifiedBy>
  <dcterms:modified xsi:type="dcterms:W3CDTF">2026-05-01T11:07:12Z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1033-12.1.25880.25880</vt:lpwstr>
  </property>
  <property fmtid="{D5CDD505-2E9C-101B-9397-08002B2CF9AE}" pid="3" name="ICV">
    <vt:lpwstr>D9A15B3DFA0A0DD7F23BF469726184B8_42</vt:lpwstr>
  </property>
</Properties>
</file>