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rFonts w:ascii="Calibri" w:cs="Calibri" w:eastAsia="Calibri" w:hAnsi="Calibri"/>
          <w:b/>
          <w:bCs/>
          <w:caps/>
          <w:color w:val="808080"/>
          <w:sz w:val="32"/>
          <w:szCs w:val="32"/>
        </w:rPr>
        <w:t xml:space="preserve">NOVU PLATFORM SOLUTION DOCUMENT</w:t>
      </w:r>
    </w:p>
    <w:p>
      <w:pPr>
        <w:spacing w:after="800"/>
        <w:jc w:val="center"/>
      </w:pPr>
      <w:r>
        <w:rPr>
          <w:rFonts w:ascii="Calibri" w:cs="Calibri" w:eastAsia="Calibri" w:hAnsi="Calibri"/>
          <w:i/>
          <w:iCs/>
          <w:color w:val="808080"/>
          <w:sz w:val="18"/>
          <w:szCs w:val="18"/>
        </w:rPr>
        <w:t xml:space="preserve">How the 49 lifecycle triggers map onto Novu Platform primitives</w:t>
      </w:r>
    </w:p>
    <w:p>
      <w:pPr>
        <w:spacing w:after="200"/>
        <w:jc w:val="center"/>
      </w:pPr>
      <w:r>
        <w:rPr>
          <w:rFonts w:ascii="Calibri" w:cs="Calibri" w:eastAsia="Calibri" w:hAnsi="Calibri"/>
          <w:b/>
          <w:bCs/>
          <w:color w:val="1F3864"/>
          <w:sz w:val="44"/>
          <w:szCs w:val="44"/>
        </w:rPr>
        <w:t xml:space="preserve">TPE Communication System</w:t>
      </w:r>
    </w:p>
    <w:p>
      <w:pPr>
        <w:spacing w:after="1200"/>
        <w:jc w:val="center"/>
      </w:pPr>
      <w:r>
        <w:rPr>
          <w:rFonts w:ascii="Calibri" w:cs="Calibri" w:eastAsia="Calibri" w:hAnsi="Calibri"/>
          <w:i/>
          <w:iCs/>
          <w:color w:val="8FAADC"/>
          <w:sz w:val="22"/>
          <w:szCs w:val="22"/>
        </w:rPr>
        <w:t xml:space="preserve">Anchored to Trigger Conditions Specification v2.0</w:t>
      </w:r>
    </w:p>
    <w:p>
      <w:pPr>
        <w:spacing w:after="100" w:before="200"/>
        <w:jc w:val="center"/>
      </w:pPr>
      <w:r>
        <w:rPr>
          <w:rFonts w:ascii="Calibri" w:cs="Calibri" w:eastAsia="Calibri" w:hAnsi="Calibri"/>
          <w:b/>
          <w:bCs/>
          <w:caps/>
          <w:color w:val="808080"/>
          <w:sz w:val="16"/>
          <w:szCs w:val="16"/>
        </w:rPr>
        <w:t xml:space="preserve">PREPARED BY</w:t>
      </w:r>
    </w:p>
    <w:p>
      <w:pPr>
        <w:spacing w:after="60"/>
        <w:jc w:val="center"/>
      </w:pPr>
      <w:r>
        <w:rPr>
          <w:rFonts w:ascii="Calibri" w:cs="Calibri" w:eastAsia="Calibri" w:hAnsi="Calibri"/>
          <w:b/>
          <w:bCs/>
          <w:color w:val="1F3864"/>
          <w:sz w:val="22"/>
          <w:szCs w:val="22"/>
        </w:rPr>
        <w:t xml:space="preserve">Engineering, The Policy Exchange</w:t>
      </w:r>
    </w:p>
    <w:p>
      <w:pPr>
        <w:spacing w:after="100"/>
      </w:pPr>
      <w:r>
        <w:t xml:space="preserve"/>
      </w:r>
    </w:p>
    <w:p>
      <w:pPr>
        <w:spacing w:after="60" w:before="600"/>
        <w:jc w:val="center"/>
      </w:pPr>
      <w:r>
        <w:rPr>
          <w:rFonts w:ascii="Calibri" w:cs="Calibri" w:eastAsia="Calibri" w:hAnsi="Calibri"/>
          <w:color w:val="808080"/>
          <w:sz w:val="16"/>
          <w:szCs w:val="16"/>
        </w:rPr>
        <w:t xml:space="preserve">Document ID: TPE-COMMS-SOLUTION-2026-001  |  Version 1.0  |  Effective Date: 28 April 2026</w:t>
      </w:r>
    </w:p>
    <w:p>
      <w:pPr>
        <w:spacing w:after="0"/>
        <w:jc w:val="center"/>
      </w:pPr>
      <w:r>
        <w:rPr>
          <w:rFonts w:ascii="Calibri" w:cs="Calibri" w:eastAsia="Calibri" w:hAnsi="Calibri"/>
          <w:i/>
          <w:iCs/>
          <w:color w:val="808080"/>
          <w:sz w:val="16"/>
          <w:szCs w:val="16"/>
        </w:rPr>
        <w:t xml:space="preserve">Audience: Engineering, Solution Architects, Compliance technical review</w:t>
      </w:r>
    </w:p>
    <w:p>
      <w:pPr>
        <w:pStyle w:val="Heading1"/>
        <w:pageBreakBefore/>
        <w:spacing w:after="240" w:before="0"/>
      </w:pPr>
      <w:r>
        <w:rPr>
          <w:rFonts w:ascii="Calibri" w:cs="Calibri" w:eastAsia="Calibri" w:hAnsi="Calibri"/>
          <w:b/>
          <w:bCs/>
          <w:color w:val="1F3864"/>
          <w:sz w:val="36"/>
          <w:szCs w:val="36"/>
        </w:rPr>
        <w:t xml:space="preserve">Table of Contents</w:t>
      </w:r>
    </w:p>
    <w:p>
      <w:pPr>
        <w:spacing w:after="120" w:before="0"/>
      </w:pPr>
      <w:r>
        <w:rPr>
          <w:rFonts w:ascii="Calibri" w:cs="Calibri" w:eastAsia="Calibri" w:hAnsi="Calibri"/>
          <w:color w:val="1A1A1A"/>
          <w:sz w:val="20"/>
          <w:szCs w:val="20"/>
        </w:rPr>
        <w:t xml:space="preserve">Sections 1 through 9 are platform-wide design — the Novu primitives we use, how they compose, what is in CE versus EE. Section 10 maps each of the 49 triggers from Trigger Conditions Spec v2.0 onto those primitives, organised by audience group.</w:t>
      </w:r>
    </w:p>
    <w:p>
      <w:pPr>
        <w:spacing w:after="10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Purpose, Audience, How to Read This Document</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Licensing Stance and EE / CE Decision Framework</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Novu Platform Primitives (Reference)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4</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Architecture: How Primitives Compose for TPE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5</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Workflow Authoring Model</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6</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Channel Strategy and Providers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7</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Multi-tenancy: Eleven Insurers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8</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Compliance, Audit, Subscriber Preferences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9</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Observability, Operations, Upgrade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10</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Per-Trigger Novu Mapping (49 Triggers)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10.1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Group A — Policyholder Lifecycle (PH-01..PH-18)</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10.2</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Group B — Investor Lifecycle (INV-01..INV-16)</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10.3</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Group C — Insurance Partner / B2B (INS-01..INS-06)</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10.4</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Group D — Internal Operations (OPS-01..OPS-06)</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val="false"/>
                <w:bCs w:val="false"/>
                <w:color w:val="1F3864"/>
                <w:sz w:val="16"/>
                <w:szCs w:val="16"/>
              </w:rPr>
              <w:t xml:space="preserve">10.5</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6"/>
                <w:szCs w:val="16"/>
              </w:rPr>
              <w:t xml:space="preserve">Group E — Regulatory / Statutory (REG-01..REG-03)</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center"/>
            </w:pPr>
            <w:r>
              <w:rPr>
                <w:rFonts w:ascii="Calibri" w:cs="Calibri" w:eastAsia="Calibri" w:hAnsi="Calibri"/>
                <w:b/>
                <w:bCs/>
                <w:color w:val="1F3864"/>
                <w:sz w:val="18"/>
                <w:szCs w:val="18"/>
              </w:rPr>
              <w:t xml:space="preserve">11</w:t>
            </w:r>
          </w:p>
        </w:tc>
        <w:tc>
          <w:tcPr>
            <w:tcW w:type="dxa" w:w="89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bCs/>
                <w:color w:val="1A1A1A"/>
                <w:sz w:val="18"/>
                <w:szCs w:val="18"/>
              </w:rPr>
              <w:t xml:space="preserve">Open Items and Engineering Reconciliation</w:t>
            </w:r>
          </w:p>
        </w:tc>
      </w:tr>
    </w:tbl>
    <w:p>
      <w:pPr>
        <w:pStyle w:val="Heading1"/>
        <w:pageBreakBefore/>
        <w:spacing w:after="240" w:before="0"/>
      </w:pPr>
      <w:r>
        <w:rPr>
          <w:rFonts w:ascii="Calibri" w:cs="Calibri" w:eastAsia="Calibri" w:hAnsi="Calibri"/>
          <w:b/>
          <w:bCs/>
          <w:color w:val="1F3864"/>
          <w:sz w:val="36"/>
          <w:szCs w:val="36"/>
        </w:rPr>
        <w:t xml:space="preserve">1. Purpose, Audience, How to Read This Document</w:t>
      </w:r>
    </w:p>
    <w:p>
      <w:pPr>
        <w:spacing w:after="120" w:before="0"/>
      </w:pPr>
      <w:r>
        <w:rPr>
          <w:rFonts w:ascii="Calibri" w:cs="Calibri" w:eastAsia="Calibri" w:hAnsi="Calibri"/>
          <w:color w:val="1A1A1A"/>
          <w:sz w:val="20"/>
          <w:szCs w:val="20"/>
        </w:rPr>
        <w:t xml:space="preserve">This document is the design layer between the Trigger Conditions Specification v2.0 (which sets engineering predicates per trigger — when each notification fires, what payload arrives, which idempotency key dedupes) and the Bridge code that engineering writes (which expresses each workflow in TypeScript using @novu/framework). Where the Trigger Spec answers "when does this fire", this document answers "how does Novu execute it".</w:t>
      </w:r>
    </w:p>
    <w:p>
      <w:pPr>
        <w:pStyle w:val="Heading2"/>
        <w:spacing w:after="140" w:before="280"/>
      </w:pPr>
      <w:r>
        <w:rPr>
          <w:rFonts w:ascii="Calibri" w:cs="Calibri" w:eastAsia="Calibri" w:hAnsi="Calibri"/>
          <w:b/>
          <w:bCs/>
          <w:color w:val="1F3864"/>
          <w:sz w:val="28"/>
          <w:szCs w:val="28"/>
        </w:rPr>
        <w:t xml:space="preserve">1.1  Audience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2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Audience</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Reads which sections</w:t>
            </w:r>
          </w:p>
        </w:tc>
        <w:tc>
          <w:tcPr>
            <w:tcW w:type="dxa" w:w="3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Outcome they take away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 Solution Architects</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Whole document end-to-end</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Validated platform mapping; able to onboard a new engineer to the codebase</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Authors (Backend Engineers)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3, 5, 6, 8, then their assigned trigger blocks in Section 10</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Build instructions per workflow including channel sequencing, provider overrides, control schema</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 DevOps</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2, 4, 9</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Deployment topology and operational obligations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8 and 10 trigger blocks for compliance-sensitive paths (PH-03 KYC, INV-08, INV-10, INV-14, REG-01..03)</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Where compliance enforcement runs, what the audit trail captures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Lead</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5, 6 plus content-relevant trigger blocks</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Where content lives, how subscriber preferences gate dispatch</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Sections 7, 9, plus Group C, D blocks in Section 10</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routing for eleven insurers, day-two ops</w:t>
            </w:r>
          </w:p>
        </w:tc>
      </w:tr>
    </w:tbl>
    <w:p>
      <w:pPr>
        <w:pStyle w:val="Heading2"/>
        <w:spacing w:after="140" w:before="280"/>
      </w:pPr>
      <w:r>
        <w:rPr>
          <w:rFonts w:ascii="Calibri" w:cs="Calibri" w:eastAsia="Calibri" w:hAnsi="Calibri"/>
          <w:b/>
          <w:bCs/>
          <w:color w:val="1F3864"/>
          <w:sz w:val="28"/>
          <w:szCs w:val="28"/>
        </w:rPr>
        <w:t xml:space="preserve">1.2  How Each Trigger Block in Section 10 Is Structured</w:t>
      </w:r>
    </w:p>
    <w:p>
      <w:pPr>
        <w:spacing w:after="120" w:before="0"/>
      </w:pPr>
      <w:r>
        <w:rPr>
          <w:rFonts w:ascii="Calibri" w:cs="Calibri" w:eastAsia="Calibri" w:hAnsi="Calibri"/>
          <w:color w:val="1A1A1A"/>
          <w:sz w:val="20"/>
          <w:szCs w:val="20"/>
        </w:rPr>
        <w:t xml:space="preserve">Every trigger in Section 10 follows the same 8-row block: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Row</w:t>
            </w:r>
          </w:p>
        </w:tc>
        <w:tc>
          <w:tcPr>
            <w:tcW w:type="dxa" w:w="67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Contents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Spec reference</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The Trigger Spec v2.0 row this maps to (Fires on, Source system, Payload required, Idempotency, Pre-conditions, Cadence, Volume, Frequency cap)</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shape</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Event-triggered vs scheduled vs hybrid; one Novu workflow vs split into multiple sub-workflows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Channel steps</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Concrete step types (email/sms/chat/push/inApp) and their order, with delays between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resolution</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How the to.subscriberId is computed from the trigger payload; which subscriber attributes the workflow reads</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Tenant resolution</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Which insurer (if applicable) is routed to and how</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class + lint rules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 / Marketing / Promotional classification driving which lint rules and which BSP template category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routing</w:t>
            </w:r>
          </w:p>
        </w:tc>
        <w:tc>
          <w:tcPr>
            <w:tcW w:type="dxa" w:w="67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Primary provider per channel; failover order; provider-specific overrides (DLT IDs, BSP template IDs)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EE vs CE notes</w:t>
            </w:r>
          </w:p>
        </w:tc>
        <w:tc>
          <w:tcPr>
            <w:tcW w:type="dxa" w:w="67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Where this trigger uses an EE-only feature, the CE fallback for the same outcome</w:t>
            </w:r>
          </w:p>
        </w:tc>
      </w:tr>
    </w:tbl>
    <w:p>
      <w:pPr>
        <w:pStyle w:val="Heading2"/>
        <w:spacing w:after="140" w:before="280"/>
      </w:pPr>
      <w:r>
        <w:rPr>
          <w:rFonts w:ascii="Calibri" w:cs="Calibri" w:eastAsia="Calibri" w:hAnsi="Calibri"/>
          <w:b/>
          <w:bCs/>
          <w:color w:val="1F3864"/>
          <w:sz w:val="28"/>
          <w:szCs w:val="28"/>
        </w:rPr>
        <w:t xml:space="preserve">1.3  Source-of-Truth Hierarchy</w:t>
      </w:r>
    </w:p>
    <w:p>
      <w:pPr>
        <w:spacing w:after="120" w:before="0"/>
      </w:pPr>
      <w:r>
        <w:rPr>
          <w:rFonts w:ascii="Calibri" w:cs="Calibri" w:eastAsia="Calibri" w:hAnsi="Calibri"/>
          <w:color w:val="1A1A1A"/>
          <w:sz w:val="20"/>
          <w:szCs w:val="20"/>
        </w:rPr>
        <w:t xml:space="preserve">Where statements in this document and Trigger Spec v2.0 differ on "when" or "with what payload", Trigger Spec wins. Where statements differ on "using which Novu primitive", this document wins. Where this document and the Internal Project Charter v1.0 differ on scope (audiences, channels, regulators), Charter wins. Where any of these and Bridge code (when written) differ on actual behaviour, Bridge code wins and the relevant document is updated.</w:t>
      </w:r>
    </w:p>
    <w:p>
      <w:pPr>
        <w:pStyle w:val="Heading1"/>
        <w:pageBreakBefore/>
        <w:spacing w:after="240" w:before="0"/>
      </w:pPr>
      <w:r>
        <w:rPr>
          <w:rFonts w:ascii="Calibri" w:cs="Calibri" w:eastAsia="Calibri" w:hAnsi="Calibri"/>
          <w:b/>
          <w:bCs/>
          <w:color w:val="1F3864"/>
          <w:sz w:val="36"/>
          <w:szCs w:val="36"/>
        </w:rPr>
        <w:t xml:space="preserve">2. Licensing Stance and EE / CE Decision Framework</w:t>
      </w:r>
    </w:p>
    <w:p>
      <w:pPr>
        <w:spacing w:after="120" w:before="0"/>
      </w:pPr>
      <w:r>
        <w:rPr>
          <w:rFonts w:ascii="Calibri" w:cs="Calibri" w:eastAsia="Calibri" w:hAnsi="Calibri"/>
          <w:color w:val="1A1A1A"/>
          <w:sz w:val="20"/>
          <w:szCs w:val="20"/>
        </w:rPr>
        <w:t xml:space="preserve">Novu uses an Open Core licensing model. The core notification infrastructure is open-source under MIT and ships in the public repository. Selected enterprise modules (folders /enterprise, apps/web/src/ee, apps/dashboard/src/ee) require a commercial Enterprise Edition licence from Novu — paid — even when self-hosted on the customer’s own infrastructure. There is no self-host-with-all-features-free path. This section documents the licensing trade-off so the design choices in later sections are explicit about which features assume EE.</w:t>
      </w:r>
    </w:p>
    <w:p>
      <w:pPr>
        <w:pStyle w:val="Heading2"/>
        <w:spacing w:after="140" w:before="280"/>
      </w:pPr>
      <w:r>
        <w:rPr>
          <w:rFonts w:ascii="Calibri" w:cs="Calibri" w:eastAsia="Calibri" w:hAnsi="Calibri"/>
          <w:b/>
          <w:bCs/>
          <w:color w:val="1F3864"/>
          <w:sz w:val="28"/>
          <w:szCs w:val="28"/>
        </w:rPr>
        <w:t xml:space="preserve">2.1  Feature Boundary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246"/>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Feature</w:t>
            </w:r>
          </w:p>
        </w:tc>
        <w:tc>
          <w:tcPr>
            <w:tcW w:type="dxa" w:w="30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Community Edition</w:t>
            </w:r>
          </w:p>
        </w:tc>
        <w:tc>
          <w:tcPr>
            <w:tcW w:type="dxa" w:w="32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Enterprise Edition</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engine, channels, providers</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Bridge / @novu/framework workflow code sync</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preferences, digest, throttle</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Multi-environment (dev / staging / prod)</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Tenants API (native multi-tenancy)</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 environment-level isolation only</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RBAC (fine-grained roles)</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 admin / member only</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SSO (SAML / advanced OIDC)</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 basic auth + community OIDC only</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Translations management UI</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 handled in workflow code</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In-platform audit log</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Limited</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Account hierarchy (parent / child)</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w:t>
            </w:r>
          </w:p>
        </w:tc>
        <w:tc>
          <w:tcPr>
            <w:tcW w:type="dxa" w:w="32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w:t>
            </w:r>
          </w:p>
        </w:tc>
      </w:tr>
      <w:tr>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Vendor support SLA</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Community (GitHub, Discord)</w:t>
            </w:r>
          </w:p>
        </w:tc>
        <w:tc>
          <w:tcPr>
            <w:tcW w:type="dxa" w:w="32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Paid SLA</w:t>
            </w:r>
          </w:p>
        </w:tc>
      </w:tr>
    </w:tbl>
    <w:p>
      <w:pPr>
        <w:pStyle w:val="Heading2"/>
        <w:spacing w:after="140" w:before="280"/>
      </w:pPr>
      <w:r>
        <w:rPr>
          <w:rFonts w:ascii="Calibri" w:cs="Calibri" w:eastAsia="Calibri" w:hAnsi="Calibri"/>
          <w:b/>
          <w:bCs/>
          <w:color w:val="1F3864"/>
          <w:sz w:val="28"/>
          <w:szCs w:val="28"/>
        </w:rPr>
        <w:t xml:space="preserve">2.2  Design Stance: EE-First with CE Fallback Documented</w:t>
      </w:r>
    </w:p>
    <w:p>
      <w:pPr>
        <w:spacing w:after="120" w:before="0"/>
      </w:pPr>
      <w:r>
        <w:rPr>
          <w:rFonts w:ascii="Calibri" w:cs="Calibri" w:eastAsia="Calibri" w:hAnsi="Calibri"/>
          <w:color w:val="1A1A1A"/>
          <w:sz w:val="20"/>
          <w:szCs w:val="20"/>
        </w:rPr>
        <w:t xml:space="preserve">This document specifies the design assuming EE primitives are available. At every point an EE-only feature is invoked, a CE fallback is documented in an EE / CE call-out. The fallback either approximates the same outcome through architectural choices or accepts a documented limitation. TPE’s licensing decision can therefore be made on the basis of which EE features TPE is willing to build around versus which it is willing to pay for, with the cost of each fallback visible.</w:t>
      </w:r>
    </w:p>
    <w:p>
      <w:pPr>
        <w:pStyle w:val="Heading2"/>
        <w:spacing w:after="140" w:before="280"/>
      </w:pPr>
      <w:r>
        <w:rPr>
          <w:rFonts w:ascii="Calibri" w:cs="Calibri" w:eastAsia="Calibri" w:hAnsi="Calibri"/>
          <w:b/>
          <w:bCs/>
          <w:color w:val="1F3864"/>
          <w:sz w:val="28"/>
          <w:szCs w:val="28"/>
        </w:rPr>
        <w:t xml:space="preserve">2.3  EE Features Used in This Design and Their CE Fallbacks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3500"/>
        <w:gridCol w:w="3546"/>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EE feature in design</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Used for</w:t>
            </w:r>
          </w:p>
        </w:tc>
        <w:tc>
          <w:tcPr>
            <w:tcW w:type="dxa" w:w="3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CE fallback</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Tenants API</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Multi-tenant routing for eleven insurers (Section 7)</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Logical tenancy at workflow + registry layer; per-tenant overrides resolved in code rather than via Novu Tenants API</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Translations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Hindi variants on policyholder + investor cadences (Section 5.5)</w:t>
            </w:r>
          </w:p>
        </w:tc>
        <w:tc>
          <w:tcPr>
            <w:tcW w:type="dxa" w:w="3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Translation modules in Bridge repo (TS exports keyed by language); workflow reads payload.language and selects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Fine-grained RBAC</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 Compliance / Engineering separation in Novu Web (Section 9.3)</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Repo-level CODEOWNERS gates content changes; Novu Web access limited to admin/member; rely on Git for the real RBAC</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EE SSO</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IdP integration (Section 9.2)</w:t>
            </w:r>
          </w:p>
        </w:tc>
        <w:tc>
          <w:tcPr>
            <w:tcW w:type="dxa" w:w="3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SSO terminated at AWS ALB before Novu Web; only TPE-authenticated users reach the dashboard</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EE in-platform audit log</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Operational audit visible in Novu Web (Section 8.4)</w:t>
            </w:r>
          </w:p>
        </w:tc>
        <w:tc>
          <w:tcPr>
            <w:tcW w:type="dxa" w:w="3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audit middleware writing to TPE Postgres audit_events table; Compliance dashboard queries that table directly</w:t>
            </w:r>
          </w:p>
        </w:tc>
      </w:tr>
    </w:tbl>
    <w:p>
      <w:pPr>
        <w:spacing w:after="120" w:before="0"/>
      </w:pPr>
      <w:r>
        <w:rPr>
          <w:rFonts w:ascii="Calibri" w:cs="Calibri" w:eastAsia="Calibri" w:hAnsi="Calibri"/>
          <w:i/>
          <w:iCs/>
          <w:color w:val="808080"/>
          <w:sz w:val="18"/>
          <w:szCs w:val="18"/>
        </w:rPr>
        <w:t xml:space="preserve">Recommendation: TPE engineering builds CE-first with all five fallbacks above implemented, then revisits EE procurement at the end of Phase 4 once we know which fallbacks are working and which are creating ongoing friction. This delays the EE / no-EE decision until evidence is in. Sections of this document marked EE-first remain accurate either way — only the implementation of the marked feature changes.</w:t>
      </w:r>
    </w:p>
    <w:p>
      <w:pPr>
        <w:pStyle w:val="Heading1"/>
        <w:pageBreakBefore/>
        <w:spacing w:after="240" w:before="0"/>
      </w:pPr>
      <w:r>
        <w:rPr>
          <w:rFonts w:ascii="Calibri" w:cs="Calibri" w:eastAsia="Calibri" w:hAnsi="Calibri"/>
          <w:b/>
          <w:bCs/>
          <w:color w:val="1F3864"/>
          <w:sz w:val="36"/>
          <w:szCs w:val="36"/>
        </w:rPr>
        <w:t xml:space="preserve">3. Novu Platform Primitives (Reference)</w:t>
      </w:r>
    </w:p>
    <w:p>
      <w:pPr>
        <w:spacing w:after="120" w:before="0"/>
      </w:pPr>
      <w:r>
        <w:rPr>
          <w:rFonts w:ascii="Calibri" w:cs="Calibri" w:eastAsia="Calibri" w:hAnsi="Calibri"/>
          <w:color w:val="1A1A1A"/>
          <w:sz w:val="20"/>
          <w:szCs w:val="20"/>
        </w:rPr>
        <w:t xml:space="preserve">This section is the platform vocabulary used throughout the rest of the document. Each primitive is described in terms of what it does, its key fields, and how TPE uses it. Reference: https://docs.novu.co (verify against the version pinned in Phase 1).</w:t>
      </w:r>
    </w:p>
    <w:p>
      <w:pPr>
        <w:pStyle w:val="Heading2"/>
        <w:spacing w:after="140" w:before="280"/>
      </w:pPr>
      <w:r>
        <w:rPr>
          <w:rFonts w:ascii="Calibri" w:cs="Calibri" w:eastAsia="Calibri" w:hAnsi="Calibri"/>
          <w:b/>
          <w:bCs/>
          <w:color w:val="1F3864"/>
          <w:sz w:val="28"/>
          <w:szCs w:val="28"/>
        </w:rPr>
        <w:t xml:space="preserve">3.1  Workflow</w:t>
      </w:r>
    </w:p>
    <w:p>
      <w:pPr>
        <w:spacing w:after="120" w:before="0"/>
      </w:pPr>
      <w:r>
        <w:rPr>
          <w:rFonts w:ascii="Calibri" w:cs="Calibri" w:eastAsia="Calibri" w:hAnsi="Calibri"/>
          <w:color w:val="1A1A1A"/>
          <w:sz w:val="20"/>
          <w:szCs w:val="20"/>
        </w:rPr>
        <w:t xml:space="preserve">A Novu workflow is a TypeScript function that receives a typed payload, the resolved subscriber, and a step API. The workflow declares channel steps, delays, digests, and custom steps. Defined via @novu/framework, deployed via Bridge.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workflow(</w:t>
            </w:r>
          </w:p>
          <w:p>
            <w:pPr>
              <w:spacing w:after="0"/>
            </w:pPr>
            <w:r>
              <w:rPr>
                <w:rFonts w:ascii="Consolas" w:cs="Consolas" w:eastAsia="Consolas" w:hAnsi="Consolas"/>
                <w:color w:val="1A1A1A"/>
                <w:sz w:val="16"/>
                <w:szCs w:val="16"/>
              </w:rPr>
              <w:t xml:space="preserve">  'workflow-id',                                    // unique identifier</w:t>
            </w:r>
          </w:p>
          <w:p>
            <w:pPr>
              <w:spacing w:after="0"/>
            </w:pPr>
            <w:r>
              <w:rPr>
                <w:rFonts w:ascii="Consolas" w:cs="Consolas" w:eastAsia="Consolas" w:hAnsi="Consolas"/>
                <w:color w:val="1A1A1A"/>
                <w:sz w:val="16"/>
                <w:szCs w:val="16"/>
              </w:rPr>
              <w:t xml:space="preserve">  async ({ payload, subscriber, step }) =&gt; {       // execution body</w:t>
            </w:r>
          </w:p>
          <w:p>
            <w:pPr>
              <w:spacing w:after="0"/>
            </w:pPr>
            <w:r>
              <w:rPr>
                <w:rFonts w:ascii="Consolas" w:cs="Consolas" w:eastAsia="Consolas" w:hAnsi="Consolas"/>
                <w:color w:val="1A1A1A"/>
                <w:sz w:val="16"/>
                <w:szCs w:val="16"/>
              </w:rPr>
              <w:t xml:space="preserve">    await step.email('subject', () =&gt; ({ ... }));</w:t>
            </w:r>
          </w:p>
          <w:p>
            <w:pPr>
              <w:spacing w:after="0"/>
            </w:pPr>
            <w:r>
              <w:rPr>
                <w:rFonts w:ascii="Consolas" w:cs="Consolas" w:eastAsia="Consolas" w:hAnsi="Consolas"/>
                <w:color w:val="1A1A1A"/>
                <w:sz w:val="16"/>
                <w:szCs w:val="16"/>
              </w:rPr>
              <w:t xml:space="preserve">    await step.delay('wait', () =&gt; ({ ... }));</w:t>
            </w:r>
          </w:p>
          <w:p>
            <w:pPr>
              <w:spacing w:after="0"/>
            </w:pPr>
            <w:r>
              <w:rPr>
                <w:rFonts w:ascii="Consolas" w:cs="Consolas" w:eastAsia="Consolas" w:hAnsi="Consolas"/>
                <w:color w:val="1A1A1A"/>
                <w:sz w:val="16"/>
                <w:szCs w:val="16"/>
              </w:rPr>
              <w:t xml:space="preserve">    await step.sms('reminder', () =&gt; ({ ...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payloadSchema: z.object({ ... }),               // Zod schema, validated at trigger time</w:t>
            </w:r>
          </w:p>
          <w:p>
            <w:pPr>
              <w:spacing w:after="0"/>
            </w:pPr>
            <w:r>
              <w:rPr>
                <w:rFonts w:ascii="Consolas" w:cs="Consolas" w:eastAsia="Consolas" w:hAnsi="Consolas"/>
                <w:color w:val="1A1A1A"/>
                <w:sz w:val="16"/>
                <w:szCs w:val="16"/>
              </w:rPr>
              <w:t xml:space="preserve">    controlSchema: z.object({ ... }),               // operator-tunable parameters via dashboard</w:t>
            </w:r>
          </w:p>
          <w:p>
            <w:pPr>
              <w:spacing w:after="0"/>
            </w:pPr>
            <w:r>
              <w:rPr>
                <w:rFonts w:ascii="Consolas" w:cs="Consolas" w:eastAsia="Consolas" w:hAnsi="Consolas"/>
                <w:color w:val="1A1A1A"/>
                <w:sz w:val="16"/>
                <w:szCs w:val="16"/>
              </w:rPr>
              <w:t xml:space="preserve">    tags: ['policyholder', 'service'],              // discoverability + filtering</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Every workflow has a unique id (matched to the trigger ID; PH-15 → workflow id ph-15). Payload is the trigger event body. Subscriber is resolved by the to.subscriberId at trigger time. Tags surface in the dashboard and are used by Operations to filter.</w:t>
      </w:r>
    </w:p>
    <w:p>
      <w:pPr>
        <w:pStyle w:val="Heading2"/>
        <w:spacing w:after="140" w:before="280"/>
      </w:pPr>
      <w:r>
        <w:rPr>
          <w:rFonts w:ascii="Calibri" w:cs="Calibri" w:eastAsia="Calibri" w:hAnsi="Calibri"/>
          <w:b/>
          <w:bCs/>
          <w:color w:val="1F3864"/>
          <w:sz w:val="28"/>
          <w:szCs w:val="28"/>
        </w:rPr>
        <w:t xml:space="preserve">3.2  Steps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40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Step type</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Purpose</w:t>
            </w:r>
          </w:p>
        </w:tc>
        <w:tc>
          <w:tcPr>
            <w:tcW w:type="dxa" w:w="4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TPE usage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step.email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Sends an email through the configured Email integration</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transactional and statutory email channels; primary channel for INV-13, INV-14, INV-16, INS-01..06, REG-01..03</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step.sms</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Sends an SMS via the configured SMS integration; supports per-step provider overrides for DLT pass-through</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All transactional and high-urgency SMS; primary for OTP, EMI, premium-due T-day, disbursement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step.chat</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Sends to a chat channel (WhatsApp, Slack, Microsoft Teams, Discord); BSP-mediated for WhatsApp</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Utility / Marketing across all customer-facing audiences; Slack / Teams for internal Group D</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step.push</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Sends mobile push</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Out of v1 scope (Charter Section 4.4 reserves push for v1.1)</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step.inApp</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Writes to the in-app Inbox</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Reserved for v1.1 once TPE web app exposes Inbox component</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step.delay</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Pauses workflow execution for a duration or until a timestamp</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Multi-step cadences (PH-01 drip, PH-03 KYC weekly chase, PH-15 EMI sequence, PH-17 dormant decay)</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step.digest</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Aggregates events arriving within a window into a single notification</w:t>
            </w:r>
          </w:p>
        </w:tc>
        <w:tc>
          <w:tcPr>
            <w:tcW w:type="dxa" w:w="4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OPS-02 daily standup, OPS-05 KYC stuck, INV-13 portfolio statement consolidation, INV-08 multi-policy consolidation</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step.custom</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Runs an arbitrary async function as a workflow step — no channel side-effect</w:t>
            </w:r>
          </w:p>
        </w:tc>
        <w:tc>
          <w:tcPr>
            <w:tcW w:type="dxa" w:w="4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pre-check, audit emit, tenant resolution, payload enrichment</w:t>
            </w:r>
          </w:p>
        </w:tc>
      </w:tr>
    </w:tbl>
    <w:p>
      <w:pPr>
        <w:pStyle w:val="Heading2"/>
        <w:spacing w:after="140" w:before="280"/>
      </w:pPr>
      <w:r>
        <w:rPr>
          <w:rFonts w:ascii="Calibri" w:cs="Calibri" w:eastAsia="Calibri" w:hAnsi="Calibri"/>
          <w:b/>
          <w:bCs/>
          <w:color w:val="1F3864"/>
          <w:sz w:val="28"/>
          <w:szCs w:val="28"/>
        </w:rPr>
        <w:t xml:space="preserve">3.3  Subscriber</w:t>
      </w:r>
    </w:p>
    <w:p>
      <w:pPr>
        <w:spacing w:after="120" w:before="0"/>
      </w:pPr>
      <w:r>
        <w:rPr>
          <w:rFonts w:ascii="Calibri" w:cs="Calibri" w:eastAsia="Calibri" w:hAnsi="Calibri"/>
          <w:color w:val="1A1A1A"/>
          <w:sz w:val="20"/>
          <w:szCs w:val="20"/>
        </w:rPr>
        <w:t xml:space="preserve">A Novu Subscriber is the recipient. Identified by subscriberId (we use the TPE business ID: ph_id, investor_id, insurer contact email, internal user email). Carries channel addresses (email, phone, push tokens, chat handles) and per-channel preferences. Subscriber data also carries arbitrary attributes used in workflow logic (data.kyc_status, data.risk_band, data.preferred_language, data.opt_out).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 Subscriber upsert at trigger time, or via API ahead of time:</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subscriberId: 'INV-12345',</w:t>
            </w:r>
          </w:p>
          <w:p>
            <w:pPr>
              <w:spacing w:after="0"/>
            </w:pPr>
            <w:r>
              <w:rPr>
                <w:rFonts w:ascii="Consolas" w:cs="Consolas" w:eastAsia="Consolas" w:hAnsi="Consolas"/>
                <w:color w:val="1A1A1A"/>
                <w:sz w:val="16"/>
                <w:szCs w:val="16"/>
              </w:rPr>
              <w:t xml:space="preserve">  email: 'investor@example.com',</w:t>
            </w:r>
          </w:p>
          <w:p>
            <w:pPr>
              <w:spacing w:after="0"/>
            </w:pPr>
            <w:r>
              <w:rPr>
                <w:rFonts w:ascii="Consolas" w:cs="Consolas" w:eastAsia="Consolas" w:hAnsi="Consolas"/>
                <w:color w:val="1A1A1A"/>
                <w:sz w:val="16"/>
                <w:szCs w:val="16"/>
              </w:rPr>
              <w:t xml:space="preserve">  phone: '+919999999999',</w:t>
            </w:r>
          </w:p>
          <w:p>
            <w:pPr>
              <w:spacing w:after="0"/>
            </w:pPr>
            <w:r>
              <w:rPr>
                <w:rFonts w:ascii="Consolas" w:cs="Consolas" w:eastAsia="Consolas" w:hAnsi="Consolas"/>
                <w:color w:val="1A1A1A"/>
                <w:sz w:val="16"/>
                <w:szCs w:val="16"/>
              </w:rPr>
              <w:t xml:space="preserve">  data: {</w:t>
            </w:r>
          </w:p>
          <w:p>
            <w:pPr>
              <w:spacing w:after="0"/>
            </w:pPr>
            <w:r>
              <w:rPr>
                <w:rFonts w:ascii="Consolas" w:cs="Consolas" w:eastAsia="Consolas" w:hAnsi="Consolas"/>
                <w:color w:val="1A1A1A"/>
                <w:sz w:val="16"/>
                <w:szCs w:val="16"/>
              </w:rPr>
              <w:t xml:space="preserve">    name: 'Asha Sharma',</w:t>
            </w:r>
          </w:p>
          <w:p>
            <w:pPr>
              <w:spacing w:after="0"/>
            </w:pPr>
            <w:r>
              <w:rPr>
                <w:rFonts w:ascii="Consolas" w:cs="Consolas" w:eastAsia="Consolas" w:hAnsi="Consolas"/>
                <w:color w:val="1A1A1A"/>
                <w:sz w:val="16"/>
                <w:szCs w:val="16"/>
              </w:rPr>
              <w:t xml:space="preserve">    preferred_language: 'hi',</w:t>
            </w:r>
          </w:p>
          <w:p>
            <w:pPr>
              <w:spacing w:after="0"/>
            </w:pPr>
            <w:r>
              <w:rPr>
                <w:rFonts w:ascii="Consolas" w:cs="Consolas" w:eastAsia="Consolas" w:hAnsi="Consolas"/>
                <w:color w:val="1A1A1A"/>
                <w:sz w:val="16"/>
                <w:szCs w:val="16"/>
              </w:rPr>
              <w:t xml:space="preserve">    risk_band: 'moderate',</w:t>
            </w:r>
          </w:p>
          <w:p>
            <w:pPr>
              <w:spacing w:after="0"/>
            </w:pPr>
            <w:r>
              <w:rPr>
                <w:rFonts w:ascii="Consolas" w:cs="Consolas" w:eastAsia="Consolas" w:hAnsi="Consolas"/>
                <w:color w:val="1A1A1A"/>
                <w:sz w:val="16"/>
                <w:szCs w:val="16"/>
              </w:rPr>
              <w:t xml:space="preserve">    pan_validated: true,</w:t>
            </w:r>
          </w:p>
          <w:p>
            <w:pPr>
              <w:spacing w:after="0"/>
            </w:pPr>
            <w:r>
              <w:rPr>
                <w:rFonts w:ascii="Consolas" w:cs="Consolas" w:eastAsia="Consolas" w:hAnsi="Consolas"/>
                <w:color w:val="1A1A1A"/>
                <w:sz w:val="16"/>
                <w:szCs w:val="16"/>
              </w:rPr>
              <w:t xml:space="preserve">    insurer_id: 'HDFC_LIFE',           // for tenancy resolution where applicable</w:t>
            </w:r>
          </w:p>
          <w:p>
            <w:pPr>
              <w:spacing w:after="0"/>
            </w:pPr>
            <w:r>
              <w:rPr>
                <w:rFonts w:ascii="Consolas" w:cs="Consolas" w:eastAsia="Consolas" w:hAnsi="Consolas"/>
                <w:color w:val="1A1A1A"/>
                <w:sz w:val="16"/>
                <w:szCs w:val="16"/>
              </w:rPr>
              <w:t xml:space="preserve">    consent: { wa_marketing: true, email_marketing: false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TPE pattern: subscribers are created or updated by the upstream service that owns the entity (Lead Capture Service for leads; Auth Service on registration; KYC Service on KYC events). The Bridge does not create subscribers; it consumes them. One-time subscriber sync (Charter Section 4.9) populates the initial set; ongoing change-events keep them current.</w:t>
      </w:r>
    </w:p>
    <w:p>
      <w:pPr>
        <w:pStyle w:val="Heading2"/>
        <w:spacing w:after="140" w:before="280"/>
      </w:pPr>
      <w:r>
        <w:rPr>
          <w:rFonts w:ascii="Calibri" w:cs="Calibri" w:eastAsia="Calibri" w:hAnsi="Calibri"/>
          <w:b/>
          <w:bCs/>
          <w:color w:val="1F3864"/>
          <w:sz w:val="28"/>
          <w:szCs w:val="28"/>
        </w:rPr>
        <w:t xml:space="preserve">3.4  Subscriber Preferences</w:t>
      </w:r>
    </w:p>
    <w:p>
      <w:pPr>
        <w:spacing w:after="120" w:before="0"/>
      </w:pPr>
      <w:r>
        <w:rPr>
          <w:rFonts w:ascii="Calibri" w:cs="Calibri" w:eastAsia="Calibri" w:hAnsi="Calibri"/>
          <w:color w:val="1A1A1A"/>
          <w:sz w:val="20"/>
          <w:szCs w:val="20"/>
        </w:rPr>
        <w:t xml:space="preserve">Per-subscriber, per-channel, per-workflow preferences. Stored against the Subscriber. Read by the platform automatically before a step executes — if a subscriber has opted out of marketing on WhatsApp, step.chat in a Marketing-classified workflow is silently skipped.</w:t>
      </w:r>
    </w:p>
    <w:p>
      <w:pPr>
        <w:spacing w:after="120" w:before="0"/>
      </w:pPr>
      <w:r>
        <w:rPr>
          <w:rFonts w:ascii="Calibri" w:cs="Calibri" w:eastAsia="Calibri" w:hAnsi="Calibri"/>
          <w:color w:val="1A1A1A"/>
          <w:sz w:val="20"/>
          <w:szCs w:val="20"/>
        </w:rPr>
        <w:t xml:space="preserve">TPE pattern: workflows that are service-class (transactional) bypass preferences; workflows that are marketing-class respect them. Compliance class is set at workflow level via tags + a complianceClass control.</w:t>
      </w:r>
    </w:p>
    <w:p>
      <w:pPr>
        <w:pStyle w:val="Heading2"/>
        <w:spacing w:after="140" w:before="280"/>
      </w:pPr>
      <w:r>
        <w:rPr>
          <w:rFonts w:ascii="Calibri" w:cs="Calibri" w:eastAsia="Calibri" w:hAnsi="Calibri"/>
          <w:b/>
          <w:bCs/>
          <w:color w:val="1F3864"/>
          <w:sz w:val="28"/>
          <w:szCs w:val="28"/>
        </w:rPr>
        <w:t xml:space="preserve">3.5  Topics</w:t>
      </w:r>
    </w:p>
    <w:p>
      <w:pPr>
        <w:spacing w:after="120" w:before="0"/>
      </w:pPr>
      <w:r>
        <w:rPr>
          <w:rFonts w:ascii="Calibri" w:cs="Calibri" w:eastAsia="Calibri" w:hAnsi="Calibri"/>
          <w:color w:val="1A1A1A"/>
          <w:sz w:val="20"/>
          <w:szCs w:val="20"/>
        </w:rPr>
        <w:t xml:space="preserve">A Topic is a named subscriber group; triggering a workflow with to.topicKey fans it out to all subscribers in the topic at the time of trigger. Useful for broadcast scenarios where the audience changes over time.</w:t>
      </w:r>
    </w:p>
    <w:p>
      <w:pPr>
        <w:spacing w:after="120" w:before="0"/>
      </w:pPr>
      <w:r>
        <w:rPr>
          <w:rFonts w:ascii="Calibri" w:cs="Calibri" w:eastAsia="Calibri" w:hAnsi="Calibri"/>
          <w:color w:val="1A1A1A"/>
          <w:sz w:val="20"/>
          <w:szCs w:val="20"/>
        </w:rPr>
        <w:t xml:space="preserve">TPE pattern: Topics are used for INV-04 weekly curated digest (every active investor in the relevant tier), INV-16 T&amp;C change broadcasts, REG-02 quarterly TDS dispatch (members are TDS-eligible investors for the quarter).</w:t>
      </w:r>
    </w:p>
    <w:p>
      <w:pPr>
        <w:pStyle w:val="Heading2"/>
        <w:spacing w:after="140" w:before="280"/>
      </w:pPr>
      <w:r>
        <w:rPr>
          <w:rFonts w:ascii="Calibri" w:cs="Calibri" w:eastAsia="Calibri" w:hAnsi="Calibri"/>
          <w:b/>
          <w:bCs/>
          <w:color w:val="1F3864"/>
          <w:sz w:val="28"/>
          <w:szCs w:val="28"/>
        </w:rPr>
        <w:t xml:space="preserve">3.6  Tenants (EE)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A Tenant is a first-class isolation boundary inside a Novu environment. Workflows trigger with a tenant identifier; integrations, brand, content overrides, and audit views can all be tenant-scoped natively.</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Without EE Tenants, multi-tenant behaviour is implemented at the Bridge layer: TPE maintains an insurer registry (Section 7.2), the trigger payload carries insurer_id, and the workflow + content code resolves per-insurer overrides explicitly. Audit views per insurer are produced by SQL on the audit_events table.</w:t>
            </w:r>
          </w:p>
        </w:tc>
      </w:tr>
    </w:tbl>
    <w:p>
      <w:pPr>
        <w:spacing w:after="120" w:before="0"/>
      </w:pPr>
      <w:r>
        <w:rPr>
          <w:rFonts w:ascii="Calibri" w:cs="Calibri" w:eastAsia="Calibri" w:hAnsi="Calibri"/>
          <w:color w:val="1A1A1A"/>
          <w:sz w:val="20"/>
          <w:szCs w:val="20"/>
        </w:rPr>
        <w:t xml:space="preserve">TPE has eleven insurance partner tenants (Charter Section 4.7). Group C triggers (INS-01..06) and INV-09, INV-10 use tenancy.</w:t>
      </w:r>
    </w:p>
    <w:p>
      <w:pPr>
        <w:pStyle w:val="Heading2"/>
        <w:spacing w:after="140" w:before="280"/>
      </w:pPr>
      <w:r>
        <w:rPr>
          <w:rFonts w:ascii="Calibri" w:cs="Calibri" w:eastAsia="Calibri" w:hAnsi="Calibri"/>
          <w:b/>
          <w:bCs/>
          <w:color w:val="1F3864"/>
          <w:sz w:val="28"/>
          <w:szCs w:val="28"/>
        </w:rPr>
        <w:t xml:space="preserve">3.7  Integrations</w:t>
      </w:r>
    </w:p>
    <w:p>
      <w:pPr>
        <w:spacing w:after="120" w:before="0"/>
      </w:pPr>
      <w:r>
        <w:rPr>
          <w:rFonts w:ascii="Calibri" w:cs="Calibri" w:eastAsia="Calibri" w:hAnsi="Calibri"/>
          <w:color w:val="1A1A1A"/>
          <w:sz w:val="20"/>
          <w:szCs w:val="20"/>
        </w:rPr>
        <w:t xml:space="preserve">An Integration is a configured channel provider — e.g. Gupshup configured with API key and DLT settings. Integrations are scoped per environment per channel. A workflow step uses the active integration for that channel; per-step overrides target a specific integration if multiple are configured.</w:t>
      </w:r>
    </w:p>
    <w:p>
      <w:pPr>
        <w:spacing w:after="120" w:before="0"/>
      </w:pPr>
      <w:r>
        <w:rPr>
          <w:rFonts w:ascii="Calibri" w:cs="Calibri" w:eastAsia="Calibri" w:hAnsi="Calibri"/>
          <w:color w:val="1A1A1A"/>
          <w:sz w:val="20"/>
          <w:szCs w:val="20"/>
        </w:rPr>
        <w:t xml:space="preserve">TPE has three SMS integrations (Gupshup, MSG91, Karix), three WhatsApp integrations (the same providers via WhatsApp Cloud API or BSP), and one Email integration (provider TBD — candidates are AWS SES Mumbai, SendGrid, Resend).</w:t>
      </w:r>
    </w:p>
    <w:p>
      <w:pPr>
        <w:pStyle w:val="Heading2"/>
        <w:spacing w:after="140" w:before="280"/>
      </w:pPr>
      <w:r>
        <w:rPr>
          <w:rFonts w:ascii="Calibri" w:cs="Calibri" w:eastAsia="Calibri" w:hAnsi="Calibri"/>
          <w:b/>
          <w:bCs/>
          <w:color w:val="1F3864"/>
          <w:sz w:val="28"/>
          <w:szCs w:val="28"/>
        </w:rPr>
        <w:t xml:space="preserve">3.8  Bridge</w:t>
      </w:r>
    </w:p>
    <w:p>
      <w:pPr>
        <w:spacing w:after="120" w:before="0"/>
      </w:pPr>
      <w:r>
        <w:rPr>
          <w:rFonts w:ascii="Calibri" w:cs="Calibri" w:eastAsia="Calibri" w:hAnsi="Calibri"/>
          <w:color w:val="1A1A1A"/>
          <w:sz w:val="20"/>
          <w:szCs w:val="20"/>
        </w:rPr>
        <w:t xml:space="preserve">The Bridge is the application that hosts workflow code. Novu reaches it over HTTP at a registered URL. On every trigger, Novu calls the Bridge for the workflow definition; the Bridge returns the workflow, Novu executes the steps, calling back to the Bridge for any custom steps.</w:t>
      </w:r>
    </w:p>
    <w:p>
      <w:pPr>
        <w:spacing w:after="120" w:before="0"/>
      </w:pPr>
      <w:r>
        <w:rPr>
          <w:rFonts w:ascii="Calibri" w:cs="Calibri" w:eastAsia="Calibri" w:hAnsi="Calibri"/>
          <w:color w:val="1A1A1A"/>
          <w:sz w:val="20"/>
          <w:szCs w:val="20"/>
        </w:rPr>
        <w:t xml:space="preserve">TPE pattern: a single Bridge application hosts all 49 workflows. Bridge is owned by Engineering, deployed via GitHub Actions, runs in the same VPC as Novu (private subnet), reachable only from the Worker.</w:t>
      </w:r>
    </w:p>
    <w:p>
      <w:pPr>
        <w:pStyle w:val="Heading2"/>
        <w:spacing w:after="140" w:before="280"/>
      </w:pPr>
      <w:r>
        <w:rPr>
          <w:rFonts w:ascii="Calibri" w:cs="Calibri" w:eastAsia="Calibri" w:hAnsi="Calibri"/>
          <w:b/>
          <w:bCs/>
          <w:color w:val="1F3864"/>
          <w:sz w:val="28"/>
          <w:szCs w:val="28"/>
        </w:rPr>
        <w:t xml:space="preserve">3.9  Environments</w:t>
      </w:r>
    </w:p>
    <w:p>
      <w:pPr>
        <w:spacing w:after="120" w:before="0"/>
      </w:pPr>
      <w:r>
        <w:rPr>
          <w:rFonts w:ascii="Calibri" w:cs="Calibri" w:eastAsia="Calibri" w:hAnsi="Calibri"/>
          <w:color w:val="1A1A1A"/>
          <w:sz w:val="20"/>
          <w:szCs w:val="20"/>
        </w:rPr>
        <w:t xml:space="preserve">Novu separates dev / staging / production at the environment level: separate API keys, separate subscriber pools, separate integrations, separate workflow versions. Workflow code can be promoted between environments via the dashboard or API.</w:t>
      </w:r>
    </w:p>
    <w:p>
      <w:pPr>
        <w:spacing w:after="120" w:before="0"/>
      </w:pPr>
      <w:r>
        <w:rPr>
          <w:rFonts w:ascii="Calibri" w:cs="Calibri" w:eastAsia="Calibri" w:hAnsi="Calibri"/>
          <w:color w:val="1A1A1A"/>
          <w:sz w:val="20"/>
          <w:szCs w:val="20"/>
        </w:rPr>
        <w:t xml:space="preserve">TPE pattern: three environments. Dev for engineer-local testing, staging mirroring production sized smaller, production. The Bridge is deployed three times; each instance is registered with its own environment in Novu.</w:t>
      </w:r>
    </w:p>
    <w:p>
      <w:pPr>
        <w:pStyle w:val="Heading2"/>
        <w:spacing w:after="140" w:before="280"/>
      </w:pPr>
      <w:r>
        <w:rPr>
          <w:rFonts w:ascii="Calibri" w:cs="Calibri" w:eastAsia="Calibri" w:hAnsi="Calibri"/>
          <w:b/>
          <w:bCs/>
          <w:color w:val="1F3864"/>
          <w:sz w:val="28"/>
          <w:szCs w:val="28"/>
        </w:rPr>
        <w:t xml:space="preserve">3.10  Controls</w:t>
      </w:r>
    </w:p>
    <w:p>
      <w:pPr>
        <w:spacing w:after="120" w:before="0"/>
      </w:pPr>
      <w:r>
        <w:rPr>
          <w:rFonts w:ascii="Calibri" w:cs="Calibri" w:eastAsia="Calibri" w:hAnsi="Calibri"/>
          <w:color w:val="1A1A1A"/>
          <w:sz w:val="20"/>
          <w:szCs w:val="20"/>
        </w:rPr>
        <w:t xml:space="preserve">controlSchema is a separate Zod schema declared on the workflow that exposes operator-tunable parameters in the Novu dashboard — things like whether to send a particular channel, what the urgency threshold is, what a configurable copy variant should say. Operations / CX can adjust these without a code deploy.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workflow('inv-04', async ({ payload, controls, step }) =&gt; {</w:t>
            </w:r>
          </w:p>
          <w:p>
            <w:pPr>
              <w:spacing w:after="0"/>
            </w:pPr>
            <w:r>
              <w:rPr>
                <w:rFonts w:ascii="Consolas" w:cs="Consolas" w:eastAsia="Consolas" w:hAnsi="Consolas"/>
                <w:color w:val="1A1A1A"/>
                <w:sz w:val="16"/>
                <w:szCs w:val="16"/>
              </w:rPr>
              <w:t xml:space="preserve">  if (controls.sendMarketingDigest) {</w:t>
            </w:r>
          </w:p>
          <w:p>
            <w:pPr>
              <w:spacing w:after="0"/>
            </w:pPr>
            <w:r>
              <w:rPr>
                <w:rFonts w:ascii="Consolas" w:cs="Consolas" w:eastAsia="Consolas" w:hAnsi="Consolas"/>
                <w:color w:val="1A1A1A"/>
                <w:sz w:val="16"/>
                <w:szCs w:val="16"/>
              </w:rPr>
              <w:t xml:space="preserve">    await step.chat('wa-marketing', () =&gt; ({ body: controls.headlineCopy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controlSchema: z.object({</w:t>
            </w:r>
          </w:p>
          <w:p>
            <w:pPr>
              <w:spacing w:after="0"/>
            </w:pPr>
            <w:r>
              <w:rPr>
                <w:rFonts w:ascii="Consolas" w:cs="Consolas" w:eastAsia="Consolas" w:hAnsi="Consolas"/>
                <w:color w:val="1A1A1A"/>
                <w:sz w:val="16"/>
                <w:szCs w:val="16"/>
              </w:rPr>
              <w:t xml:space="preserve">    sendMarketingDigest: z.boolean().default(true),</w:t>
            </w:r>
          </w:p>
          <w:p>
            <w:pPr>
              <w:spacing w:after="0"/>
            </w:pPr>
            <w:r>
              <w:rPr>
                <w:rFonts w:ascii="Consolas" w:cs="Consolas" w:eastAsia="Consolas" w:hAnsi="Consolas"/>
                <w:color w:val="1A1A1A"/>
                <w:sz w:val="16"/>
                <w:szCs w:val="16"/>
              </w:rPr>
              <w:t xml:space="preserve">    headlineCopy: z.string().default('This week\'s curated opportunities'),</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TPE pattern: controls are used for runtime knobs that Operations should be able to flip without an engineering PR — e.g. "suppress promotional sends during a regulatory blackout window", "raise the high-value escalation threshold from INR 50 lakh to INR 1 crore", "select active brand-voice variant for a campaign".</w:t>
      </w:r>
    </w:p>
    <w:p>
      <w:pPr>
        <w:pStyle w:val="Heading1"/>
        <w:pageBreakBefore/>
        <w:spacing w:after="240" w:before="0"/>
      </w:pPr>
      <w:r>
        <w:rPr>
          <w:rFonts w:ascii="Calibri" w:cs="Calibri" w:eastAsia="Calibri" w:hAnsi="Calibri"/>
          <w:b/>
          <w:bCs/>
          <w:color w:val="1F3864"/>
          <w:sz w:val="36"/>
          <w:szCs w:val="36"/>
        </w:rPr>
        <w:t xml:space="preserve">4. Architecture: How Primitives Compose for TPE</w:t>
      </w:r>
    </w:p>
    <w:p>
      <w:pPr>
        <w:spacing w:after="120" w:before="0"/>
      </w:pPr>
      <w:r>
        <w:rPr>
          <w:rFonts w:ascii="Calibri" w:cs="Calibri" w:eastAsia="Calibri" w:hAnsi="Calibri"/>
          <w:color w:val="1A1A1A"/>
          <w:sz w:val="20"/>
          <w:szCs w:val="20"/>
        </w:rPr>
        <w:t xml:space="preserve">Section 3 listed the primitives. This section shows how they wire together to satisfy the 49 triggers.</w:t>
      </w:r>
    </w:p>
    <w:p>
      <w:pPr>
        <w:pStyle w:val="Heading2"/>
        <w:spacing w:after="140" w:before="280"/>
      </w:pPr>
      <w:r>
        <w:rPr>
          <w:rFonts w:ascii="Calibri" w:cs="Calibri" w:eastAsia="Calibri" w:hAnsi="Calibri"/>
          <w:b/>
          <w:bCs/>
          <w:color w:val="1F3864"/>
          <w:sz w:val="28"/>
          <w:szCs w:val="28"/>
        </w:rPr>
        <w:t xml:space="preserve">4.1  Logical Topology</w:t>
      </w:r>
    </w:p>
    <w:p>
      <w:pPr>
        <w:spacing w:after="120" w:before="120"/>
        <w:jc w:val="center"/>
      </w:pPr>
      <w:r>
        <w:drawing>
          <wp:inline distT="0" distB="0" distL="0" distR="0">
            <wp:extent cx="5943600" cy="693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6934200"/>
                    </a:xfrm>
                    <a:prstGeom prst="rect">
                      <a:avLst/>
                    </a:prstGeom>
                  </pic:spPr>
                </pic:pic>
              </a:graphicData>
            </a:graphic>
          </wp:inline>
        </w:drawing>
      </w:r>
    </w:p>
    <w:p>
      <w:pPr>
        <w:spacing w:after="240"/>
        <w:jc w:val="center"/>
      </w:pPr>
      <w:r>
        <w:rPr>
          <w:rFonts w:ascii="Calibri" w:cs="Calibri" w:eastAsia="Calibri" w:hAnsi="Calibri"/>
          <w:i/>
          <w:iCs/>
          <w:color w:val="808080"/>
          <w:sz w:val="16"/>
          <w:szCs w:val="16"/>
        </w:rPr>
        <w:t xml:space="preserve">Figure 1. Logical topology of the TPE Communication System on Novu Platform.</w:t>
      </w:r>
    </w:p>
    <w:p>
      <w:pPr>
        <w:spacing w:after="120" w:before="0"/>
      </w:pPr>
      <w:r>
        <w:rPr>
          <w:rFonts w:ascii="Calibri" w:cs="Calibri" w:eastAsia="Calibri" w:hAnsi="Calibri"/>
          <w:color w:val="1A1A1A"/>
          <w:sz w:val="20"/>
          <w:szCs w:val="20"/>
        </w:rPr>
        <w:t xml:space="preserve">Six layers, top to bottom: (1) Upstream services emit events; (2) a thin Trigger Relay normalises them to Novu trigger calls with stable transactionId; (3) Novu Platform validates payload, schedules execution, calls back to Bridge; (4) Bridge holds the workflow code, middleware and custom providers, in the same VPC as Novu; (5) Channel Providers do outbound dispatch and return delivery receipts via webhook; (6) end users receive messages, modelled in Novu as Subscribers. TPE Storage is written by Bridge custom steps (audit-emit, tenant-resolve, compliance-check) and is the system of record for what was sent.</w:t>
      </w:r>
    </w:p>
    <w:p>
      <w:pPr>
        <w:pStyle w:val="Heading2"/>
        <w:spacing w:after="140" w:before="280"/>
      </w:pPr>
      <w:r>
        <w:rPr>
          <w:rFonts w:ascii="Calibri" w:cs="Calibri" w:eastAsia="Calibri" w:hAnsi="Calibri"/>
          <w:b/>
          <w:bCs/>
          <w:color w:val="1F3864"/>
          <w:sz w:val="28"/>
          <w:szCs w:val="28"/>
        </w:rPr>
        <w:t xml:space="preserve">4.2  Trigger to Dispatch Path (typical)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5500"/>
        <w:gridCol w:w="3446"/>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Step</w:t>
            </w:r>
          </w:p>
        </w:tc>
        <w:tc>
          <w:tcPr>
            <w:tcW w:type="dxa" w:w="5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What happens</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service emits an event (e.g. payment.disbursed)</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Upstream service</w:t>
            </w:r>
          </w:p>
        </w:tc>
      </w:tr>
      <w:tr>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relay calls Novu API: POST /v1/events/trigger with workflowId, to.subscriberId, payload</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relay (a thin TPE service that consumes upstream events)</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API validates payload against payloadSchema; resolves subscriber; checks idempotency key (by transactionId or stable computed key)</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API</w:t>
            </w:r>
          </w:p>
        </w:tc>
      </w:tr>
      <w:tr>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 picks up the execution, calls Bridge for workflow code</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 → Bridge</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Bridge runs the workflow function: compliance-check custom step → channel steps → audit-emit custom step</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Bridge</w:t>
            </w:r>
          </w:p>
        </w:tc>
      </w:tr>
      <w:tr>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For each channel step, Worker invokes the active integration with provider overrides; failover order applies on 5xx</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 → Provider</w:t>
            </w:r>
          </w:p>
        </w:tc>
      </w:tr>
      <w:tr>
        <w:tc>
          <w:tcPr>
            <w:tcW w:type="dxa" w:w="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w:t>
            </w:r>
          </w:p>
        </w:tc>
        <w:tc>
          <w:tcPr>
            <w:tcW w:type="dxa" w:w="5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returns delivery receipt; Worker updates execution status; webhook (if BSP supports it) updates downstream delivery state</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 Novu → webhook handler</w:t>
            </w:r>
          </w:p>
        </w:tc>
      </w:tr>
      <w:tr>
        <w:tc>
          <w:tcPr>
            <w:tcW w:type="dxa" w:w="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5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audit-emit step writes a row per dispatched message into TPE Postgres</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Bridge → audit_events</w:t>
            </w:r>
          </w:p>
        </w:tc>
      </w:tr>
    </w:tbl>
    <w:p>
      <w:pPr>
        <w:pStyle w:val="Heading2"/>
        <w:spacing w:after="140" w:before="280"/>
      </w:pPr>
      <w:r>
        <w:rPr>
          <w:rFonts w:ascii="Calibri" w:cs="Calibri" w:eastAsia="Calibri" w:hAnsi="Calibri"/>
          <w:b/>
          <w:bCs/>
          <w:color w:val="1F3864"/>
          <w:sz w:val="28"/>
          <w:szCs w:val="28"/>
        </w:rPr>
        <w:t xml:space="preserve">4.3  Trigger Patterns: Five Archetypes</w:t>
      </w:r>
    </w:p>
    <w:p>
      <w:pPr>
        <w:spacing w:after="120" w:before="0"/>
      </w:pPr>
      <w:r>
        <w:rPr>
          <w:rFonts w:ascii="Calibri" w:cs="Calibri" w:eastAsia="Calibri" w:hAnsi="Calibri"/>
          <w:color w:val="1A1A1A"/>
          <w:sz w:val="20"/>
          <w:szCs w:val="20"/>
        </w:rPr>
        <w:t xml:space="preserve">All 49 triggers reduce to one of five patterns. Each pattern is implemented once at the platform level (this section); per-trigger blocks in Section 10 specify the parameters for that trigger’s instantiation.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400"/>
        <w:gridCol w:w="24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Pattern</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Definition</w:t>
            </w:r>
          </w:p>
        </w:tc>
        <w:tc>
          <w:tcPr>
            <w:tcW w:type="dxa" w:w="24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 triggers</w:t>
            </w:r>
          </w:p>
        </w:tc>
        <w:tc>
          <w:tcPr>
            <w:tcW w:type="dxa" w:w="2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Novu shape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 Event-driven status</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One workflow execution per upstream status transition; no scheduled fires; cadence chases scheduled inside the workflow only when needed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PH-04, PH-05, PH-09, PH-10, PH-11, PH-13, PH-14, INV-02, INV-05, INV-07, INV-09, INV-12</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 channel steps → (optional) step.delay + chase steps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 Scheduled cadence</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execution scheduled by upstream scheduler at each milestone; one execution per milestone OR one execution that uses step.delay between milestones</w:t>
            </w:r>
          </w:p>
        </w:tc>
        <w:tc>
          <w:tcPr>
            <w:tcW w:type="dxa" w:w="24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PH-15 EMI, INV-08 premium due, INV-11 maturity approaching, INV-13 portfolio statement, INV-14 TDS, OPS-06 deadline, REG-01 IRDAI</w:t>
            </w:r>
          </w:p>
        </w:tc>
        <w:tc>
          <w:tcPr>
            <w:tcW w:type="dxa" w:w="2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per milestone OR trigger once + step.delay sequence; payload carries milestone enum</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 Drip / decay</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execution at trigger time, then step.delay sequence with channel sends at each delay boundary, with a cancel signal on a state transition</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PH-01 lead drip, PH-03 KYC chase, PH-17 re-engagement, INV-01 investor lead drip</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 channel → step.delay → channel → step.delay ...; cancel via step.cancelOnEvent or workflow cancellation API</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 Digest / aggregate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that aggregates events arriving in a window into one dispatch</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OPS-02 daily standup, OPS-05 KYC stuck, INV-08 multi-policy consolidation</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step.digest with window + aggregation key; channel send fires once per digest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 B2B / Statutory</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 dispatch on event with insurer-specific or regulator-specific format; no cadence chase from this workflow (Operations chases via Group D)</w:t>
            </w:r>
          </w:p>
        </w:tc>
        <w:tc>
          <w:tcPr>
            <w:tcW w:type="dxa" w:w="24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INS-01..06, REG-01..03</w:t>
            </w:r>
          </w:p>
        </w:tc>
        <w:tc>
          <w:tcPr>
            <w:tcW w:type="dxa" w:w="2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trigger → tenant-resolve step → step.email with format-overridden body and attachments</w:t>
            </w:r>
          </w:p>
        </w:tc>
      </w:tr>
    </w:tbl>
    <w:p>
      <w:pPr>
        <w:spacing w:after="120" w:before="0"/>
      </w:pPr>
      <w:r>
        <w:rPr>
          <w:rFonts w:ascii="Calibri" w:cs="Calibri" w:eastAsia="Calibri" w:hAnsi="Calibri"/>
          <w:color w:val="1A1A1A"/>
          <w:sz w:val="20"/>
          <w:szCs w:val="20"/>
        </w:rPr>
        <w:t xml:space="preserve">Each per-trigger block in Section 10 names which archetype the trigger belongs to in the Workflow shape row, and specifies parameters (which milestones, which delay durations, which aggregation key).</w:t>
      </w:r>
    </w:p>
    <w:p>
      <w:pPr>
        <w:pStyle w:val="Heading2"/>
        <w:spacing w:after="140" w:before="280"/>
      </w:pPr>
      <w:r>
        <w:rPr>
          <w:rFonts w:ascii="Calibri" w:cs="Calibri" w:eastAsia="Calibri" w:hAnsi="Calibri"/>
          <w:b/>
          <w:bCs/>
          <w:color w:val="1F3864"/>
          <w:sz w:val="28"/>
          <w:szCs w:val="28"/>
        </w:rPr>
        <w:t xml:space="preserve">4.4  Subscriber Sync Strategy</w:t>
      </w:r>
    </w:p>
    <w:p>
      <w:pPr>
        <w:spacing w:after="120" w:before="0"/>
      </w:pPr>
      <w:r>
        <w:rPr>
          <w:rFonts w:ascii="Calibri" w:cs="Calibri" w:eastAsia="Calibri" w:hAnsi="Calibri"/>
          <w:color w:val="1A1A1A"/>
          <w:sz w:val="20"/>
          <w:szCs w:val="20"/>
        </w:rPr>
        <w:t xml:space="preserve">Subscribers are kept in sync with TPE’s system of record using a write-through pattern. The upstream service that owns the entity emits a subscriber event (e.g. policyholder.created, investor.profile_updated, insurer_contact.changed) consumed by a thin sync relay that calls Novu’s subscriber identify API.</w:t>
      </w:r>
    </w:p>
    <w:p>
      <w:pPr>
        <w:spacing w:after="120" w:before="0"/>
      </w:pPr>
      <w:r>
        <w:rPr>
          <w:rFonts w:ascii="Calibri" w:cs="Calibri" w:eastAsia="Calibri" w:hAnsi="Calibri"/>
          <w:color w:val="1A1A1A"/>
          <w:sz w:val="20"/>
          <w:szCs w:val="20"/>
        </w:rPr>
        <w:t xml:space="preserve">Initial sync (one-time, Phase 2) ingests the existing in-scope policyholder and investor records via batch import. Diff report identifies records that did not synchronise and the reasons. Ongoing sync (Phase 2+) is event-driven.</w:t>
      </w:r>
    </w:p>
    <w:p>
      <w:pPr>
        <w:pStyle w:val="Heading2"/>
        <w:spacing w:after="140" w:before="280"/>
      </w:pPr>
      <w:r>
        <w:rPr>
          <w:rFonts w:ascii="Calibri" w:cs="Calibri" w:eastAsia="Calibri" w:hAnsi="Calibri"/>
          <w:b/>
          <w:bCs/>
          <w:color w:val="1F3864"/>
          <w:sz w:val="28"/>
          <w:szCs w:val="28"/>
        </w:rPr>
        <w:t xml:space="preserve">4.5  Idempotency</w:t>
      </w:r>
    </w:p>
    <w:p>
      <w:pPr>
        <w:spacing w:after="120" w:before="0"/>
      </w:pPr>
      <w:r>
        <w:rPr>
          <w:rFonts w:ascii="Calibri" w:cs="Calibri" w:eastAsia="Calibri" w:hAnsi="Calibri"/>
          <w:color w:val="1A1A1A"/>
          <w:sz w:val="20"/>
          <w:szCs w:val="20"/>
        </w:rPr>
        <w:t xml:space="preserve">Novu’s API supports idempotency on the trigger level via the transactionId field. Submitting two trigger requests with the same transactionId returns the same result and does not create a second execution.</w:t>
      </w:r>
    </w:p>
    <w:p>
      <w:pPr>
        <w:spacing w:after="120" w:before="0"/>
      </w:pPr>
      <w:r>
        <w:rPr>
          <w:rFonts w:ascii="Calibri" w:cs="Calibri" w:eastAsia="Calibri" w:hAnsi="Calibri"/>
          <w:color w:val="1A1A1A"/>
          <w:sz w:val="20"/>
          <w:szCs w:val="20"/>
        </w:rPr>
        <w:t xml:space="preserve">TPE pattern: every event that drives a workflow trigger has a stable transactionId derived from the Trigger Spec idempotency key. Examples: PH-10 → transactionId = `${payment_id}:${status}`; INV-08 → transactionId = `${policy_id}:${due_date}:${milestone}`; PH-15 → transactionId = `${loan_id}:${due_date}:${milestone}`. Reuse on retry is automatic and safe.</w:t>
      </w:r>
    </w:p>
    <w:p>
      <w:pPr>
        <w:pStyle w:val="Heading1"/>
        <w:pageBreakBefore/>
        <w:spacing w:after="240" w:before="0"/>
      </w:pPr>
      <w:r>
        <w:rPr>
          <w:rFonts w:ascii="Calibri" w:cs="Calibri" w:eastAsia="Calibri" w:hAnsi="Calibri"/>
          <w:b/>
          <w:bCs/>
          <w:color w:val="1F3864"/>
          <w:sz w:val="36"/>
          <w:szCs w:val="36"/>
        </w:rPr>
        <w:t xml:space="preserve">5. Workflow Authoring Model</w:t>
      </w:r>
    </w:p>
    <w:p>
      <w:pPr>
        <w:pStyle w:val="Heading2"/>
        <w:spacing w:after="140" w:before="280"/>
      </w:pPr>
      <w:r>
        <w:rPr>
          <w:rFonts w:ascii="Calibri" w:cs="Calibri" w:eastAsia="Calibri" w:hAnsi="Calibri"/>
          <w:b/>
          <w:bCs/>
          <w:color w:val="1F3864"/>
          <w:sz w:val="28"/>
          <w:szCs w:val="28"/>
        </w:rPr>
        <w:t xml:space="preserve">5.1  Source-of-Truth: Code, Not Dashboard</w:t>
      </w:r>
    </w:p>
    <w:p>
      <w:pPr>
        <w:spacing w:after="120" w:before="0"/>
      </w:pPr>
      <w:r>
        <w:rPr>
          <w:rFonts w:ascii="Calibri" w:cs="Calibri" w:eastAsia="Calibri" w:hAnsi="Calibri"/>
          <w:color w:val="1A1A1A"/>
          <w:sz w:val="20"/>
          <w:szCs w:val="20"/>
        </w:rPr>
        <w:t xml:space="preserve">Workflows are authored as TypeScript in the Bridge repository. The Novu dashboard is read-only for workflow definitions in our deployment. Operations / CX use the dashboard for: viewing executions, managing subscribers, configuring integrations (provider credentials), tuning controlSchema-exposed parameters, viewing the audit feed. They do not author or edit workflow logic in the dashboard.</w:t>
      </w:r>
    </w:p>
    <w:p>
      <w:pPr>
        <w:spacing w:after="120" w:before="0"/>
      </w:pPr>
      <w:r>
        <w:rPr>
          <w:rFonts w:ascii="Calibri" w:cs="Calibri" w:eastAsia="Calibri" w:hAnsi="Calibri"/>
          <w:color w:val="1A1A1A"/>
          <w:sz w:val="20"/>
          <w:szCs w:val="20"/>
        </w:rPr>
        <w:t xml:space="preserve">Reasoning: the workflow content is regulator-defensible code that goes through PR review with CODEOWNERS; dashboard-authored workflows bypass that gate. Code-authored workflows also support proper versioning, rollback, and L1–L5 testing in CI.</w:t>
      </w:r>
    </w:p>
    <w:p>
      <w:pPr>
        <w:pStyle w:val="Heading2"/>
        <w:spacing w:after="140" w:before="280"/>
      </w:pPr>
      <w:r>
        <w:rPr>
          <w:rFonts w:ascii="Calibri" w:cs="Calibri" w:eastAsia="Calibri" w:hAnsi="Calibri"/>
          <w:b/>
          <w:bCs/>
          <w:color w:val="1F3864"/>
          <w:sz w:val="28"/>
          <w:szCs w:val="28"/>
        </w:rPr>
        <w:t xml:space="preserve">5.2  Repository Layout (Reference)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tpe-novu-bridge/</w:t>
            </w:r>
          </w:p>
          <w:p>
            <w:pPr>
              <w:spacing w:after="0"/>
            </w:pPr>
            <w:r>
              <w:rPr>
                <w:rFonts w:ascii="Consolas" w:cs="Consolas" w:eastAsia="Consolas" w:hAnsi="Consolas"/>
                <w:color w:val="1A1A1A"/>
                <w:sz w:val="16"/>
                <w:szCs w:val="16"/>
              </w:rPr>
              <w:t xml:space="preserve">├── src/</w:t>
            </w:r>
          </w:p>
          <w:p>
            <w:pPr>
              <w:spacing w:after="0"/>
            </w:pPr>
            <w:r>
              <w:rPr>
                <w:rFonts w:ascii="Consolas" w:cs="Consolas" w:eastAsia="Consolas" w:hAnsi="Consolas"/>
                <w:color w:val="1A1A1A"/>
                <w:sz w:val="16"/>
                <w:szCs w:val="16"/>
              </w:rPr>
              <w:t xml:space="preserve">│   ├── workflows/</w:t>
            </w:r>
          </w:p>
          <w:p>
            <w:pPr>
              <w:spacing w:after="0"/>
            </w:pPr>
            <w:r>
              <w:rPr>
                <w:rFonts w:ascii="Consolas" w:cs="Consolas" w:eastAsia="Consolas" w:hAnsi="Consolas"/>
                <w:color w:val="1A1A1A"/>
                <w:sz w:val="16"/>
                <w:szCs w:val="16"/>
              </w:rPr>
              <w:t xml:space="preserve">│   │   ├── policyholder/   PH-01..PH-18</w:t>
            </w:r>
          </w:p>
          <w:p>
            <w:pPr>
              <w:spacing w:after="0"/>
            </w:pPr>
            <w:r>
              <w:rPr>
                <w:rFonts w:ascii="Consolas" w:cs="Consolas" w:eastAsia="Consolas" w:hAnsi="Consolas"/>
                <w:color w:val="1A1A1A"/>
                <w:sz w:val="16"/>
                <w:szCs w:val="16"/>
              </w:rPr>
              <w:t xml:space="preserve">│   │   ├── investor/       INV-01..INV-16</w:t>
            </w:r>
          </w:p>
          <w:p>
            <w:pPr>
              <w:spacing w:after="0"/>
            </w:pPr>
            <w:r>
              <w:rPr>
                <w:rFonts w:ascii="Consolas" w:cs="Consolas" w:eastAsia="Consolas" w:hAnsi="Consolas"/>
                <w:color w:val="1A1A1A"/>
                <w:sz w:val="16"/>
                <w:szCs w:val="16"/>
              </w:rPr>
              <w:t xml:space="preserve">│   │   ├── insurer/        INS-01..INS-06</w:t>
            </w:r>
          </w:p>
          <w:p>
            <w:pPr>
              <w:spacing w:after="0"/>
            </w:pPr>
            <w:r>
              <w:rPr>
                <w:rFonts w:ascii="Consolas" w:cs="Consolas" w:eastAsia="Consolas" w:hAnsi="Consolas"/>
                <w:color w:val="1A1A1A"/>
                <w:sz w:val="16"/>
                <w:szCs w:val="16"/>
              </w:rPr>
              <w:t xml:space="preserve">│   │   ├── ops/            OPS-01..OPS-06</w:t>
            </w:r>
          </w:p>
          <w:p>
            <w:pPr>
              <w:spacing w:after="0"/>
            </w:pPr>
            <w:r>
              <w:rPr>
                <w:rFonts w:ascii="Consolas" w:cs="Consolas" w:eastAsia="Consolas" w:hAnsi="Consolas"/>
                <w:color w:val="1A1A1A"/>
                <w:sz w:val="16"/>
                <w:szCs w:val="16"/>
              </w:rPr>
              <w:t xml:space="preserve">│   │   └── reg/            REG-01..REG-03</w:t>
            </w:r>
          </w:p>
          <w:p>
            <w:pPr>
              <w:spacing w:after="0"/>
            </w:pPr>
            <w:r>
              <w:rPr>
                <w:rFonts w:ascii="Consolas" w:cs="Consolas" w:eastAsia="Consolas" w:hAnsi="Consolas"/>
                <w:color w:val="1A1A1A"/>
                <w:sz w:val="16"/>
                <w:szCs w:val="16"/>
              </w:rPr>
              <w:t xml:space="preserve">│   ├── middleware/        compliance, audit, tenancy</w:t>
            </w:r>
          </w:p>
          <w:p>
            <w:pPr>
              <w:spacing w:after="0"/>
            </w:pPr>
            <w:r>
              <w:rPr>
                <w:rFonts w:ascii="Consolas" w:cs="Consolas" w:eastAsia="Consolas" w:hAnsi="Consolas"/>
                <w:color w:val="1A1A1A"/>
                <w:sz w:val="16"/>
                <w:szCs w:val="16"/>
              </w:rPr>
              <w:t xml:space="preserve">│   ├── providers/         msg91, karix custom plugins</w:t>
            </w:r>
          </w:p>
          <w:p>
            <w:pPr>
              <w:spacing w:after="0"/>
            </w:pPr>
            <w:r>
              <w:rPr>
                <w:rFonts w:ascii="Consolas" w:cs="Consolas" w:eastAsia="Consolas" w:hAnsi="Consolas"/>
                <w:color w:val="1A1A1A"/>
                <w:sz w:val="16"/>
                <w:szCs w:val="16"/>
              </w:rPr>
              <w:t xml:space="preserve">│   ├── content/</w:t>
            </w:r>
          </w:p>
          <w:p>
            <w:pPr>
              <w:spacing w:after="0"/>
            </w:pPr>
            <w:r>
              <w:rPr>
                <w:rFonts w:ascii="Consolas" w:cs="Consolas" w:eastAsia="Consolas" w:hAnsi="Consolas"/>
                <w:color w:val="1A1A1A"/>
                <w:sz w:val="16"/>
                <w:szCs w:val="16"/>
              </w:rPr>
              <w:t xml:space="preserve">│   │   ├── disclaimers/   IRDAI, FATCA, DPDPA — Compliance owns</w:t>
            </w:r>
          </w:p>
          <w:p>
            <w:pPr>
              <w:spacing w:after="0"/>
            </w:pPr>
            <w:r>
              <w:rPr>
                <w:rFonts w:ascii="Consolas" w:cs="Consolas" w:eastAsia="Consolas" w:hAnsi="Consolas"/>
                <w:color w:val="1A1A1A"/>
                <w:sz w:val="16"/>
                <w:szCs w:val="16"/>
              </w:rPr>
              <w:t xml:space="preserve">│   │   ├── footers/       opt-out wiring, grievance footer</w:t>
            </w:r>
          </w:p>
          <w:p>
            <w:pPr>
              <w:spacing w:after="0"/>
            </w:pPr>
            <w:r>
              <w:rPr>
                <w:rFonts w:ascii="Consolas" w:cs="Consolas" w:eastAsia="Consolas" w:hAnsi="Consolas"/>
                <w:color w:val="1A1A1A"/>
                <w:sz w:val="16"/>
                <w:szCs w:val="16"/>
              </w:rPr>
              <w:t xml:space="preserve">│   │   └── i18n/          en, hi (Hindi) — translation modules</w:t>
            </w:r>
          </w:p>
          <w:p>
            <w:pPr>
              <w:spacing w:after="0"/>
            </w:pPr>
            <w:r>
              <w:rPr>
                <w:rFonts w:ascii="Consolas" w:cs="Consolas" w:eastAsia="Consolas" w:hAnsi="Consolas"/>
                <w:color w:val="1A1A1A"/>
                <w:sz w:val="16"/>
                <w:szCs w:val="16"/>
              </w:rPr>
              <w:t xml:space="preserve">│   ├── registry/          insurers (eleven carriers), vips</w:t>
            </w:r>
          </w:p>
          <w:p>
            <w:pPr>
              <w:spacing w:after="0"/>
            </w:pPr>
            <w:r>
              <w:rPr>
                <w:rFonts w:ascii="Consolas" w:cs="Consolas" w:eastAsia="Consolas" w:hAnsi="Consolas"/>
                <w:color w:val="1A1A1A"/>
                <w:sz w:val="16"/>
                <w:szCs w:val="16"/>
              </w:rPr>
              <w:t xml:space="preserve">│   └── server.ts          Bridge HTTP server</w:t>
            </w:r>
          </w:p>
          <w:p>
            <w:pPr>
              <w:spacing w:after="0"/>
            </w:pPr>
            <w:r>
              <w:rPr>
                <w:rFonts w:ascii="Consolas" w:cs="Consolas" w:eastAsia="Consolas" w:hAnsi="Consolas"/>
                <w:color w:val="1A1A1A"/>
                <w:sz w:val="16"/>
                <w:szCs w:val="16"/>
              </w:rPr>
              <w:t xml:space="preserve">├── tests/                 schema, lint, goldens, workflows, providers</w:t>
            </w:r>
          </w:p>
          <w:p>
            <w:pPr>
              <w:spacing w:after="0"/>
            </w:pPr>
            <w:r>
              <w:rPr>
                <w:rFonts w:ascii="Consolas" w:cs="Consolas" w:eastAsia="Consolas" w:hAnsi="Consolas"/>
                <w:color w:val="1A1A1A"/>
                <w:sz w:val="16"/>
                <w:szCs w:val="16"/>
              </w:rPr>
              <w:t xml:space="preserve">└── .github/workflows/     CI: test on PR, deploy on main</w:t>
            </w:r>
          </w:p>
        </w:tc>
      </w:tr>
    </w:tbl>
    <w:p>
      <w:pPr>
        <w:pStyle w:val="Heading2"/>
        <w:spacing w:after="140" w:before="280"/>
      </w:pPr>
      <w:r>
        <w:rPr>
          <w:rFonts w:ascii="Calibri" w:cs="Calibri" w:eastAsia="Calibri" w:hAnsi="Calibri"/>
          <w:b/>
          <w:bCs/>
          <w:color w:val="1F3864"/>
          <w:sz w:val="28"/>
          <w:szCs w:val="28"/>
        </w:rPr>
        <w:t xml:space="preserve">5.3  Payload Schema and Control Schema</w:t>
      </w:r>
    </w:p>
    <w:p>
      <w:pPr>
        <w:spacing w:after="120" w:before="0"/>
      </w:pPr>
      <w:r>
        <w:rPr>
          <w:rFonts w:ascii="Calibri" w:cs="Calibri" w:eastAsia="Calibri" w:hAnsi="Calibri"/>
          <w:color w:val="1A1A1A"/>
          <w:sz w:val="20"/>
          <w:szCs w:val="20"/>
        </w:rPr>
        <w:t xml:space="preserve">Every workflow declares two Zod schemas: payloadSchema (the trigger payload, validated at trigger time) and controlSchema (operator-tunable, surfaces in dashboard). Both are required for any workflow that goes to production — controlSchema can be empty if the workflow has no operator-tunable parameter.</w:t>
      </w:r>
    </w:p>
    <w:p>
      <w:pPr>
        <w:spacing w:after="120" w:before="0"/>
      </w:pPr>
      <w:r>
        <w:rPr>
          <w:rFonts w:ascii="Calibri" w:cs="Calibri" w:eastAsia="Calibri" w:hAnsi="Calibri"/>
          <w:color w:val="1A1A1A"/>
          <w:sz w:val="20"/>
          <w:szCs w:val="20"/>
        </w:rPr>
        <w:t xml:space="preserve">payloadSchema fields are derived from the Trigger Spec’s "Payload (required)" column. The schema is the contract between upstream and the workflow; mismatch fails the trigger at the gate.</w:t>
      </w:r>
    </w:p>
    <w:p>
      <w:pPr>
        <w:pStyle w:val="Heading2"/>
        <w:spacing w:after="140" w:before="280"/>
      </w:pPr>
      <w:r>
        <w:rPr>
          <w:rFonts w:ascii="Calibri" w:cs="Calibri" w:eastAsia="Calibri" w:hAnsi="Calibri"/>
          <w:b/>
          <w:bCs/>
          <w:color w:val="1F3864"/>
          <w:sz w:val="28"/>
          <w:szCs w:val="28"/>
        </w:rPr>
        <w:t xml:space="preserve">5.4  Compliance-Check Custom Step</w:t>
      </w:r>
    </w:p>
    <w:p>
      <w:pPr>
        <w:spacing w:after="120" w:before="0"/>
      </w:pPr>
      <w:r>
        <w:rPr>
          <w:rFonts w:ascii="Calibri" w:cs="Calibri" w:eastAsia="Calibri" w:hAnsi="Calibri"/>
          <w:color w:val="1A1A1A"/>
          <w:sz w:val="20"/>
          <w:szCs w:val="20"/>
        </w:rPr>
        <w:t xml:space="preserve">Every workflow opens with a compliance-check step that resolves the workflow’s complianceClass (service / marketing / promotional), the audience, and the language, and runs the relevant rule families against the rendered output. Failures abort the execution and emit a violation event to audit. Implementation lives in src/middleware/compliance.ts and is shared across all 49 workflows.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await step.custom('compliance-check', complianceCheck, {</w:t>
            </w:r>
          </w:p>
          <w:p>
            <w:pPr>
              <w:spacing w:after="0"/>
            </w:pPr>
            <w:r>
              <w:rPr>
                <w:rFonts w:ascii="Consolas" w:cs="Consolas" w:eastAsia="Consolas" w:hAnsi="Consolas"/>
                <w:color w:val="1A1A1A"/>
                <w:sz w:val="16"/>
                <w:szCs w:val="16"/>
              </w:rPr>
              <w:t xml:space="preserve">  audience: 'investor',</w:t>
            </w:r>
          </w:p>
          <w:p>
            <w:pPr>
              <w:spacing w:after="0"/>
            </w:pPr>
            <w:r>
              <w:rPr>
                <w:rFonts w:ascii="Consolas" w:cs="Consolas" w:eastAsia="Consolas" w:hAnsi="Consolas"/>
                <w:color w:val="1A1A1A"/>
                <w:sz w:val="16"/>
                <w:szCs w:val="16"/>
              </w:rPr>
              <w:t xml:space="preserve">  complianceClass: 'service',     // override per workflow</w:t>
            </w:r>
          </w:p>
          <w:p>
            <w:pPr>
              <w:spacing w:after="0"/>
            </w:pPr>
            <w:r>
              <w:rPr>
                <w:rFonts w:ascii="Consolas" w:cs="Consolas" w:eastAsia="Consolas" w:hAnsi="Consolas"/>
                <w:color w:val="1A1A1A"/>
                <w:sz w:val="16"/>
                <w:szCs w:val="16"/>
              </w:rPr>
              <w:t xml:space="preserve">  language: payload.language,</w:t>
            </w:r>
          </w:p>
          <w:p>
            <w:pPr>
              <w:spacing w:after="0"/>
            </w:pPr>
            <w:r>
              <w:rPr>
                <w:rFonts w:ascii="Consolas" w:cs="Consolas" w:eastAsia="Consolas" w:hAnsi="Consolas"/>
                <w:color w:val="1A1A1A"/>
                <w:sz w:val="16"/>
                <w:szCs w:val="16"/>
              </w:rPr>
              <w:t xml:space="preserve">  workflowId: 'inv-08',</w:t>
            </w:r>
          </w:p>
          <w:p>
            <w:pPr>
              <w:spacing w:after="0"/>
            </w:pPr>
            <w:r>
              <w:rPr>
                <w:rFonts w:ascii="Consolas" w:cs="Consolas" w:eastAsia="Consolas" w:hAnsi="Consolas"/>
                <w:color w:val="1A1A1A"/>
                <w:sz w:val="16"/>
                <w:szCs w:val="16"/>
              </w:rPr>
              <w:t xml:space="preserve">});</w:t>
            </w:r>
          </w:p>
        </w:tc>
      </w:tr>
    </w:tbl>
    <w:p>
      <w:pPr>
        <w:pStyle w:val="Heading2"/>
        <w:spacing w:after="140" w:before="280"/>
      </w:pPr>
      <w:r>
        <w:rPr>
          <w:rFonts w:ascii="Calibri" w:cs="Calibri" w:eastAsia="Calibri" w:hAnsi="Calibri"/>
          <w:b/>
          <w:bCs/>
          <w:color w:val="1F3864"/>
          <w:sz w:val="28"/>
          <w:szCs w:val="28"/>
        </w:rPr>
        <w:t xml:space="preserve">5.5  Multilingual Content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EE Translations Management: content variants (en, hi) are stored in Novu and selected at runtime via subscriber.locale or payload.language. Content updates can be made in the dashboard by Compliance or CX without a code deploy.</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Translation modules in the Bridge repo (src/content/i18n/{en,hi}/&lt;workflow_id&gt;.ts) export keyed message variants. The workflow reads payload.language and selects: const copy = i18n[payload.language ?? 'en']; — content updates require a PR.</w:t>
            </w:r>
          </w:p>
        </w:tc>
      </w:tr>
    </w:tbl>
    <w:p>
      <w:pPr>
        <w:spacing w:after="120" w:before="0"/>
      </w:pPr>
      <w:r>
        <w:rPr>
          <w:rFonts w:ascii="Calibri" w:cs="Calibri" w:eastAsia="Calibri" w:hAnsi="Calibri"/>
          <w:color w:val="1A1A1A"/>
          <w:sz w:val="20"/>
          <w:szCs w:val="20"/>
        </w:rPr>
        <w:t xml:space="preserve">Either way, payload.language is required (default 'en'). Workflows that are policyholder-facing or investor-facing always select language explicitly; B2B and internal workflows are English-only.</w:t>
      </w:r>
    </w:p>
    <w:p>
      <w:pPr>
        <w:pStyle w:val="Heading2"/>
        <w:spacing w:after="140" w:before="280"/>
      </w:pPr>
      <w:r>
        <w:rPr>
          <w:rFonts w:ascii="Calibri" w:cs="Calibri" w:eastAsia="Calibri" w:hAnsi="Calibri"/>
          <w:b/>
          <w:bCs/>
          <w:color w:val="1F3864"/>
          <w:sz w:val="28"/>
          <w:szCs w:val="28"/>
        </w:rPr>
        <w:t xml:space="preserve">5.6  Versioning and Promotion</w:t>
      </w:r>
    </w:p>
    <w:p>
      <w:pPr>
        <w:spacing w:after="120" w:before="0"/>
      </w:pPr>
      <w:r>
        <w:rPr>
          <w:rFonts w:ascii="Calibri" w:cs="Calibri" w:eastAsia="Calibri" w:hAnsi="Calibri"/>
          <w:color w:val="1A1A1A"/>
          <w:sz w:val="20"/>
          <w:szCs w:val="20"/>
        </w:rPr>
        <w:t xml:space="preserve">Bridge code is versioned by Git tag and promoted through GitHub Actions:</w:t>
      </w:r>
    </w:p>
    <w:p>
      <w:pPr>
        <w:pStyle w:val="ListParagraph"/>
        <w:numPr>
          <w:ilvl w:val="0"/>
          <w:numId w:val="2"/>
        </w:numPr>
        <w:spacing w:after="80"/>
      </w:pPr>
      <w:r>
        <w:rPr>
          <w:rFonts w:ascii="Calibri" w:cs="Calibri" w:eastAsia="Calibri" w:hAnsi="Calibri"/>
          <w:color w:val="1A1A1A"/>
          <w:sz w:val="20"/>
          <w:szCs w:val="20"/>
        </w:rPr>
        <w:t xml:space="preserve">Pull request → CI runs schema, lint, render goldens, workflow execution, provider tests.</w:t>
      </w:r>
    </w:p>
    <w:p>
      <w:pPr>
        <w:pStyle w:val="ListParagraph"/>
        <w:numPr>
          <w:ilvl w:val="0"/>
          <w:numId w:val="2"/>
        </w:numPr>
        <w:spacing w:after="80"/>
      </w:pPr>
      <w:r>
        <w:rPr>
          <w:rFonts w:ascii="Calibri" w:cs="Calibri" w:eastAsia="Calibri" w:hAnsi="Calibri"/>
          <w:color w:val="1A1A1A"/>
          <w:sz w:val="20"/>
          <w:szCs w:val="20"/>
        </w:rPr>
        <w:t xml:space="preserve">Merge to main → deploy to staging environment automatically.</w:t>
      </w:r>
    </w:p>
    <w:p>
      <w:pPr>
        <w:pStyle w:val="ListParagraph"/>
        <w:numPr>
          <w:ilvl w:val="0"/>
          <w:numId w:val="2"/>
        </w:numPr>
        <w:spacing w:after="80"/>
      </w:pPr>
      <w:r>
        <w:rPr>
          <w:rFonts w:ascii="Calibri" w:cs="Calibri" w:eastAsia="Calibri" w:hAnsi="Calibri"/>
          <w:color w:val="1A1A1A"/>
          <w:sz w:val="20"/>
          <w:szCs w:val="20"/>
        </w:rPr>
        <w:t xml:space="preserve">Manual approval gate (GitHub Environments) → deploy to production environment.</w:t>
      </w:r>
    </w:p>
    <w:p>
      <w:pPr>
        <w:pStyle w:val="ListParagraph"/>
        <w:numPr>
          <w:ilvl w:val="0"/>
          <w:numId w:val="2"/>
        </w:numPr>
        <w:spacing w:after="80"/>
      </w:pPr>
      <w:r>
        <w:rPr>
          <w:rFonts w:ascii="Calibri" w:cs="Calibri" w:eastAsia="Calibri" w:hAnsi="Calibri"/>
          <w:color w:val="1A1A1A"/>
          <w:sz w:val="20"/>
          <w:szCs w:val="20"/>
        </w:rPr>
        <w:t xml:space="preserve">Each deploy is tagged with the Git SHA and that SHA is recorded in the audit row for every dispatched message.</w:t>
      </w:r>
    </w:p>
    <w:p>
      <w:pPr>
        <w:spacing w:after="120" w:before="0"/>
      </w:pPr>
      <w:r>
        <w:rPr>
          <w:rFonts w:ascii="Calibri" w:cs="Calibri" w:eastAsia="Calibri" w:hAnsi="Calibri"/>
          <w:color w:val="1A1A1A"/>
          <w:sz w:val="20"/>
          <w:szCs w:val="20"/>
        </w:rPr>
        <w:t xml:space="preserve">Rollback: revert the offending commit, deploy. Because audit rows carry the version SHA, post-incident analysis can pinpoint which workflow version dispatched which message.</w:t>
      </w:r>
    </w:p>
    <w:p>
      <w:pPr>
        <w:pStyle w:val="Heading1"/>
        <w:pageBreakBefore/>
        <w:spacing w:after="240" w:before="0"/>
      </w:pPr>
      <w:r>
        <w:rPr>
          <w:rFonts w:ascii="Calibri" w:cs="Calibri" w:eastAsia="Calibri" w:hAnsi="Calibri"/>
          <w:b/>
          <w:bCs/>
          <w:color w:val="1F3864"/>
          <w:sz w:val="36"/>
          <w:szCs w:val="36"/>
        </w:rPr>
        <w:t xml:space="preserve">6. Channel Strategy and Providers</w:t>
      </w:r>
    </w:p>
    <w:p>
      <w:pPr>
        <w:pStyle w:val="Heading2"/>
        <w:spacing w:after="140" w:before="280"/>
      </w:pPr>
      <w:r>
        <w:rPr>
          <w:rFonts w:ascii="Calibri" w:cs="Calibri" w:eastAsia="Calibri" w:hAnsi="Calibri"/>
          <w:b/>
          <w:bCs/>
          <w:color w:val="1F3864"/>
          <w:sz w:val="28"/>
          <w:szCs w:val="28"/>
        </w:rPr>
        <w:t xml:space="preserve">6.1  Channel Coverage and Compliance Class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700"/>
        <w:gridCol w:w="3446"/>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Languages (v1)</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Compliance regime</w:t>
            </w:r>
          </w:p>
        </w:tc>
        <w:tc>
          <w:tcPr>
            <w:tcW w:type="dxa" w:w="34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BSP / DLT specifics</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 consent; IT Act 2000</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Provider TBD: AWS SES Mumbai or SendGrid; SPF / DKIM / DMARC enforced; bounce + complaint webhooks consumed</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commercial-comms regs; DLT mandatory</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Principal Entity ID + Template ID per content; transactional / promotional route by category; quiet hours per route</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(Cloud API + BSP)</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Meta BSP template approval; 24h session window</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 / Utility / Authentication categories; on-prem API deprecated 23 Oct 2025; Cloud API only via BSP</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RCS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 HI</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Same DLT regime as SMS</w:t>
            </w:r>
          </w:p>
        </w:tc>
        <w:tc>
          <w:tcPr>
            <w:tcW w:type="dxa" w:w="34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Carrier coverage incomplete in India; configured but used selectively (INV-04 carousels where supported)</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Teams (internal)</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Internal classification policy</w:t>
            </w:r>
          </w:p>
        </w:tc>
        <w:tc>
          <w:tcPr>
            <w:tcW w:type="dxa" w:w="34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OPS-01..06 only; not customer-facing</w:t>
            </w:r>
          </w:p>
        </w:tc>
      </w:tr>
    </w:tbl>
    <w:p>
      <w:pPr>
        <w:pStyle w:val="Heading2"/>
        <w:spacing w:after="140" w:before="280"/>
      </w:pPr>
      <w:r>
        <w:rPr>
          <w:rFonts w:ascii="Calibri" w:cs="Calibri" w:eastAsia="Calibri" w:hAnsi="Calibri"/>
          <w:b/>
          <w:bCs/>
          <w:color w:val="1F3864"/>
          <w:sz w:val="28"/>
          <w:szCs w:val="28"/>
        </w:rPr>
        <w:t xml:space="preserve">6.2  Provider Inventory and Failover</w:t>
      </w:r>
    </w:p>
    <w:p>
      <w:pPr>
        <w:spacing w:after="120" w:before="0"/>
      </w:pPr>
      <w:r>
        <w:rPr>
          <w:rFonts w:ascii="Calibri" w:cs="Calibri" w:eastAsia="Calibri" w:hAnsi="Calibri"/>
          <w:color w:val="1A1A1A"/>
          <w:sz w:val="20"/>
          <w:szCs w:val="20"/>
        </w:rPr>
        <w:t xml:space="preserve">Three Indian providers, configured as Novu Integrations. Failover order is per-channel-step; default is Gupshup → MSG91 → Karix on SMS and WhatsApp. Operations can re-order at runtime via Integration priority in the dashboard without code change.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5046"/>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Provider</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Channels</w:t>
            </w:r>
          </w:p>
        </w:tc>
        <w:tc>
          <w:tcPr>
            <w:tcW w:type="dxa" w:w="5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Integration mode</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Gupshup</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 RCS</w:t>
            </w:r>
          </w:p>
        </w:tc>
        <w:tc>
          <w:tcPr>
            <w:tcW w:type="dxa" w:w="5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Novu provider; configuration only — API key, sender IDs, default DLT settings</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MSG91</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w:t>
            </w:r>
          </w:p>
        </w:tc>
        <w:tc>
          <w:tcPr>
            <w:tcW w:type="dxa" w:w="5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 (built in this engagement); implements ISmsProvider, IChatProvider</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Karix</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SMS, WhatsApp</w:t>
            </w:r>
          </w:p>
        </w:tc>
        <w:tc>
          <w:tcPr>
            <w:tcW w:type="dxa" w:w="5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Custom Novu provider plugin; implements ISmsProvider, IChatProvider</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relay</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w:t>
            </w:r>
          </w:p>
        </w:tc>
        <w:tc>
          <w:tcPr>
            <w:tcW w:type="dxa" w:w="5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Single integration (AWS SES Mumbai recommended for India residency); native Novu support</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Slack / MS Teams</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Chat (internal)</w:t>
            </w:r>
          </w:p>
        </w:tc>
        <w:tc>
          <w:tcPr>
            <w:tcW w:type="dxa" w:w="5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Native Novu providers; webhook URL per channel in the integration</w:t>
            </w:r>
          </w:p>
        </w:tc>
      </w:tr>
    </w:tbl>
    <w:p>
      <w:pPr>
        <w:pStyle w:val="Heading2"/>
        <w:spacing w:after="140" w:before="280"/>
      </w:pPr>
      <w:r>
        <w:rPr>
          <w:rFonts w:ascii="Calibri" w:cs="Calibri" w:eastAsia="Calibri" w:hAnsi="Calibri"/>
          <w:b/>
          <w:bCs/>
          <w:color w:val="1F3864"/>
          <w:sz w:val="28"/>
          <w:szCs w:val="28"/>
        </w:rPr>
        <w:t xml:space="preserve">6.3  DLT Pass-Through (SMS)</w:t>
      </w:r>
    </w:p>
    <w:p>
      <w:pPr>
        <w:spacing w:after="120" w:before="0"/>
      </w:pPr>
      <w:r>
        <w:rPr>
          <w:rFonts w:ascii="Calibri" w:cs="Calibri" w:eastAsia="Calibri" w:hAnsi="Calibri"/>
          <w:color w:val="1A1A1A"/>
          <w:sz w:val="20"/>
          <w:szCs w:val="20"/>
        </w:rPr>
        <w:t xml:space="preserve">DLT compliance requires every SMS to carry the Principal Entity ID and a per-content Template ID. Novu supports this via per-step provider overrides.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await step.sms('emi-reminder', () =&gt; ({</w:t>
            </w:r>
          </w:p>
          <w:p>
            <w:pPr>
              <w:spacing w:after="0"/>
            </w:pPr>
            <w:r>
              <w:rPr>
                <w:rFonts w:ascii="Consolas" w:cs="Consolas" w:eastAsia="Consolas" w:hAnsi="Consolas"/>
                <w:color w:val="1A1A1A"/>
                <w:sz w:val="16"/>
                <w:szCs w:val="16"/>
              </w:rPr>
              <w:t xml:space="preserve">  body: `Hi ${payload.name}, EMI of ₹${payload.emi_amount} due on ${payload.due_date}. Pay: ${payload.payment_link}`,</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providers: {</w:t>
            </w:r>
          </w:p>
          <w:p>
            <w:pPr>
              <w:spacing w:after="0"/>
            </w:pPr>
            <w:r>
              <w:rPr>
                <w:rFonts w:ascii="Consolas" w:cs="Consolas" w:eastAsia="Consolas" w:hAnsi="Consolas"/>
                <w:color w:val="1A1A1A"/>
                <w:sz w:val="16"/>
                <w:szCs w:val="16"/>
              </w:rPr>
              <w:t xml:space="preserve">    gupshup: {</w:t>
            </w:r>
          </w:p>
          <w:p>
            <w:pPr>
              <w:spacing w:after="0"/>
            </w:pPr>
            <w:r>
              <w:rPr>
                <w:rFonts w:ascii="Consolas" w:cs="Consolas" w:eastAsia="Consolas" w:hAnsi="Consolas"/>
                <w:color w:val="1A1A1A"/>
                <w:sz w:val="16"/>
                <w:szCs w:val="16"/>
              </w:rPr>
              <w:t xml:space="preserve">      principalEntityId: process.env.DLT_PE_ID,</w:t>
            </w:r>
          </w:p>
          <w:p>
            <w:pPr>
              <w:spacing w:after="0"/>
            </w:pPr>
            <w:r>
              <w:rPr>
                <w:rFonts w:ascii="Consolas" w:cs="Consolas" w:eastAsia="Consolas" w:hAnsi="Consolas"/>
                <w:color w:val="1A1A1A"/>
                <w:sz w:val="16"/>
                <w:szCs w:val="16"/>
              </w:rPr>
              <w:t xml:space="preserve">      dltTemplateId: 'PH-15-T-DAY-EN-001',</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msg91: {</w:t>
            </w:r>
          </w:p>
          <w:p>
            <w:pPr>
              <w:spacing w:after="0"/>
            </w:pPr>
            <w:r>
              <w:rPr>
                <w:rFonts w:ascii="Consolas" w:cs="Consolas" w:eastAsia="Consolas" w:hAnsi="Consolas"/>
                <w:color w:val="1A1A1A"/>
                <w:sz w:val="16"/>
                <w:szCs w:val="16"/>
              </w:rPr>
              <w:t xml:space="preserve">      // MSG91-specific DLT shape: route + template_id + flow_id</w:t>
            </w:r>
          </w:p>
          <w:p>
            <w:pPr>
              <w:spacing w:after="0"/>
            </w:pPr>
            <w:r>
              <w:rPr>
                <w:rFonts w:ascii="Consolas" w:cs="Consolas" w:eastAsia="Consolas" w:hAnsi="Consolas"/>
                <w:color w:val="1A1A1A"/>
                <w:sz w:val="16"/>
                <w:szCs w:val="16"/>
              </w:rPr>
              <w:t xml:space="preserve">      route: 'transactional',</w:t>
            </w:r>
          </w:p>
          <w:p>
            <w:pPr>
              <w:spacing w:after="0"/>
            </w:pPr>
            <w:r>
              <w:rPr>
                <w:rFonts w:ascii="Consolas" w:cs="Consolas" w:eastAsia="Consolas" w:hAnsi="Consolas"/>
                <w:color w:val="1A1A1A"/>
                <w:sz w:val="16"/>
                <w:szCs w:val="16"/>
              </w:rPr>
              <w:t xml:space="preserve">      template_id: 'MSG91_TEMPLATE_PH_15_T_DAY_EN_001',</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Each PE ID + Template ID combination is registered against TPE’s Header on the DLT portal before the workflow goes live. DLT registration cadence is owned by Operations + Compliance; Phase 5 dependency.</w:t>
      </w:r>
    </w:p>
    <w:p>
      <w:pPr>
        <w:pStyle w:val="Heading2"/>
        <w:spacing w:after="140" w:before="280"/>
      </w:pPr>
      <w:r>
        <w:rPr>
          <w:rFonts w:ascii="Calibri" w:cs="Calibri" w:eastAsia="Calibri" w:hAnsi="Calibri"/>
          <w:b/>
          <w:bCs/>
          <w:color w:val="1F3864"/>
          <w:sz w:val="28"/>
          <w:szCs w:val="28"/>
        </w:rPr>
        <w:t xml:space="preserve">6.4  WhatsApp BSP Templates</w:t>
      </w:r>
    </w:p>
    <w:p>
      <w:pPr>
        <w:spacing w:after="120" w:before="0"/>
      </w:pPr>
      <w:r>
        <w:rPr>
          <w:rFonts w:ascii="Calibri" w:cs="Calibri" w:eastAsia="Calibri" w:hAnsi="Calibri"/>
          <w:color w:val="1A1A1A"/>
          <w:sz w:val="20"/>
          <w:szCs w:val="20"/>
        </w:rPr>
        <w:t xml:space="preserve">Every WhatsApp message that initiates a session (outside the 24-hour session window) must use a BSP-approved template. Templates carry a category (Marketing, Utility, Authentication) that must match the workflow’s complianceClass. Variables in the template are substituted at send time.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await step.chat('wa-update', () =&gt; ({</w:t>
            </w:r>
          </w:p>
          <w:p>
            <w:pPr>
              <w:spacing w:after="0"/>
            </w:pPr>
            <w:r>
              <w:rPr>
                <w:rFonts w:ascii="Consolas" w:cs="Consolas" w:eastAsia="Consolas" w:hAnsi="Consolas"/>
                <w:color w:val="1A1A1A"/>
                <w:sz w:val="16"/>
                <w:szCs w:val="16"/>
              </w:rPr>
              <w:t xml:space="preserve">  // For BSP, body is the template's parameter set, not free-form text.</w:t>
            </w:r>
          </w:p>
          <w:p>
            <w:pPr>
              <w:spacing w:after="0"/>
            </w:pPr>
            <w:r>
              <w:rPr>
                <w:rFonts w:ascii="Consolas" w:cs="Consolas" w:eastAsia="Consolas" w:hAnsi="Consolas"/>
                <w:color w:val="1A1A1A"/>
                <w:sz w:val="16"/>
                <w:szCs w:val="16"/>
              </w:rPr>
              <w:t xml:space="preserve">  // Novu's Gupshup integration supports template references:</w:t>
            </w:r>
          </w:p>
          <w:p>
            <w:pPr>
              <w:spacing w:after="0"/>
            </w:pPr>
            <w:r>
              <w:rPr>
                <w:rFonts w:ascii="Consolas" w:cs="Consolas" w:eastAsia="Consolas" w:hAnsi="Consolas"/>
                <w:color w:val="1A1A1A"/>
                <w:sz w:val="16"/>
                <w:szCs w:val="16"/>
              </w:rPr>
              <w:t xml:space="preserve">  body: '{{1}}, your KYC status is {{2}}. Complete it: {{3}}',</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providers: {</w:t>
            </w:r>
          </w:p>
          <w:p>
            <w:pPr>
              <w:spacing w:after="0"/>
            </w:pPr>
            <w:r>
              <w:rPr>
                <w:rFonts w:ascii="Consolas" w:cs="Consolas" w:eastAsia="Consolas" w:hAnsi="Consolas"/>
                <w:color w:val="1A1A1A"/>
                <w:sz w:val="16"/>
                <w:szCs w:val="16"/>
              </w:rPr>
              <w:t xml:space="preserve">    gupshup: {</w:t>
            </w:r>
          </w:p>
          <w:p>
            <w:pPr>
              <w:spacing w:after="0"/>
            </w:pPr>
            <w:r>
              <w:rPr>
                <w:rFonts w:ascii="Consolas" w:cs="Consolas" w:eastAsia="Consolas" w:hAnsi="Consolas"/>
                <w:color w:val="1A1A1A"/>
                <w:sz w:val="16"/>
                <w:szCs w:val="16"/>
              </w:rPr>
              <w:t xml:space="preserve">      template: 'tpe_kyc_pending_v3',           // BSP-approved template name</w:t>
            </w:r>
          </w:p>
          <w:p>
            <w:pPr>
              <w:spacing w:after="0"/>
            </w:pPr>
            <w:r>
              <w:rPr>
                <w:rFonts w:ascii="Consolas" w:cs="Consolas" w:eastAsia="Consolas" w:hAnsi="Consolas"/>
                <w:color w:val="1A1A1A"/>
                <w:sz w:val="16"/>
                <w:szCs w:val="16"/>
              </w:rPr>
              <w:t xml:space="preserve">      templateCategory: 'UTILITY',</w:t>
            </w:r>
          </w:p>
          <w:p>
            <w:pPr>
              <w:spacing w:after="0"/>
            </w:pPr>
            <w:r>
              <w:rPr>
                <w:rFonts w:ascii="Consolas" w:cs="Consolas" w:eastAsia="Consolas" w:hAnsi="Consolas"/>
                <w:color w:val="1A1A1A"/>
                <w:sz w:val="16"/>
                <w:szCs w:val="16"/>
              </w:rPr>
              <w:t xml:space="preserve">      bodyParameters: [payload.name, payload.kyc_status, payload.kyc_link],</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Templates are managed via the BSP dashboard; in the Bridge repo, src/content/wa-templates/&lt;workflow_id&gt;.ts holds the template name and parameter binding. Template category mismatch (e.g. Marketing template used in a Utility flow, or vice versa) is a lint failure (Section 8.3).</w:t>
      </w:r>
    </w:p>
    <w:p>
      <w:pPr>
        <w:pStyle w:val="Heading2"/>
        <w:spacing w:after="140" w:before="280"/>
      </w:pPr>
      <w:r>
        <w:rPr>
          <w:rFonts w:ascii="Calibri" w:cs="Calibri" w:eastAsia="Calibri" w:hAnsi="Calibri"/>
          <w:b/>
          <w:bCs/>
          <w:color w:val="1F3864"/>
          <w:sz w:val="28"/>
          <w:szCs w:val="28"/>
        </w:rPr>
        <w:t xml:space="preserve">6.5  Custom Provider Plugins (MSG91, Karix)</w:t>
      </w:r>
    </w:p>
    <w:p>
      <w:pPr>
        <w:spacing w:after="120" w:before="0"/>
      </w:pPr>
      <w:r>
        <w:rPr>
          <w:rFonts w:ascii="Calibri" w:cs="Calibri" w:eastAsia="Calibri" w:hAnsi="Calibri"/>
          <w:color w:val="1A1A1A"/>
          <w:sz w:val="20"/>
          <w:szCs w:val="20"/>
        </w:rPr>
        <w:t xml:space="preserve">MSG91 and Karix are not native Novu providers; we implement them as plugins by writing classes that satisfy ISmsProvider and IChatProvider from @novu/stateless. Plugin registration happens in the Bridge.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 src/providers/msg91/sms.provider.ts (sketch)</w:t>
            </w:r>
          </w:p>
          <w:p>
            <w:pPr>
              <w:spacing w:after="0"/>
            </w:pPr>
            <w:r>
              <w:rPr>
                <w:rFonts w:ascii="Consolas" w:cs="Consolas" w:eastAsia="Consolas" w:hAnsi="Consolas"/>
                <w:color w:val="1A1A1A"/>
                <w:sz w:val="16"/>
                <w:szCs w:val="16"/>
              </w:rPr>
              <w:t xml:space="preserve">export class Msg91SmsProvider implements ISmsProvider {</w:t>
            </w:r>
          </w:p>
          <w:p>
            <w:pPr>
              <w:spacing w:after="0"/>
            </w:pPr>
            <w:r>
              <w:rPr>
                <w:rFonts w:ascii="Consolas" w:cs="Consolas" w:eastAsia="Consolas" w:hAnsi="Consolas"/>
                <w:color w:val="1A1A1A"/>
                <w:sz w:val="16"/>
                <w:szCs w:val="16"/>
              </w:rPr>
              <w:t xml:space="preserve">  id = 'msg91';</w:t>
            </w:r>
          </w:p>
          <w:p>
            <w:pPr>
              <w:spacing w:after="0"/>
            </w:pPr>
            <w:r>
              <w:rPr>
                <w:rFonts w:ascii="Consolas" w:cs="Consolas" w:eastAsia="Consolas" w:hAnsi="Consolas"/>
                <w:color w:val="1A1A1A"/>
                <w:sz w:val="16"/>
                <w:szCs w:val="16"/>
              </w:rPr>
              <w:t xml:space="preserve">  channelType = ChannelTypeEnum.SMS;</w:t>
            </w:r>
          </w:p>
          <w:p>
            <w:pPr>
              <w:spacing w:after="0"/>
            </w:pPr>
            <w:r>
              <w:rPr>
                <w:rFonts w:ascii="Consolas" w:cs="Consolas" w:eastAsia="Consolas" w:hAnsi="Consolas"/>
                <w:color w:val="1A1A1A"/>
                <w:sz w:val="16"/>
                <w:szCs w:val="16"/>
              </w:rPr>
              <w:t xml:space="preserve">  constructor(private cfg: Msg91Config)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async sendMessage(o: ISmsOptions): Promise&lt;ISendMessageSuccessResponse&gt; {</w:t>
            </w:r>
          </w:p>
          <w:p>
            <w:pPr>
              <w:spacing w:after="0"/>
            </w:pPr>
            <w:r>
              <w:rPr>
                <w:rFonts w:ascii="Consolas" w:cs="Consolas" w:eastAsia="Consolas" w:hAnsi="Consolas"/>
                <w:color w:val="1A1A1A"/>
                <w:sz w:val="16"/>
                <w:szCs w:val="16"/>
              </w:rPr>
              <w:t xml:space="preserve">    // Map o.customData.providers.msg91.{template_id, route} → MSG91 Flow API call</w:t>
            </w:r>
          </w:p>
          <w:p>
            <w:pPr>
              <w:spacing w:after="0"/>
            </w:pPr>
            <w:r>
              <w:rPr>
                <w:rFonts w:ascii="Consolas" w:cs="Consolas" w:eastAsia="Consolas" w:hAnsi="Consolas"/>
                <w:color w:val="1A1A1A"/>
                <w:sz w:val="16"/>
                <w:szCs w:val="16"/>
              </w:rPr>
              <w:t xml:space="preserve">    const r = await axios.post(‘https://control.msg91.com/api/v5/flow/’, {</w:t>
            </w:r>
          </w:p>
          <w:p>
            <w:pPr>
              <w:spacing w:after="0"/>
            </w:pPr>
            <w:r>
              <w:rPr>
                <w:rFonts w:ascii="Consolas" w:cs="Consolas" w:eastAsia="Consolas" w:hAnsi="Consolas"/>
                <w:color w:val="1A1A1A"/>
                <w:sz w:val="16"/>
                <w:szCs w:val="16"/>
              </w:rPr>
              <w:t xml:space="preserve">      flow_id:   o.customData.providers.msg91.flow_id,</w:t>
            </w:r>
          </w:p>
          <w:p>
            <w:pPr>
              <w:spacing w:after="0"/>
            </w:pPr>
            <w:r>
              <w:rPr>
                <w:rFonts w:ascii="Consolas" w:cs="Consolas" w:eastAsia="Consolas" w:hAnsi="Consolas"/>
                <w:color w:val="1A1A1A"/>
                <w:sz w:val="16"/>
                <w:szCs w:val="16"/>
              </w:rPr>
              <w:t xml:space="preserve">      sender:    this.cfg.senderId,</w:t>
            </w:r>
          </w:p>
          <w:p>
            <w:pPr>
              <w:spacing w:after="0"/>
            </w:pPr>
            <w:r>
              <w:rPr>
                <w:rFonts w:ascii="Consolas" w:cs="Consolas" w:eastAsia="Consolas" w:hAnsi="Consolas"/>
                <w:color w:val="1A1A1A"/>
                <w:sz w:val="16"/>
                <w:szCs w:val="16"/>
              </w:rPr>
              <w:t xml:space="preserve">      mobiles:   o.to,</w:t>
            </w:r>
          </w:p>
          <w:p>
            <w:pPr>
              <w:spacing w:after="0"/>
            </w:pPr>
            <w:r>
              <w:rPr>
                <w:rFonts w:ascii="Consolas" w:cs="Consolas" w:eastAsia="Consolas" w:hAnsi="Consolas"/>
                <w:color w:val="1A1A1A"/>
                <w:sz w:val="16"/>
                <w:szCs w:val="16"/>
              </w:rPr>
              <w:t xml:space="preserve">      VAR1:      o.content,</w:t>
            </w:r>
          </w:p>
          <w:p>
            <w:pPr>
              <w:spacing w:after="0"/>
            </w:pPr>
            <w:r>
              <w:rPr>
                <w:rFonts w:ascii="Consolas" w:cs="Consolas" w:eastAsia="Consolas" w:hAnsi="Consolas"/>
                <w:color w:val="1A1A1A"/>
                <w:sz w:val="16"/>
                <w:szCs w:val="16"/>
              </w:rPr>
              <w:t xml:space="preserve">    }, { headers: { authkey: this.cfg.authKey } });</w:t>
            </w:r>
          </w:p>
          <w:p>
            <w:pPr>
              <w:spacing w:after="0"/>
            </w:pPr>
            <w:r>
              <w:rPr>
                <w:rFonts w:ascii="Consolas" w:cs="Consolas" w:eastAsia="Consolas" w:hAnsi="Consolas"/>
                <w:color w:val="1A1A1A"/>
                <w:sz w:val="16"/>
                <w:szCs w:val="16"/>
              </w:rPr>
              <w:t xml:space="preserve">    return { id: r.data.request_id, date: new Date().toISOString()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async checkIntegration(): Promise&lt;ICheckIntegrationResponse&gt; { ...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Both plugins are validated against provider sandbox accounts in Phase 5. Plugin source lives in src/providers/{msg91,karix}/. Charter Section 7.2 deliverable acceptance for these plugins requires a successful sandbox dispatch and verified failover.</w:t>
      </w:r>
    </w:p>
    <w:p>
      <w:pPr>
        <w:pStyle w:val="Heading1"/>
        <w:pageBreakBefore/>
        <w:spacing w:after="240" w:before="0"/>
      </w:pPr>
      <w:r>
        <w:rPr>
          <w:rFonts w:ascii="Calibri" w:cs="Calibri" w:eastAsia="Calibri" w:hAnsi="Calibri"/>
          <w:b/>
          <w:bCs/>
          <w:color w:val="1F3864"/>
          <w:sz w:val="36"/>
          <w:szCs w:val="36"/>
        </w:rPr>
        <w:t xml:space="preserve">7. Multi-tenancy: Eleven Insurers</w:t>
      </w:r>
    </w:p>
    <w:p>
      <w:pPr>
        <w:spacing w:after="120" w:before="0"/>
      </w:pPr>
      <w:r>
        <w:rPr>
          <w:rFonts w:ascii="Calibri" w:cs="Calibri" w:eastAsia="Calibri" w:hAnsi="Calibri"/>
          <w:color w:val="1A1A1A"/>
          <w:sz w:val="20"/>
          <w:szCs w:val="20"/>
        </w:rPr>
        <w:t xml:space="preserve">Eleven insurance partners are tenants of TPE’s communication system. Each carrier has a distinct sender identity, MIS attachment template, escalation contact path, brand-voice rules, and DPA reference set. Tenancy applies most strongly to Group C (INS-01..06) and to INV-09 / INV-10 where the underlying policy’s insurer drives sender identity.</w:t>
      </w:r>
    </w:p>
    <w:p>
      <w:pPr>
        <w:pStyle w:val="Heading2"/>
        <w:spacing w:after="140" w:before="280"/>
      </w:pPr>
      <w:r>
        <w:rPr>
          <w:rFonts w:ascii="Calibri" w:cs="Calibri" w:eastAsia="Calibri" w:hAnsi="Calibri"/>
          <w:b/>
          <w:bCs/>
          <w:color w:val="1F3864"/>
          <w:sz w:val="28"/>
          <w:szCs w:val="28"/>
        </w:rPr>
        <w:t xml:space="preserve">7.1  Tenancy Model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EE Tenants API: each carrier is a Tenant inside the TPE production environment. Workflows trigger with a tenant identifier; integrations and content overrides are tenant-scoped. Audit is automatically tenant-tagged.</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Logical tenancy at workflow + registry layer: trigger payload carries insurer_id; resolveInsurer() in src/middleware/tenancy.ts looks up the InsurerProfile from src/registry/insurers.ts. Per-tenant overrides (sender identity, MIS template, escalation contact) are applied in workflow code by the tenant-resolve custom step.</w:t>
            </w:r>
          </w:p>
        </w:tc>
      </w:tr>
    </w:tbl>
    <w:p>
      <w:pPr>
        <w:pStyle w:val="Heading2"/>
        <w:spacing w:after="140" w:before="280"/>
      </w:pPr>
      <w:r>
        <w:rPr>
          <w:rFonts w:ascii="Calibri" w:cs="Calibri" w:eastAsia="Calibri" w:hAnsi="Calibri"/>
          <w:b/>
          <w:bCs/>
          <w:color w:val="1F3864"/>
          <w:sz w:val="28"/>
          <w:szCs w:val="28"/>
        </w:rPr>
        <w:t xml:space="preserve">7.2  Insurer Registry Shape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 src/registry/insurers.ts</w:t>
            </w:r>
          </w:p>
          <w:p>
            <w:pPr>
              <w:spacing w:after="0"/>
            </w:pPr>
            <w:r>
              <w:rPr>
                <w:rFonts w:ascii="Consolas" w:cs="Consolas" w:eastAsia="Consolas" w:hAnsi="Consolas"/>
                <w:color w:val="1A1A1A"/>
                <w:sz w:val="16"/>
                <w:szCs w:val="16"/>
              </w:rPr>
              <w:t xml:space="preserve">export type InsurerProfile = {</w:t>
            </w:r>
          </w:p>
          <w:p>
            <w:pPr>
              <w:spacing w:after="0"/>
            </w:pPr>
            <w:r>
              <w:rPr>
                <w:rFonts w:ascii="Consolas" w:cs="Consolas" w:eastAsia="Consolas" w:hAnsi="Consolas"/>
                <w:color w:val="1A1A1A"/>
                <w:sz w:val="16"/>
                <w:szCs w:val="16"/>
              </w:rPr>
              <w:t xml:space="preserve">  insurerId: string;                  // canonical identifier</w:t>
            </w:r>
          </w:p>
          <w:p>
            <w:pPr>
              <w:spacing w:after="0"/>
            </w:pPr>
            <w:r>
              <w:rPr>
                <w:rFonts w:ascii="Consolas" w:cs="Consolas" w:eastAsia="Consolas" w:hAnsi="Consolas"/>
                <w:color w:val="1A1A1A"/>
                <w:sz w:val="16"/>
                <w:szCs w:val="16"/>
              </w:rPr>
              <w:t xml:space="preserve">  insurerName: string;                // display name</w:t>
            </w:r>
          </w:p>
          <w:p>
            <w:pPr>
              <w:spacing w:after="0"/>
            </w:pPr>
            <w:r>
              <w:rPr>
                <w:rFonts w:ascii="Consolas" w:cs="Consolas" w:eastAsia="Consolas" w:hAnsi="Consolas"/>
                <w:color w:val="1A1A1A"/>
                <w:sz w:val="16"/>
                <w:szCs w:val="16"/>
              </w:rPr>
              <w:t xml:space="preserve">  senderIdentity: string;             // appears in From: on email; brand line on SMS / WA</w:t>
            </w:r>
          </w:p>
          <w:p>
            <w:pPr>
              <w:spacing w:after="0"/>
            </w:pPr>
            <w:r>
              <w:rPr>
                <w:rFonts w:ascii="Consolas" w:cs="Consolas" w:eastAsia="Consolas" w:hAnsi="Consolas"/>
                <w:color w:val="1A1A1A"/>
                <w:sz w:val="16"/>
                <w:szCs w:val="16"/>
              </w:rPr>
              <w:t xml:space="preserve">  misTemplateUrl: string;             // per-carrier remittance MIS format</w:t>
            </w:r>
          </w:p>
          <w:p>
            <w:pPr>
              <w:spacing w:after="0"/>
            </w:pPr>
            <w:r>
              <w:rPr>
                <w:rFonts w:ascii="Consolas" w:cs="Consolas" w:eastAsia="Consolas" w:hAnsi="Consolas"/>
                <w:color w:val="1A1A1A"/>
                <w:sz w:val="16"/>
                <w:szCs w:val="16"/>
              </w:rPr>
              <w:t xml:space="preserve">  escalationContact: string;          // partnerships@&lt;insurer&gt; or designated team</w:t>
            </w:r>
          </w:p>
          <w:p>
            <w:pPr>
              <w:spacing w:after="0"/>
            </w:pPr>
            <w:r>
              <w:rPr>
                <w:rFonts w:ascii="Consolas" w:cs="Consolas" w:eastAsia="Consolas" w:hAnsi="Consolas"/>
                <w:color w:val="1A1A1A"/>
                <w:sz w:val="16"/>
                <w:szCs w:val="16"/>
              </w:rPr>
              <w:t xml:space="preserve">  brandRules?: {</w:t>
            </w:r>
          </w:p>
          <w:p>
            <w:pPr>
              <w:spacing w:after="0"/>
            </w:pPr>
            <w:r>
              <w:rPr>
                <w:rFonts w:ascii="Consolas" w:cs="Consolas" w:eastAsia="Consolas" w:hAnsi="Consolas"/>
                <w:color w:val="1A1A1A"/>
                <w:sz w:val="16"/>
                <w:szCs w:val="16"/>
              </w:rPr>
              <w:t xml:space="preserve">    stopList?: string[];              // disallowed phrases per insurer</w:t>
            </w:r>
          </w:p>
          <w:p>
            <w:pPr>
              <w:spacing w:after="0"/>
            </w:pPr>
            <w:r>
              <w:rPr>
                <w:rFonts w:ascii="Consolas" w:cs="Consolas" w:eastAsia="Consolas" w:hAnsi="Consolas"/>
                <w:color w:val="1A1A1A"/>
                <w:sz w:val="16"/>
                <w:szCs w:val="16"/>
              </w:rPr>
              <w:t xml:space="preserve">    requiredFooter?: string;          // mandatory carrier footer</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dpaReference: string;               // DPA / agreement number for audit</w:t>
            </w:r>
          </w:p>
          <w:p>
            <w:pPr>
              <w:spacing w:after="0"/>
            </w:pPr>
            <w:r>
              <w:rPr>
                <w:rFonts w:ascii="Consolas" w:cs="Consolas" w:eastAsia="Consolas" w:hAnsi="Consolas"/>
                <w:color w:val="1A1A1A"/>
                <w:sz w:val="16"/>
                <w:szCs w:val="16"/>
              </w:rPr>
              <w:t xml:space="preserve">  whatsAppTemplatePrefix?: string;    // BSP template namespace per carrier</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export const insurers: Record&lt;string, InsurerProfile&gt; = {</w:t>
            </w:r>
          </w:p>
          <w:p>
            <w:pPr>
              <w:spacing w:after="0"/>
            </w:pPr>
            <w:r>
              <w:rPr>
                <w:rFonts w:ascii="Consolas" w:cs="Consolas" w:eastAsia="Consolas" w:hAnsi="Consolas"/>
                <w:color w:val="1A1A1A"/>
                <w:sz w:val="16"/>
                <w:szCs w:val="16"/>
              </w:rPr>
              <w:t xml:space="preserve">  // Operations Lead populates these in Phase 3</w:t>
            </w:r>
          </w:p>
          <w:p>
            <w:pPr>
              <w:spacing w:after="0"/>
            </w:pPr>
            <w:r>
              <w:rPr>
                <w:rFonts w:ascii="Consolas" w:cs="Consolas" w:eastAsia="Consolas" w:hAnsi="Consolas"/>
                <w:color w:val="1A1A1A"/>
                <w:sz w:val="16"/>
                <w:szCs w:val="16"/>
              </w:rPr>
              <w:t xml:space="preserve">  // 'HDFC_LIFE': { ... },</w:t>
            </w:r>
          </w:p>
          <w:p>
            <w:pPr>
              <w:spacing w:after="0"/>
            </w:pPr>
            <w:r>
              <w:rPr>
                <w:rFonts w:ascii="Consolas" w:cs="Consolas" w:eastAsia="Consolas" w:hAnsi="Consolas"/>
                <w:color w:val="1A1A1A"/>
                <w:sz w:val="16"/>
                <w:szCs w:val="16"/>
              </w:rPr>
              <w:t xml:space="preserve">  // 'ICICI_PRU': { ... },</w:t>
            </w:r>
          </w:p>
          <w:p>
            <w:pPr>
              <w:spacing w:after="0"/>
            </w:pPr>
            <w:r>
              <w:rPr>
                <w:rFonts w:ascii="Consolas" w:cs="Consolas" w:eastAsia="Consolas" w:hAnsi="Consolas"/>
                <w:color w:val="1A1A1A"/>
                <w:sz w:val="16"/>
                <w:szCs w:val="16"/>
              </w:rPr>
              <w:t xml:space="preserve">  // ...11 carriers...</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Operations populates the registry in Phase 3 from carrier-by-carrier inputs. Until populated, INS-* workflows trigger but the tenant-resolve step throws a defined exception that surfaces in Activity Feed as a clear "unknown insurer_id" error rather than dispatching with default identity.</w:t>
      </w:r>
    </w:p>
    <w:p>
      <w:pPr>
        <w:pStyle w:val="Heading2"/>
        <w:spacing w:after="140" w:before="280"/>
      </w:pPr>
      <w:r>
        <w:rPr>
          <w:rFonts w:ascii="Calibri" w:cs="Calibri" w:eastAsia="Calibri" w:hAnsi="Calibri"/>
          <w:b/>
          <w:bCs/>
          <w:color w:val="1F3864"/>
          <w:sz w:val="28"/>
          <w:szCs w:val="28"/>
        </w:rPr>
        <w:t xml:space="preserve">7.3  Tenant-Resolve Custom Step</w:t>
      </w:r>
    </w:p>
    <w:p>
      <w:pPr>
        <w:spacing w:after="120" w:before="0"/>
      </w:pPr>
      <w:r>
        <w:rPr>
          <w:rFonts w:ascii="Calibri" w:cs="Calibri" w:eastAsia="Calibri" w:hAnsi="Calibri"/>
          <w:color w:val="1A1A1A"/>
          <w:sz w:val="20"/>
          <w:szCs w:val="20"/>
        </w:rPr>
        <w:t xml:space="preserve">INS-01..06 workflows and INV-09 / INV-10 workflows open with a tenant-resolve step that fetches the InsurerProfile and stores it on the execution context. Subsequent channel steps read the profile to compose subject, body, attachments, and footer.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const insurer = await step.custom('tenant-resolve', () =&gt; {</w:t>
            </w:r>
          </w:p>
          <w:p>
            <w:pPr>
              <w:spacing w:after="0"/>
            </w:pPr>
            <w:r>
              <w:rPr>
                <w:rFonts w:ascii="Consolas" w:cs="Consolas" w:eastAsia="Consolas" w:hAnsi="Consolas"/>
                <w:color w:val="1A1A1A"/>
                <w:sz w:val="16"/>
                <w:szCs w:val="16"/>
              </w:rPr>
              <w:t xml:space="preserve">  return resolveInsurer(payload.insurer_id);</w:t>
            </w:r>
          </w:p>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await step.email('intimation', () =&gt; ({</w:t>
            </w:r>
          </w:p>
          <w:p>
            <w:pPr>
              <w:spacing w:after="0"/>
            </w:pPr>
            <w:r>
              <w:rPr>
                <w:rFonts w:ascii="Consolas" w:cs="Consolas" w:eastAsia="Consolas" w:hAnsi="Consolas"/>
                <w:color w:val="1A1A1A"/>
                <w:sz w:val="16"/>
                <w:szCs w:val="16"/>
              </w:rPr>
              <w:t xml:space="preserve">  from:    insurer.senderIdentity,</w:t>
            </w:r>
          </w:p>
          <w:p>
            <w:pPr>
              <w:spacing w:after="0"/>
            </w:pPr>
            <w:r>
              <w:rPr>
                <w:rFonts w:ascii="Consolas" w:cs="Consolas" w:eastAsia="Consolas" w:hAnsi="Consolas"/>
                <w:color w:val="1A1A1A"/>
                <w:sz w:val="16"/>
                <w:szCs w:val="16"/>
              </w:rPr>
              <w:t xml:space="preserve">  subject: `Assignment Intimation — Policy ${payload.policy_id}`,</w:t>
            </w:r>
          </w:p>
          <w:p>
            <w:pPr>
              <w:spacing w:after="0"/>
            </w:pPr>
            <w:r>
              <w:rPr>
                <w:rFonts w:ascii="Consolas" w:cs="Consolas" w:eastAsia="Consolas" w:hAnsi="Consolas"/>
                <w:color w:val="1A1A1A"/>
                <w:sz w:val="16"/>
                <w:szCs w:val="16"/>
              </w:rPr>
              <w:t xml:space="preserve">  body:    renderIntimationEmail(payload, insurer),</w:t>
            </w:r>
          </w:p>
          <w:p>
            <w:pPr>
              <w:spacing w:after="0"/>
            </w:pPr>
            <w:r>
              <w:rPr>
                <w:rFonts w:ascii="Consolas" w:cs="Consolas" w:eastAsia="Consolas" w:hAnsi="Consolas"/>
                <w:color w:val="1A1A1A"/>
                <w:sz w:val="16"/>
                <w:szCs w:val="16"/>
              </w:rPr>
              <w:t xml:space="preserve">  attachments: [{ url: insurer.misTemplateUrl, name: 'intimation.xlsx' }],</w:t>
            </w:r>
          </w:p>
          <w:p>
            <w:pPr>
              <w:spacing w:after="0"/>
            </w:pPr>
            <w:r>
              <w:rPr>
                <w:rFonts w:ascii="Consolas" w:cs="Consolas" w:eastAsia="Consolas" w:hAnsi="Consolas"/>
                <w:color w:val="1A1A1A"/>
                <w:sz w:val="16"/>
                <w:szCs w:val="16"/>
              </w:rPr>
              <w:t xml:space="preserve">}));</w:t>
            </w:r>
          </w:p>
        </w:tc>
      </w:tr>
    </w:tbl>
    <w:p>
      <w:pPr>
        <w:pStyle w:val="Heading2"/>
        <w:spacing w:after="140" w:before="280"/>
      </w:pPr>
      <w:r>
        <w:rPr>
          <w:rFonts w:ascii="Calibri" w:cs="Calibri" w:eastAsia="Calibri" w:hAnsi="Calibri"/>
          <w:b/>
          <w:bCs/>
          <w:color w:val="1F3864"/>
          <w:sz w:val="28"/>
          <w:szCs w:val="28"/>
        </w:rPr>
        <w:t xml:space="preserve">7.4  Per-Insurer Audit Slicing</w:t>
      </w:r>
    </w:p>
    <w:p>
      <w:pPr>
        <w:spacing w:after="120" w:before="0"/>
      </w:pPr>
      <w:r>
        <w:rPr>
          <w:rFonts w:ascii="Calibri" w:cs="Calibri" w:eastAsia="Calibri" w:hAnsi="Calibri"/>
          <w:color w:val="1A1A1A"/>
          <w:sz w:val="20"/>
          <w:szCs w:val="20"/>
        </w:rPr>
        <w:t xml:space="preserve">Audit rows include insurer_id when applicable; per-insurer reporting is a SQL slice on audit_events. Compliance and Operations dashboards offer pre-built per-insurer views.</w:t>
      </w:r>
    </w:p>
    <w:p>
      <w:pPr>
        <w:pStyle w:val="Heading1"/>
        <w:pageBreakBefore/>
        <w:spacing w:after="240" w:before="0"/>
      </w:pPr>
      <w:r>
        <w:rPr>
          <w:rFonts w:ascii="Calibri" w:cs="Calibri" w:eastAsia="Calibri" w:hAnsi="Calibri"/>
          <w:b/>
          <w:bCs/>
          <w:color w:val="1F3864"/>
          <w:sz w:val="36"/>
          <w:szCs w:val="36"/>
        </w:rPr>
        <w:t xml:space="preserve">8. Compliance, Audit, Subscriber Preferences</w:t>
      </w:r>
    </w:p>
    <w:p>
      <w:pPr>
        <w:pStyle w:val="Heading2"/>
        <w:spacing w:after="140" w:before="280"/>
      </w:pPr>
      <w:r>
        <w:rPr>
          <w:rFonts w:ascii="Calibri" w:cs="Calibri" w:eastAsia="Calibri" w:hAnsi="Calibri"/>
          <w:b/>
          <w:bCs/>
          <w:color w:val="1F3864"/>
          <w:sz w:val="28"/>
          <w:szCs w:val="28"/>
        </w:rPr>
        <w:t xml:space="preserve">8.1  Compliance-Class Taxonomy</w:t>
      </w:r>
    </w:p>
    <w:p>
      <w:pPr>
        <w:spacing w:after="120" w:before="0"/>
      </w:pPr>
      <w:r>
        <w:rPr>
          <w:rFonts w:ascii="Calibri" w:cs="Calibri" w:eastAsia="Calibri" w:hAnsi="Calibri"/>
          <w:color w:val="1A1A1A"/>
          <w:sz w:val="20"/>
          <w:szCs w:val="20"/>
        </w:rPr>
        <w:t xml:space="preserve">Every workflow has a complianceClass that drives lint rules, BSP template category, opt-out enforcement, and quiet-hour policy.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500"/>
        <w:gridCol w:w="20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Class</w:t>
            </w:r>
          </w:p>
        </w:tc>
        <w:tc>
          <w:tcPr>
            <w:tcW w:type="dxa" w:w="3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Definition</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Examples</w:t>
            </w:r>
          </w:p>
        </w:tc>
        <w:tc>
          <w:tcPr>
            <w:tcW w:type="dxa" w:w="20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Opt-out honoured</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service</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Transactional, tied to a customer-initiated or contractually-required event</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PH-02 OTP, PH-10 disbursement, INV-09 payment confirmation, INV-12 maturity, OPS-*</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(essential)</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Promotional content not tied to a contractual obligation; subject to consent</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PH-17 re-engagement, INV-04 opportunity push, INV-15 re-investment</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 (per-channel preference)</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promotional</w:t>
            </w:r>
          </w:p>
        </w:tc>
        <w:tc>
          <w:tcPr>
            <w:tcW w:type="dxa" w:w="3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Marketing-class with stricter regulatory disclaimers (IRDAI Section 64VB-style; insurer brand mention)</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INV-04 with named insurance product; INS-* never promotional</w:t>
            </w:r>
          </w:p>
        </w:tc>
        <w:tc>
          <w:tcPr>
            <w:tcW w:type="dxa" w:w="20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Yes; plus IRDAI disclaimer block required</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statutory</w:t>
            </w:r>
          </w:p>
        </w:tc>
        <w:tc>
          <w:tcPr>
            <w:tcW w:type="dxa" w:w="3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Regulator-mandated dispatch (TDS certificates, GST invoices, T&amp;C change notices)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INV-14, INV-16 T&amp;C change, REG-02, REG-03</w:t>
            </w:r>
          </w:p>
        </w:tc>
        <w:tc>
          <w:tcPr>
            <w:tcW w:type="dxa" w:w="20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 (regulatory obligation)</w:t>
            </w:r>
          </w:p>
        </w:tc>
      </w:tr>
    </w:tbl>
    <w:p>
      <w:pPr>
        <w:spacing w:after="120" w:before="0"/>
      </w:pPr>
      <w:r>
        <w:rPr>
          <w:rFonts w:ascii="Calibri" w:cs="Calibri" w:eastAsia="Calibri" w:hAnsi="Calibri"/>
          <w:color w:val="1A1A1A"/>
          <w:sz w:val="20"/>
          <w:szCs w:val="20"/>
        </w:rPr>
        <w:t xml:space="preserve">complianceClass is a tag on the workflow plus a parameter to the compliance-check step. Mismatch between tag and step parameter is a lint failure at PR time.</w:t>
      </w:r>
    </w:p>
    <w:p>
      <w:pPr>
        <w:pStyle w:val="Heading2"/>
        <w:spacing w:after="140" w:before="280"/>
      </w:pPr>
      <w:r>
        <w:rPr>
          <w:rFonts w:ascii="Calibri" w:cs="Calibri" w:eastAsia="Calibri" w:hAnsi="Calibri"/>
          <w:b/>
          <w:bCs/>
          <w:color w:val="1F3864"/>
          <w:sz w:val="28"/>
          <w:szCs w:val="28"/>
        </w:rPr>
        <w:t xml:space="preserve">8.2  Compliance Lint Rule Families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5546"/>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Regime</w:t>
            </w:r>
          </w:p>
        </w:tc>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Rules (count)</w:t>
            </w:r>
          </w:p>
        </w:tc>
        <w:tc>
          <w:tcPr>
            <w:tcW w:type="dxa" w:w="55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 enforced</w:t>
            </w:r>
          </w:p>
        </w:tc>
      </w:tr>
      <w:t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TRAI / DLT</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5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lint + workflow pre-execution check</w:t>
            </w:r>
          </w:p>
        </w:tc>
      </w:tr>
      <w:tr>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IRDAI</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lint; promotional content blocked without disclaimer module reference</w:t>
            </w:r>
          </w:p>
        </w:tc>
      </w:tr>
      <w:t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WhatsApp BSP</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lint (template category match) + runtime (24h window enforcement)</w:t>
            </w:r>
          </w:p>
        </w:tc>
      </w:tr>
      <w:tr>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DPDPA</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 runtime (consent, opt-out, lawful-basis tag)</w:t>
            </w:r>
          </w:p>
        </w:tc>
      </w:tr>
      <w:t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FATCA / CKYC</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(investor flows); subscribers carry FATCA flag</w:t>
            </w:r>
          </w:p>
        </w:tc>
      </w:tr>
      <w:tr>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Income Tax / TDS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5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(REG-02, INV-14 paths); PAN format validation</w:t>
            </w:r>
          </w:p>
        </w:tc>
      </w:tr>
      <w:tr>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Brand voice</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5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PR-time per audience</w:t>
            </w:r>
          </w:p>
        </w:tc>
      </w:tr>
    </w:tbl>
    <w:p>
      <w:pPr>
        <w:spacing w:after="120" w:before="0"/>
      </w:pPr>
      <w:r>
        <w:rPr>
          <w:rFonts w:ascii="Calibri" w:cs="Calibri" w:eastAsia="Calibri" w:hAnsi="Calibri"/>
          <w:color w:val="1A1A1A"/>
          <w:sz w:val="20"/>
          <w:szCs w:val="20"/>
        </w:rPr>
        <w:t xml:space="preserve">Total minimum 30 rules (Charter Section 4.6). Rule definitions live in src/middleware/compliance/rules/&lt;regime&gt;.ts; each rule is a TS function that takes (rendered output, context) and returns pass / fail / warning. The runner aggregates and aborts on any hard failure.</w:t>
      </w:r>
    </w:p>
    <w:p>
      <w:pPr>
        <w:pStyle w:val="Heading2"/>
        <w:spacing w:after="140" w:before="280"/>
      </w:pPr>
      <w:r>
        <w:rPr>
          <w:rFonts w:ascii="Calibri" w:cs="Calibri" w:eastAsia="Calibri" w:hAnsi="Calibri"/>
          <w:b/>
          <w:bCs/>
          <w:color w:val="1F3864"/>
          <w:sz w:val="28"/>
          <w:szCs w:val="28"/>
        </w:rPr>
        <w:t xml:space="preserve">8.3  Audit Trail</w:t>
      </w:r>
    </w:p>
    <w:p>
      <w:pPr>
        <w:spacing w:after="120" w:before="0"/>
      </w:pPr>
      <w:r>
        <w:rPr>
          <w:rFonts w:ascii="Calibri" w:cs="Calibri" w:eastAsia="Calibri" w:hAnsi="Calibri"/>
          <w:color w:val="1A1A1A"/>
          <w:sz w:val="20"/>
          <w:szCs w:val="20"/>
        </w:rPr>
        <w:t xml:space="preserve">One audit row per dispatched message. Append-only Postgres table audit_events; daily Parquet export to S3 for long-term retention. PII is tokenised in the audit row (real PII resolvable via the tokeniser only by the Compliance Lead, role-gated).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 audit_events table sketch</w:t>
            </w:r>
          </w:p>
          <w:p>
            <w:pPr>
              <w:spacing w:after="0"/>
            </w:pPr>
            <w:r>
              <w:rPr>
                <w:rFonts w:ascii="Consolas" w:cs="Consolas" w:eastAsia="Consolas" w:hAnsi="Consolas"/>
                <w:color w:val="1A1A1A"/>
                <w:sz w:val="16"/>
                <w:szCs w:val="16"/>
              </w:rPr>
              <w:t xml:space="preserve">CREATE TABLE audit_events (</w:t>
            </w:r>
          </w:p>
          <w:p>
            <w:pPr>
              <w:spacing w:after="0"/>
            </w:pPr>
            <w:r>
              <w:rPr>
                <w:rFonts w:ascii="Consolas" w:cs="Consolas" w:eastAsia="Consolas" w:hAnsi="Consolas"/>
                <w:color w:val="1A1A1A"/>
                <w:sz w:val="16"/>
                <w:szCs w:val="16"/>
              </w:rPr>
              <w:t xml:space="preserve">  audit_id          BIGSERIAL PRIMARY KEY,</w:t>
            </w:r>
          </w:p>
          <w:p>
            <w:pPr>
              <w:spacing w:after="0"/>
            </w:pPr>
            <w:r>
              <w:rPr>
                <w:rFonts w:ascii="Consolas" w:cs="Consolas" w:eastAsia="Consolas" w:hAnsi="Consolas"/>
                <w:color w:val="1A1A1A"/>
                <w:sz w:val="16"/>
                <w:szCs w:val="16"/>
              </w:rPr>
              <w:t xml:space="preserve">  workflow_id       TEXT NOT NULL,</w:t>
            </w:r>
          </w:p>
          <w:p>
            <w:pPr>
              <w:spacing w:after="0"/>
            </w:pPr>
            <w:r>
              <w:rPr>
                <w:rFonts w:ascii="Consolas" w:cs="Consolas" w:eastAsia="Consolas" w:hAnsi="Consolas"/>
                <w:color w:val="1A1A1A"/>
                <w:sz w:val="16"/>
                <w:szCs w:val="16"/>
              </w:rPr>
              <w:t xml:space="preserve">  workflow_version  TEXT,                         -- Git SHA at deploy time</w:t>
            </w:r>
          </w:p>
          <w:p>
            <w:pPr>
              <w:spacing w:after="0"/>
            </w:pPr>
            <w:r>
              <w:rPr>
                <w:rFonts w:ascii="Consolas" w:cs="Consolas" w:eastAsia="Consolas" w:hAnsi="Consolas"/>
                <w:color w:val="1A1A1A"/>
                <w:sz w:val="16"/>
                <w:szCs w:val="16"/>
              </w:rPr>
              <w:t xml:space="preserve">  trigger_id        TEXT NOT NULL,                -- e.g. 'PH-15'</w:t>
            </w:r>
          </w:p>
          <w:p>
            <w:pPr>
              <w:spacing w:after="0"/>
            </w:pPr>
            <w:r>
              <w:rPr>
                <w:rFonts w:ascii="Consolas" w:cs="Consolas" w:eastAsia="Consolas" w:hAnsi="Consolas"/>
                <w:color w:val="1A1A1A"/>
                <w:sz w:val="16"/>
                <w:szCs w:val="16"/>
              </w:rPr>
              <w:t xml:space="preserve">  execution_id     TEXT NOT NULL,</w:t>
            </w:r>
          </w:p>
          <w:p>
            <w:pPr>
              <w:spacing w:after="0"/>
            </w:pPr>
            <w:r>
              <w:rPr>
                <w:rFonts w:ascii="Consolas" w:cs="Consolas" w:eastAsia="Consolas" w:hAnsi="Consolas"/>
                <w:color w:val="1A1A1A"/>
                <w:sz w:val="16"/>
                <w:szCs w:val="16"/>
              </w:rPr>
              <w:t xml:space="preserve">  subscriber_token  TEXT NOT NULL,                -- tokenised subscriber_id</w:t>
            </w:r>
          </w:p>
          <w:p>
            <w:pPr>
              <w:spacing w:after="0"/>
            </w:pPr>
            <w:r>
              <w:rPr>
                <w:rFonts w:ascii="Consolas" w:cs="Consolas" w:eastAsia="Consolas" w:hAnsi="Consolas"/>
                <w:color w:val="1A1A1A"/>
                <w:sz w:val="16"/>
                <w:szCs w:val="16"/>
              </w:rPr>
              <w:t xml:space="preserve">  insurer_id        TEXT,                         -- where applicable (Group C, INV-09, INV-10)</w:t>
            </w:r>
          </w:p>
          <w:p>
            <w:pPr>
              <w:spacing w:after="0"/>
            </w:pPr>
            <w:r>
              <w:rPr>
                <w:rFonts w:ascii="Consolas" w:cs="Consolas" w:eastAsia="Consolas" w:hAnsi="Consolas"/>
                <w:color w:val="1A1A1A"/>
                <w:sz w:val="16"/>
                <w:szCs w:val="16"/>
              </w:rPr>
              <w:t xml:space="preserve">  channel           TEXT NOT NULL,                -- email | sms | chat</w:t>
            </w:r>
          </w:p>
          <w:p>
            <w:pPr>
              <w:spacing w:after="0"/>
            </w:pPr>
            <w:r>
              <w:rPr>
                <w:rFonts w:ascii="Consolas" w:cs="Consolas" w:eastAsia="Consolas" w:hAnsi="Consolas"/>
                <w:color w:val="1A1A1A"/>
                <w:sz w:val="16"/>
                <w:szCs w:val="16"/>
              </w:rPr>
              <w:t xml:space="preserve">  provider          TEXT,                         -- gupshup | msg91 | karix | ses</w:t>
            </w:r>
          </w:p>
          <w:p>
            <w:pPr>
              <w:spacing w:after="0"/>
            </w:pPr>
            <w:r>
              <w:rPr>
                <w:rFonts w:ascii="Consolas" w:cs="Consolas" w:eastAsia="Consolas" w:hAnsi="Consolas"/>
                <w:color w:val="1A1A1A"/>
                <w:sz w:val="16"/>
                <w:szCs w:val="16"/>
              </w:rPr>
              <w:t xml:space="preserve">  status            TEXT NOT NULL,                -- dispatched | failed | suppressed</w:t>
            </w:r>
          </w:p>
          <w:p>
            <w:pPr>
              <w:spacing w:after="0"/>
            </w:pPr>
            <w:r>
              <w:rPr>
                <w:rFonts w:ascii="Consolas" w:cs="Consolas" w:eastAsia="Consolas" w:hAnsi="Consolas"/>
                <w:color w:val="1A1A1A"/>
                <w:sz w:val="16"/>
                <w:szCs w:val="16"/>
              </w:rPr>
              <w:t xml:space="preserve">  failure_reason    TEXT,</w:t>
            </w:r>
          </w:p>
          <w:p>
            <w:pPr>
              <w:spacing w:after="0"/>
            </w:pPr>
            <w:r>
              <w:rPr>
                <w:rFonts w:ascii="Consolas" w:cs="Consolas" w:eastAsia="Consolas" w:hAnsi="Consolas"/>
                <w:color w:val="1A1A1A"/>
                <w:sz w:val="16"/>
                <w:szCs w:val="16"/>
              </w:rPr>
              <w:t xml:space="preserve">  compliance_class  TEXT,</w:t>
            </w:r>
          </w:p>
          <w:p>
            <w:pPr>
              <w:spacing w:after="0"/>
            </w:pPr>
            <w:r>
              <w:rPr>
                <w:rFonts w:ascii="Consolas" w:cs="Consolas" w:eastAsia="Consolas" w:hAnsi="Consolas"/>
                <w:color w:val="1A1A1A"/>
                <w:sz w:val="16"/>
                <w:szCs w:val="16"/>
              </w:rPr>
              <w:t xml:space="preserve">  language          TEXT,</w:t>
            </w:r>
          </w:p>
          <w:p>
            <w:pPr>
              <w:spacing w:after="0"/>
            </w:pPr>
            <w:r>
              <w:rPr>
                <w:rFonts w:ascii="Consolas" w:cs="Consolas" w:eastAsia="Consolas" w:hAnsi="Consolas"/>
                <w:color w:val="1A1A1A"/>
                <w:sz w:val="16"/>
                <w:szCs w:val="16"/>
              </w:rPr>
              <w:t xml:space="preserve">  dispatched_at     TIMESTAMPTZ NOT NULL,</w:t>
            </w:r>
          </w:p>
          <w:p>
            <w:pPr>
              <w:spacing w:after="0"/>
            </w:pPr>
            <w:r>
              <w:rPr>
                <w:rFonts w:ascii="Consolas" w:cs="Consolas" w:eastAsia="Consolas" w:hAnsi="Consolas"/>
                <w:color w:val="1A1A1A"/>
                <w:sz w:val="16"/>
                <w:szCs w:val="16"/>
              </w:rPr>
              <w:t xml:space="preserve">  payload_hash      TEXT NOT NULL,                -- sha256 of trigger payload</w:t>
            </w:r>
          </w:p>
          <w:p>
            <w:pPr>
              <w:spacing w:after="0"/>
            </w:pPr>
            <w:r>
              <w:rPr>
                <w:rFonts w:ascii="Consolas" w:cs="Consolas" w:eastAsia="Consolas" w:hAnsi="Consolas"/>
                <w:color w:val="1A1A1A"/>
                <w:sz w:val="16"/>
                <w:szCs w:val="16"/>
              </w:rPr>
              <w:t xml:space="preserve">  -- ...</w:t>
            </w:r>
          </w:p>
          <w:p>
            <w:pPr>
              <w:spacing w:after="0"/>
            </w:pPr>
            <w:r>
              <w:rPr>
                <w:rFonts w:ascii="Consolas" w:cs="Consolas" w:eastAsia="Consolas" w:hAnsi="Consolas"/>
                <w:color w:val="1A1A1A"/>
                <w:sz w:val="16"/>
                <w:szCs w:val="16"/>
              </w:rPr>
              <w:t xml:space="preserv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EE in-platform audit log: visible in Novu Web; configurable retention; tied to the platform’s execution log directly.</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Custom audit middleware writing to TPE Postgres. Compliance dashboard is built on top of this table (Grafana or a small internal app). More flexible for our regulator requirements; more code to own.</w:t>
            </w:r>
          </w:p>
        </w:tc>
      </w:tr>
    </w:tbl>
    <w:p>
      <w:pPr>
        <w:pStyle w:val="Heading2"/>
        <w:spacing w:after="140" w:before="280"/>
      </w:pPr>
      <w:r>
        <w:rPr>
          <w:rFonts w:ascii="Calibri" w:cs="Calibri" w:eastAsia="Calibri" w:hAnsi="Calibri"/>
          <w:b/>
          <w:bCs/>
          <w:color w:val="1F3864"/>
          <w:sz w:val="28"/>
          <w:szCs w:val="28"/>
        </w:rPr>
        <w:t xml:space="preserve">8.4  Subscriber Preferences</w:t>
      </w:r>
    </w:p>
    <w:p>
      <w:pPr>
        <w:spacing w:after="120" w:before="0"/>
      </w:pPr>
      <w:r>
        <w:rPr>
          <w:rFonts w:ascii="Calibri" w:cs="Calibri" w:eastAsia="Calibri" w:hAnsi="Calibri"/>
          <w:color w:val="1A1A1A"/>
          <w:sz w:val="20"/>
          <w:szCs w:val="20"/>
        </w:rPr>
        <w:t xml:space="preserve">Subscriber preferences live on the Subscriber. Schema: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8F8F8" w:color="auto" w:val="clear"/>
            <w:tcMar>
              <w:top w:type="dxa" w:w="140"/>
              <w:left w:type="dxa" w:w="200"/>
              <w:bottom w:type="dxa" w:w="140"/>
              <w:right w:type="dxa" w:w="2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subscriberId: 'INV-12345',</w:t>
            </w:r>
          </w:p>
          <w:p>
            <w:pPr>
              <w:spacing w:after="0"/>
            </w:pPr>
            <w:r>
              <w:rPr>
                <w:rFonts w:ascii="Consolas" w:cs="Consolas" w:eastAsia="Consolas" w:hAnsi="Consolas"/>
                <w:color w:val="1A1A1A"/>
                <w:sz w:val="16"/>
                <w:szCs w:val="16"/>
              </w:rPr>
              <w:t xml:space="preserve">  preferences: {</w:t>
            </w:r>
          </w:p>
          <w:p>
            <w:pPr>
              <w:spacing w:after="0"/>
            </w:pPr>
            <w:r>
              <w:rPr>
                <w:rFonts w:ascii="Consolas" w:cs="Consolas" w:eastAsia="Consolas" w:hAnsi="Consolas"/>
                <w:color w:val="1A1A1A"/>
                <w:sz w:val="16"/>
                <w:szCs w:val="16"/>
              </w:rPr>
              <w:t xml:space="preserve">    workflows: {</w:t>
            </w:r>
          </w:p>
          <w:p>
            <w:pPr>
              <w:spacing w:after="0"/>
            </w:pPr>
            <w:r>
              <w:rPr>
                <w:rFonts w:ascii="Consolas" w:cs="Consolas" w:eastAsia="Consolas" w:hAnsi="Consolas"/>
                <w:color w:val="1A1A1A"/>
                <w:sz w:val="16"/>
                <w:szCs w:val="16"/>
              </w:rPr>
              <w:t xml:space="preserve">      'inv-04': {</w:t>
            </w:r>
          </w:p>
          <w:p>
            <w:pPr>
              <w:spacing w:after="0"/>
            </w:pPr>
            <w:r>
              <w:rPr>
                <w:rFonts w:ascii="Consolas" w:cs="Consolas" w:eastAsia="Consolas" w:hAnsi="Consolas"/>
                <w:color w:val="1A1A1A"/>
                <w:sz w:val="16"/>
                <w:szCs w:val="16"/>
              </w:rPr>
              <w:t xml:space="preserve">        channels: { email: true, chat: true, sms: false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'inv-15': { channels: { email: true, chat: false, sms: false }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global: {</w:t>
            </w:r>
          </w:p>
          <w:p>
            <w:pPr>
              <w:spacing w:after="0"/>
            </w:pPr>
            <w:r>
              <w:rPr>
                <w:rFonts w:ascii="Consolas" w:cs="Consolas" w:eastAsia="Consolas" w:hAnsi="Consolas"/>
                <w:color w:val="1A1A1A"/>
                <w:sz w:val="16"/>
                <w:szCs w:val="16"/>
              </w:rPr>
              <w:t xml:space="preserve">      channels: { email: true, sms: true, chat: true },     // global enable / disable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data: {</w:t>
            </w:r>
          </w:p>
          <w:p>
            <w:pPr>
              <w:spacing w:after="0"/>
            </w:pPr>
            <w:r>
              <w:rPr>
                <w:rFonts w:ascii="Consolas" w:cs="Consolas" w:eastAsia="Consolas" w:hAnsi="Consolas"/>
                <w:color w:val="1A1A1A"/>
                <w:sz w:val="16"/>
                <w:szCs w:val="16"/>
              </w:rPr>
              <w:t xml:space="preserve">    consent: {</w:t>
            </w:r>
          </w:p>
          <w:p>
            <w:pPr>
              <w:spacing w:after="0"/>
            </w:pPr>
            <w:r>
              <w:rPr>
                <w:rFonts w:ascii="Consolas" w:cs="Consolas" w:eastAsia="Consolas" w:hAnsi="Consolas"/>
                <w:color w:val="1A1A1A"/>
                <w:sz w:val="16"/>
                <w:szCs w:val="16"/>
              </w:rPr>
              <w:t xml:space="preserve">      wa_marketing: true,         // explicit opt-in to WhatsApp Marketing</w:t>
            </w:r>
          </w:p>
          <w:p>
            <w:pPr>
              <w:spacing w:after="0"/>
            </w:pPr>
            <w:r>
              <w:rPr>
                <w:rFonts w:ascii="Consolas" w:cs="Consolas" w:eastAsia="Consolas" w:hAnsi="Consolas"/>
                <w:color w:val="1A1A1A"/>
                <w:sz w:val="16"/>
                <w:szCs w:val="16"/>
              </w:rPr>
              <w:t xml:space="preserve">      email_marketing: false,</w:t>
            </w:r>
          </w:p>
          <w:p>
            <w:pPr>
              <w:spacing w:after="0"/>
            </w:pPr>
            <w:r>
              <w:rPr>
                <w:rFonts w:ascii="Consolas" w:cs="Consolas" w:eastAsia="Consolas" w:hAnsi="Consolas"/>
                <w:color w:val="1A1A1A"/>
                <w:sz w:val="16"/>
                <w:szCs w:val="16"/>
              </w:rPr>
              <w:t xml:space="preserve">      sms_promotional: true,</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spacing w:after="120" w:before="0"/>
      </w:pPr>
      <w:r>
        <w:rPr>
          <w:rFonts w:ascii="Calibri" w:cs="Calibri" w:eastAsia="Calibri" w:hAnsi="Calibri"/>
          <w:color w:val="1A1A1A"/>
          <w:sz w:val="20"/>
          <w:szCs w:val="20"/>
        </w:rPr>
        <w:t xml:space="preserve">TPE pattern: workflows of complianceClass marketing or promotional respect both per-workflow preferences and per-channel global preferences. Workflows of complianceClass service or statutory bypass preferences (essential delivery). The compliance-check step verifies the class-vs-preferences logic at runtime; mismatch (e.g. marketing workflow attempting to dispatch on an opted-out channel) is suppressed silently with an audit row.</w:t>
      </w:r>
    </w:p>
    <w:p>
      <w:pPr>
        <w:pStyle w:val="Heading2"/>
        <w:spacing w:after="140" w:before="280"/>
      </w:pPr>
      <w:r>
        <w:rPr>
          <w:rFonts w:ascii="Calibri" w:cs="Calibri" w:eastAsia="Calibri" w:hAnsi="Calibri"/>
          <w:b/>
          <w:bCs/>
          <w:color w:val="1F3864"/>
          <w:sz w:val="28"/>
          <w:szCs w:val="28"/>
        </w:rPr>
        <w:t xml:space="preserve">8.5  Quiet Hours and Holiday Suppression</w:t>
      </w:r>
    </w:p>
    <w:p>
      <w:pPr>
        <w:spacing w:after="120" w:before="0"/>
      </w:pPr>
      <w:r>
        <w:rPr>
          <w:rFonts w:ascii="Calibri" w:cs="Calibri" w:eastAsia="Calibri" w:hAnsi="Calibri"/>
          <w:color w:val="1A1A1A"/>
          <w:sz w:val="20"/>
          <w:szCs w:val="20"/>
        </w:rPr>
        <w:t xml:space="preserve">Per-channel quiet-hour windows (default 21:00–09:00 IST for promotional / marketing classes; transactional and statutory bypass) are applied as a workflow-level guard at the start of each channel step. India gazetted-holiday calendar suppresses promotional dispatch on listed holidays. Implementation lives in src/middleware/quiet-hours.ts; the holiday calendar is a static module updated annually by Operations + Compliance.</w:t>
      </w:r>
    </w:p>
    <w:p>
      <w:pPr>
        <w:pStyle w:val="Heading1"/>
        <w:pageBreakBefore/>
        <w:spacing w:after="240" w:before="0"/>
      </w:pPr>
      <w:r>
        <w:rPr>
          <w:rFonts w:ascii="Calibri" w:cs="Calibri" w:eastAsia="Calibri" w:hAnsi="Calibri"/>
          <w:b/>
          <w:bCs/>
          <w:color w:val="1F3864"/>
          <w:sz w:val="36"/>
          <w:szCs w:val="36"/>
        </w:rPr>
        <w:t xml:space="preserve">9. Observability, Operations, Upgrade</w:t>
      </w:r>
    </w:p>
    <w:p>
      <w:pPr>
        <w:pStyle w:val="Heading2"/>
        <w:spacing w:after="140" w:before="280"/>
      </w:pPr>
      <w:r>
        <w:rPr>
          <w:rFonts w:ascii="Calibri" w:cs="Calibri" w:eastAsia="Calibri" w:hAnsi="Calibri"/>
          <w:b/>
          <w:bCs/>
          <w:color w:val="1F3864"/>
          <w:sz w:val="28"/>
          <w:szCs w:val="28"/>
        </w:rPr>
        <w:t xml:space="preserve">9.1  Logs, Metrics, Traces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846"/>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Layer</w:t>
            </w:r>
          </w:p>
        </w:tc>
        <w:tc>
          <w:tcPr>
            <w:tcW w:type="dxa" w:w="2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Source</w:t>
            </w:r>
          </w:p>
        </w:tc>
        <w:tc>
          <w:tcPr>
            <w:tcW w:type="dxa" w:w="27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Where it lands</w:t>
            </w:r>
          </w:p>
        </w:tc>
        <w:tc>
          <w:tcPr>
            <w:tcW w:type="dxa" w:w="2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Retention</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Structured logs</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services + Bridge</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CloudWatch Logs (or Loki if Grafana stack chosen in Phase 1)</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30 days hot</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Workflow execution metrics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CloudWatch Metrics + Grafana dashboards</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months</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Audit events</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Bridge audit-emit step</w:t>
            </w:r>
          </w:p>
        </w:tc>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TPE Postgres audit_events; S3 Parquet daily</w:t>
            </w:r>
          </w:p>
        </w:tc>
        <w:tc>
          <w:tcPr>
            <w:tcW w:type="dxa" w:w="2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12mo hot, 5y warm, 8y cold per Charter 4.8</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Per-provider dispatch metrics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Novu Worker hooks + provider receipts</w:t>
            </w:r>
          </w:p>
        </w:tc>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CloudWatch + Grafana</w:t>
            </w:r>
          </w:p>
        </w:tc>
        <w:tc>
          <w:tcPr>
            <w:tcW w:type="dxa" w:w="2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12 months</w:t>
            </w:r>
          </w:p>
        </w:tc>
      </w:tr>
    </w:tbl>
    <w:p>
      <w:pPr>
        <w:pStyle w:val="Heading2"/>
        <w:spacing w:after="140" w:before="280"/>
      </w:pPr>
      <w:r>
        <w:rPr>
          <w:rFonts w:ascii="Calibri" w:cs="Calibri" w:eastAsia="Calibri" w:hAnsi="Calibri"/>
          <w:b/>
          <w:bCs/>
          <w:color w:val="1F3864"/>
          <w:sz w:val="28"/>
          <w:szCs w:val="28"/>
        </w:rPr>
        <w:t xml:space="preserve">9.2  Authentication: SSO at the Edge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EE SSO: SAML / advanced OIDC integration directly into Novu Web; per-role RBAC inside Novu; deep-linked authorisation.</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ALB-Cognito or ALB-OIDC terminates SSO before requests reach Novu Web. TPE IdP federates to AWS Cognito (if SAML) or directly via OIDC (Google Workspace, Okta, Azure AD). Novu Web is reached only after IdP authentication; Novu sees a logged-in user.</w:t>
            </w:r>
          </w:p>
        </w:tc>
      </w:tr>
    </w:tbl>
    <w:p>
      <w:pPr>
        <w:spacing w:after="120" w:before="0"/>
      </w:pPr>
      <w:r>
        <w:rPr>
          <w:rFonts w:ascii="Calibri" w:cs="Calibri" w:eastAsia="Calibri" w:hAnsi="Calibri"/>
          <w:color w:val="1A1A1A"/>
          <w:sz w:val="20"/>
          <w:szCs w:val="20"/>
        </w:rPr>
        <w:t xml:space="preserve">Pattern is fully documented in the Self-Hosting Guide v1.0 Section 7.1; this document references it and does not duplicate.</w:t>
      </w:r>
    </w:p>
    <w:p>
      <w:pPr>
        <w:pStyle w:val="Heading2"/>
        <w:spacing w:after="140" w:before="280"/>
      </w:pPr>
      <w:r>
        <w:rPr>
          <w:rFonts w:ascii="Calibri" w:cs="Calibri" w:eastAsia="Calibri" w:hAnsi="Calibri"/>
          <w:b/>
          <w:bCs/>
          <w:color w:val="1F3864"/>
          <w:sz w:val="28"/>
          <w:szCs w:val="28"/>
        </w:rPr>
        <w:t xml:space="preserve">9.3  RBAC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BFBFBF" w:sz="4"/>
              <w:left w:val="single" w:color="BFBFBF" w:sz="4"/>
              <w:bottom w:val="single" w:color="BFBFBF" w:sz="4"/>
              <w:right w:val="single" w:color="BFBFBF" w:sz="4"/>
            </w:tcBorders>
            <w:shd w:fill="FFF8E1" w:color="auto" w:val="clear"/>
            <w:tcMar>
              <w:top w:type="dxa" w:w="160"/>
              <w:left w:type="dxa" w:w="240"/>
              <w:bottom w:type="dxa" w:w="160"/>
              <w:right w:type="dxa" w:w="240"/>
            </w:tcMar>
          </w:tcPr>
          <w:p>
            <w:pPr>
              <w:spacing w:after="60"/>
            </w:pPr>
            <w:r>
              <w:rPr>
                <w:rFonts w:ascii="Calibri" w:cs="Calibri" w:eastAsia="Calibri" w:hAnsi="Calibri"/>
                <w:b/>
                <w:bCs/>
                <w:color w:val="1F3864"/>
                <w:sz w:val="18"/>
                <w:szCs w:val="18"/>
              </w:rPr>
              <w:t xml:space="preserve">EE-first </w:t>
            </w:r>
            <w:r>
              <w:rPr>
                <w:rFonts w:ascii="Calibri" w:cs="Calibri" w:eastAsia="Calibri" w:hAnsi="Calibri"/>
                <w:color w:val="1A1A1A"/>
                <w:sz w:val="18"/>
                <w:szCs w:val="18"/>
              </w:rPr>
              <w:t xml:space="preserve">EE RBAC: fine-grained roles — read-only auditor, environment promoter, integration manager — mapped to TPE IdP groups directly inside Novu.</w:t>
            </w:r>
          </w:p>
          <w:p>
            <w:pPr>
              <w:spacing w:after="0"/>
            </w:pPr>
            <w:r>
              <w:rPr>
                <w:rFonts w:ascii="Calibri" w:cs="Calibri" w:eastAsia="Calibri" w:hAnsi="Calibri"/>
                <w:b/>
                <w:bCs/>
                <w:color w:val="808080"/>
                <w:sz w:val="18"/>
                <w:szCs w:val="18"/>
              </w:rPr>
              <w:t xml:space="preserve">CE fallback </w:t>
            </w:r>
            <w:r>
              <w:rPr>
                <w:rFonts w:ascii="Calibri" w:cs="Calibri" w:eastAsia="Calibri" w:hAnsi="Calibri"/>
                <w:i/>
                <w:iCs/>
                <w:color w:val="808080"/>
                <w:sz w:val="18"/>
                <w:szCs w:val="18"/>
              </w:rPr>
              <w:t xml:space="preserve">Two-tier inside Novu (admin / member); fine-grained gating at repository level via CODEOWNERS in tpe-novu-bridge. Workflow content changes require Compliance + CX approval at PR time; integration changes require Infrastructure approval. Operational read access goes through Novu Web for everyone with TPE SSO.</w:t>
            </w:r>
          </w:p>
        </w:tc>
      </w:tr>
    </w:tbl>
    <w:p>
      <w:pPr>
        <w:pStyle w:val="Heading2"/>
        <w:spacing w:after="140" w:before="280"/>
      </w:pPr>
      <w:r>
        <w:rPr>
          <w:rFonts w:ascii="Calibri" w:cs="Calibri" w:eastAsia="Calibri" w:hAnsi="Calibri"/>
          <w:b/>
          <w:bCs/>
          <w:color w:val="1F3864"/>
          <w:sz w:val="28"/>
          <w:szCs w:val="28"/>
        </w:rPr>
        <w:t xml:space="preserve">9.4  Backups, Recovery, Upgrade</w:t>
      </w:r>
    </w:p>
    <w:p>
      <w:pPr>
        <w:spacing w:after="120" w:before="0"/>
      </w:pPr>
      <w:r>
        <w:rPr>
          <w:rFonts w:ascii="Calibri" w:cs="Calibri" w:eastAsia="Calibri" w:hAnsi="Calibri"/>
          <w:color w:val="1A1A1A"/>
          <w:sz w:val="20"/>
          <w:szCs w:val="20"/>
        </w:rPr>
        <w:t xml:space="preserve">Detail is in Self-Hosting Guide v1.0 Section 10. Summary: MongoDB Atlas continuous backup + daily snapshots, ElastiCache daily snapshots, Secrets Manager versioning, Bridge / workflow source in Git. RPO 24h / RTO 4h. Quarterly recovery drill. Novu version pinning to latest stable major; minor releases tracked; security patches applied within one week of disclosure; staging-first promotion.</w:t>
      </w:r>
    </w:p>
    <w:p>
      <w:pPr>
        <w:pStyle w:val="Heading1"/>
        <w:pageBreakBefore/>
        <w:spacing w:after="240" w:before="0"/>
      </w:pPr>
      <w:r>
        <w:rPr>
          <w:rFonts w:ascii="Calibri" w:cs="Calibri" w:eastAsia="Calibri" w:hAnsi="Calibri"/>
          <w:b/>
          <w:bCs/>
          <w:color w:val="1F3864"/>
          <w:sz w:val="36"/>
          <w:szCs w:val="36"/>
        </w:rPr>
        <w:t xml:space="preserve">10. Per-Trigger Novu Mapping (49 Triggers)</w:t>
      </w:r>
    </w:p>
    <w:p>
      <w:pPr>
        <w:spacing w:after="120" w:before="0"/>
      </w:pPr>
      <w:r>
        <w:rPr>
          <w:rFonts w:ascii="Calibri" w:cs="Calibri" w:eastAsia="Calibri" w:hAnsi="Calibri"/>
          <w:color w:val="1A1A1A"/>
          <w:sz w:val="20"/>
          <w:szCs w:val="20"/>
        </w:rPr>
        <w:t xml:space="preserve">Each of the forty-nine triggers from Trigger Conditions Specification v2.0 is mapped onto Novu Platform primitives below. Block structure follows Section 1.2: spec reference, workflow shape, channel steps, subscriber resolution, tenant resolution, compliance class + lint rules, provider routing, EE / CE notes.</w:t>
      </w:r>
    </w:p>
    <w:p>
      <w:pPr>
        <w:spacing w:after="120" w:before="0"/>
      </w:pPr>
      <w:r>
        <w:rPr>
          <w:rFonts w:ascii="Calibri" w:cs="Calibri" w:eastAsia="Calibri" w:hAnsi="Calibri"/>
          <w:i/>
          <w:iCs/>
          <w:color w:val="808080"/>
          <w:sz w:val="18"/>
          <w:szCs w:val="18"/>
        </w:rPr>
        <w:t xml:space="preserve">Sub-sections 10.1 – 10.5 cover the five audience groups. Triggers within each group are listed in spec order. Where a trigger has identical mapping to a structurally similar one earlier in the same group, the block is condensed and references the earlier trigger.</w:t>
      </w:r>
    </w:p>
    <w:p>
      <w:pPr>
        <w:pStyle w:val="Heading2"/>
        <w:spacing w:after="140" w:before="280"/>
      </w:pPr>
      <w:r>
        <w:rPr>
          <w:rFonts w:ascii="Calibri" w:cs="Calibri" w:eastAsia="Calibri" w:hAnsi="Calibri"/>
          <w:b/>
          <w:bCs/>
          <w:color w:val="1F3864"/>
          <w:sz w:val="28"/>
          <w:szCs w:val="28"/>
        </w:rPr>
        <w:t xml:space="preserve">10.1  Group A — Policyholder Lifecycle (PH-01..PH-18)</w:t>
      </w:r>
    </w:p>
    <w:p>
      <w:pPr>
        <w:spacing w:after="120" w:before="0"/>
      </w:pPr>
      <w:r>
        <w:rPr>
          <w:rFonts w:ascii="Calibri" w:cs="Calibri" w:eastAsia="Calibri" w:hAnsi="Calibri"/>
          <w:color w:val="1A1A1A"/>
          <w:sz w:val="20"/>
          <w:szCs w:val="20"/>
        </w:rPr>
        <w:t xml:space="preserve">Trigger blocks for the eighteen policyholder workflows. (Populated in subsequent turn.)</w:t>
      </w:r>
    </w:p>
    <w:p>
      <w:pPr>
        <w:pStyle w:val="Heading2"/>
        <w:spacing w:after="140" w:before="280"/>
      </w:pPr>
      <w:r>
        <w:rPr>
          <w:rFonts w:ascii="Calibri" w:cs="Calibri" w:eastAsia="Calibri" w:hAnsi="Calibri"/>
          <w:b/>
          <w:bCs/>
          <w:color w:val="1F3864"/>
          <w:sz w:val="28"/>
          <w:szCs w:val="28"/>
        </w:rPr>
        <w:t xml:space="preserve">10.2  Group B — Investor Lifecycle (INV-01..INV-16)</w:t>
      </w:r>
    </w:p>
    <w:p>
      <w:pPr>
        <w:spacing w:after="120" w:before="0"/>
      </w:pPr>
      <w:r>
        <w:rPr>
          <w:rFonts w:ascii="Calibri" w:cs="Calibri" w:eastAsia="Calibri" w:hAnsi="Calibri"/>
          <w:color w:val="1A1A1A"/>
          <w:sz w:val="20"/>
          <w:szCs w:val="20"/>
        </w:rPr>
        <w:t xml:space="preserve">Trigger blocks for the sixteen investor workflows. (Populated in subsequent turn.)</w:t>
      </w:r>
    </w:p>
    <w:p>
      <w:pPr>
        <w:pStyle w:val="Heading2"/>
        <w:spacing w:after="140" w:before="280"/>
      </w:pPr>
      <w:r>
        <w:rPr>
          <w:rFonts w:ascii="Calibri" w:cs="Calibri" w:eastAsia="Calibri" w:hAnsi="Calibri"/>
          <w:b/>
          <w:bCs/>
          <w:color w:val="1F3864"/>
          <w:sz w:val="28"/>
          <w:szCs w:val="28"/>
        </w:rPr>
        <w:t xml:space="preserve">10.3  Group C — Insurance Partner / B2B (INS-01..INS-06)</w:t>
      </w:r>
    </w:p>
    <w:p>
      <w:pPr>
        <w:spacing w:after="120" w:before="0"/>
      </w:pPr>
      <w:r>
        <w:rPr>
          <w:rFonts w:ascii="Calibri" w:cs="Calibri" w:eastAsia="Calibri" w:hAnsi="Calibri"/>
          <w:color w:val="1A1A1A"/>
          <w:sz w:val="20"/>
          <w:szCs w:val="20"/>
        </w:rPr>
        <w:t xml:space="preserve">Trigger blocks for the six B2B workflows. (Populated in subsequent turn.)</w:t>
      </w:r>
    </w:p>
    <w:p>
      <w:pPr>
        <w:pStyle w:val="Heading2"/>
        <w:spacing w:after="140" w:before="280"/>
      </w:pPr>
      <w:r>
        <w:rPr>
          <w:rFonts w:ascii="Calibri" w:cs="Calibri" w:eastAsia="Calibri" w:hAnsi="Calibri"/>
          <w:b/>
          <w:bCs/>
          <w:color w:val="1F3864"/>
          <w:sz w:val="28"/>
          <w:szCs w:val="28"/>
        </w:rPr>
        <w:t xml:space="preserve">10.4  Group D — Internal Operations (OPS-01..OPS-06)</w:t>
      </w:r>
    </w:p>
    <w:p>
      <w:pPr>
        <w:spacing w:after="120" w:before="0"/>
      </w:pPr>
      <w:r>
        <w:rPr>
          <w:rFonts w:ascii="Calibri" w:cs="Calibri" w:eastAsia="Calibri" w:hAnsi="Calibri"/>
          <w:color w:val="1A1A1A"/>
          <w:sz w:val="20"/>
          <w:szCs w:val="20"/>
        </w:rPr>
        <w:t xml:space="preserve">Trigger blocks for the six internal-ops workflows. (Populated in subsequent turn.)</w:t>
      </w:r>
    </w:p>
    <w:p>
      <w:pPr>
        <w:pStyle w:val="Heading2"/>
        <w:spacing w:after="140" w:before="280"/>
      </w:pPr>
      <w:r>
        <w:rPr>
          <w:rFonts w:ascii="Calibri" w:cs="Calibri" w:eastAsia="Calibri" w:hAnsi="Calibri"/>
          <w:b/>
          <w:bCs/>
          <w:color w:val="1F3864"/>
          <w:sz w:val="28"/>
          <w:szCs w:val="28"/>
        </w:rPr>
        <w:t xml:space="preserve">10.5  Group E — Regulatory / Statutory (REG-01..REG-03)</w:t>
      </w:r>
    </w:p>
    <w:p>
      <w:pPr>
        <w:spacing w:after="120" w:before="0"/>
      </w:pPr>
      <w:r>
        <w:rPr>
          <w:rFonts w:ascii="Calibri" w:cs="Calibri" w:eastAsia="Calibri" w:hAnsi="Calibri"/>
          <w:color w:val="1A1A1A"/>
          <w:sz w:val="20"/>
          <w:szCs w:val="20"/>
        </w:rPr>
        <w:t xml:space="preserve">Trigger blocks for the three regulatory workflows. (Populated in subsequent turn.)</w:t>
      </w:r>
    </w:p>
    <w:p>
      <w:pPr>
        <w:pStyle w:val="Heading1"/>
        <w:pageBreakBefore/>
        <w:spacing w:after="240" w:before="0"/>
      </w:pPr>
      <w:r>
        <w:rPr>
          <w:rFonts w:ascii="Calibri" w:cs="Calibri" w:eastAsia="Calibri" w:hAnsi="Calibri"/>
          <w:b/>
          <w:bCs/>
          <w:color w:val="1F3864"/>
          <w:sz w:val="36"/>
          <w:szCs w:val="36"/>
        </w:rPr>
        <w:t xml:space="preserve">11. Open Items and Engineering Reconciliation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5800"/>
        <w:gridCol w:w="1500"/>
        <w:gridCol w:w="1846"/>
      </w:tblGrid>
      <w:tr>
        <w:trPr>
          <w:tblHeader/>
        </w:trPr>
        <w:tc>
          <w:tcPr>
            <w:tcW w:type="dxa" w:w="6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w:t>
            </w:r>
          </w:p>
        </w:tc>
        <w:tc>
          <w:tcPr>
            <w:tcW w:type="dxa" w:w="58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Open item</w:t>
            </w:r>
          </w:p>
        </w:tc>
        <w:tc>
          <w:tcPr>
            <w:tcW w:type="dxa" w:w="1500"/>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Owner</w:t>
            </w:r>
          </w:p>
        </w:tc>
        <w:tc>
          <w:tcPr>
            <w:tcW w:type="dxa" w:w="1846"/>
            <w:tcBorders>
              <w:top w:val="single" w:color="BFBFBF" w:sz="4"/>
              <w:left w:val="single" w:color="BFBFBF" w:sz="4"/>
              <w:bottom w:val="single" w:color="BFBFBF" w:sz="4"/>
              <w:right w:val="single" w:color="BFBFBF" w:sz="4"/>
            </w:tcBorders>
            <w:shd w:fill="1F3864"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Required by</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Confirm Novu CE vs EE licensing decision and procurement path. Until decided, design assumes EE primitives with CE fallback documented</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Project Owner + Legal</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2 exit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2</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Pin Novu version (latest stable major) for Phase 1 dev; confirm same version for staging and production</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exit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3</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Verify @novu/framework current API for step.custom, controlSchema, providers per-step overrides; correct any drift in this document and Bridge code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1 exit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4</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Email provider selection (AWS SES Mumbai / SendGrid / Resend); ACM certs and SPF/DKIM/DMARC setup</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Infrastructure Lead</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2 exit</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5</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DLT Principal Entity ID + per-content Template ID registration with Gupshup / MSG91 / Karix; DLT registration cadence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 + Compliance Lead</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kick-off</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6</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BSP partner selection and WhatsApp Cloud API number provisioning; template approval cadence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5 kick-off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7</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Insurer registry inputs (eleven carriers): sender identity, MIS template, escalation contact, brand rules, DPA reference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Operations Lead</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3 kick-off</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8</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rule definitions: 30+ rules across 7 regimes; scoring as hard / soft / warning</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Compliance Lead + Engineering Lead</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4 kick-off</w:t>
            </w:r>
          </w:p>
        </w:tc>
      </w:tr>
      <w:tr>
        <w:tc>
          <w:tcPr>
            <w:tcW w:type="dxa" w:w="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9</w:t>
            </w:r>
          </w:p>
        </w:tc>
        <w:tc>
          <w:tcPr>
            <w:tcW w:type="dxa" w:w="5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Translation pairs (en / hi) for all customer-facing workflows; CE fallback module structure or EE Translations adoption</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CX Lead + Compliance Lead</w:t>
            </w:r>
          </w:p>
        </w:tc>
        <w:tc>
          <w:tcPr>
            <w:tcW w:type="dxa" w:w="1846"/>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3 exit</w:t>
            </w:r>
          </w:p>
        </w:tc>
      </w:tr>
      <w:tr>
        <w:tc>
          <w:tcPr>
            <w:tcW w:type="dxa" w:w="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10</w:t>
            </w:r>
          </w:p>
        </w:tc>
        <w:tc>
          <w:tcPr>
            <w:tcW w:type="dxa" w:w="5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Subscriber sync source-of-truth: which TPE service emits subscriber lifecycle events; one-time backfill scope</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Engineering Lead + Operations Lead</w:t>
            </w:r>
          </w:p>
        </w:tc>
        <w:tc>
          <w:tcPr>
            <w:tcW w:type="dxa" w:w="1846"/>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Calibri" w:cs="Calibri" w:eastAsia="Calibri" w:hAnsi="Calibri"/>
                <w:b w:val="false"/>
                <w:bCs w:val="false"/>
                <w:color w:val="1A1A1A"/>
                <w:sz w:val="18"/>
                <w:szCs w:val="18"/>
              </w:rPr>
              <w:t xml:space="preserve">Phase 2 exit</w:t>
            </w:r>
          </w:p>
        </w:tc>
      </w:tr>
    </w:tbl>
    <w:sectPr>
      <w:headerReference w:type="default" r:id="rId7"/>
      <w:footerReference w:type="default" r:id="rId8"/>
      <w:pgSz w:w="11906" w:h="16838"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tabs>
        <w:tab w:val="center" w:pos="4873"/>
        <w:tab w:val="right" w:pos="9746"/>
      </w:tabs>
      <w:spacing w:before="0"/>
    </w:pPr>
    <w:r>
      <w:rPr>
        <w:rFonts w:ascii="Calibri" w:cs="Calibri" w:eastAsia="Calibri" w:hAnsi="Calibri"/>
        <w:color w:val="808080"/>
        <w:sz w:val="14"/>
        <w:szCs w:val="14"/>
      </w:rPr>
      <w:t xml:space="preserve">Fairvalue Insuretech Pvt. Ltd.  |  TPE-COMMS-SOLUTION-2026-001</w:t>
    </w:r>
    <w:r>
      <w:rPr>
        <w:rFonts w:ascii="Calibri" w:cs="Calibri" w:eastAsia="Calibri" w:hAnsi="Calibri"/>
        <w:sz w:val="14"/>
        <w:szCs w:val="14"/>
      </w:rPr>
      <w:t xml:space="preserve">	</w:t>
    </w: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r>
      <w:rPr>
        <w:rFonts w:ascii="Calibri" w:cs="Calibri" w:eastAsia="Calibri" w:hAnsi="Calibri"/>
        <w:sz w:val="14"/>
        <w:szCs w:val="14"/>
      </w:rPr>
      <w:t xml:space="preserve">	</w:t>
    </w:r>
    <w:r>
      <w:rPr>
        <w:rFonts w:ascii="Calibri" w:cs="Calibri" w:eastAsia="Calibri" w:hAnsi="Calibri"/>
        <w:i/>
        <w:iCs/>
        <w:color w:val="808080"/>
        <w:sz w:val="14"/>
        <w:szCs w:val="14"/>
      </w:rPr>
      <w:t xml:space="preserve">©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746"/>
      </w:tabs>
      <w:spacing w:after="0"/>
    </w:pPr>
    <w:r>
      <w:rPr>
        <w:rFonts w:ascii="Calibri" w:cs="Calibri" w:eastAsia="Calibri" w:hAnsi="Calibri"/>
        <w:color w:val="808080"/>
        <w:sz w:val="16"/>
        <w:szCs w:val="16"/>
      </w:rPr>
      <w:t xml:space="preserve">TPE Communication System  |  Novu Platform Solution Document  |  v1.0</w:t>
    </w:r>
    <w:r>
      <w:rPr>
        <w:rFonts w:ascii="Calibri" w:cs="Calibri" w:eastAsia="Calibri" w:hAnsi="Calibri"/>
        <w:sz w:val="16"/>
        <w:szCs w:val="16"/>
      </w:rPr>
      <w:t xml:space="preserve">	</w:t>
    </w:r>
    <w:r>
      <w:rPr>
        <w:rFonts w:ascii="Calibri" w:cs="Calibri" w:eastAsia="Calibri" w:hAnsi="Calibri"/>
        <w:i/>
        <w:iCs/>
        <w:color w:val="808080"/>
        <w:sz w:val="16"/>
        <w:szCs w:val="16"/>
      </w:rPr>
      <w:t xml:space="preserve">Internal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Calibri" w:cs="Calibri" w:eastAsia="Calibri" w:hAnsi="Calibri"/>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1F3864"/>
      <w:sz w:val="26"/>
      <w:szCs w:val="26"/>
    </w:rPr>
  </w:style>
  <w:style w:type="paragraph" w:styleId="Heading3">
    <w:name w:val="Heading 3"/>
    <w:basedOn w:val="Normal"/>
    <w:next w:val="Normal"/>
    <w:qFormat/>
    <w:rPr>
      <w:rFonts w:ascii="Calibri" w:cs="Calibri" w:eastAsia="Calibri" w:hAnsi="Calibri"/>
      <w:b/>
      <w:bCs/>
      <w:color w:val="1A1A1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9a181b701f554ab0ce175017423d2f0fc9c778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TPE Communication System — Novu Platform Solution Document v1.0</dc:title>
  <dc:subject>Per-trigger Novu mapping anchored to Trigger Conditions Spec v2.0</dc:subject>
  <dc:creator>Engineering, The Policy Exchange</dc:creator>
  <dc:description>EE-first design with CE-compatible fallback; companion to Charter v1.0, Trigger Spec v2.0, Self-Hosting Guide v1.0; v1.0 (Turn 1: platform sections + Section 10 scaffolding)</dc:description>
  <cp:lastModifiedBy>Un-named</cp:lastModifiedBy>
  <cp:revision>1</cp:revision>
  <dcterms:created xsi:type="dcterms:W3CDTF">2026-04-27T23:28:14.077Z</dcterms:created>
  <dcterms:modified xsi:type="dcterms:W3CDTF">2026-04-27T23:28:14.078Z</dcterms:modified>
</cp:coreProperties>
</file>

<file path=docProps/custom.xml><?xml version="1.0" encoding="utf-8"?>
<Properties xmlns="http://schemas.openxmlformats.org/officeDocument/2006/custom-properties" xmlns:vt="http://schemas.openxmlformats.org/officeDocument/2006/docPropsVTypes"/>
</file>