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Calibri" w:cs="Calibri" w:eastAsia="Calibri" w:hAnsi="Calibri"/>
          <w:b/>
          <w:bCs/>
          <w:caps/>
          <w:color w:val="808080"/>
          <w:sz w:val="40"/>
          <w:szCs w:val="40"/>
        </w:rPr>
        <w:t xml:space="preserve">STATEMENT OF WORK</w:t>
      </w:r>
    </w:p>
    <w:p>
      <w:pPr>
        <w:spacing w:after="600" w:before="0"/>
        <w:jc w:val="center"/>
      </w:pPr>
      <w:r>
        <w:rPr>
          <w:rFonts w:ascii="Calibri" w:cs="Calibri" w:eastAsia="Calibri" w:hAnsi="Calibri"/>
          <w:i/>
          <w:iCs/>
          <w:color w:val="808080"/>
          <w:sz w:val="18"/>
          <w:szCs w:val="18"/>
        </w:rPr>
        <w:t xml:space="preserve">Confidential — Between the Parties Named Below</w:t>
      </w:r>
    </w:p>
    <w:p>
      <w:pPr>
        <w:spacing w:after="100"/>
        <w:jc w:val="center"/>
      </w:pPr>
      <w:r>
        <w:rPr>
          <w:rFonts w:ascii="Calibri" w:cs="Calibri" w:eastAsia="Calibri" w:hAnsi="Calibri"/>
          <w:b/>
          <w:bCs/>
          <w:color w:val="1F3864"/>
          <w:sz w:val="48"/>
          <w:szCs w:val="48"/>
        </w:rPr>
        <w:t xml:space="preserve">TPE COMMUNICATION SYSTEM</w:t>
      </w:r>
    </w:p>
    <w:p>
      <w:pPr>
        <w:spacing w:after="200"/>
        <w:jc w:val="center"/>
      </w:pPr>
      <w:r>
        <w:rPr>
          <w:rFonts w:ascii="Calibri" w:cs="Calibri" w:eastAsia="Calibri" w:hAnsi="Calibri"/>
          <w:b/>
          <w:bCs/>
          <w:color w:val="8FAADC"/>
          <w:sz w:val="32"/>
          <w:szCs w:val="32"/>
        </w:rPr>
        <w:t xml:space="preserve">Built on Self-hosted Novu</w:t>
      </w:r>
    </w:p>
    <w:p>
      <w:pPr>
        <w:spacing w:after="800"/>
        <w:jc w:val="center"/>
      </w:pPr>
      <w:r>
        <w:rPr>
          <w:rFonts w:ascii="Calibri" w:cs="Calibri" w:eastAsia="Calibri" w:hAnsi="Calibri"/>
          <w:i/>
          <w:iCs/>
          <w:color w:val="1A1A1A"/>
          <w:sz w:val="22"/>
          <w:szCs w:val="22"/>
        </w:rPr>
        <w:t xml:space="preserve">A unified, multi-audience, multi-channel, workflow-driven
communication engine for the Indian insurtech secondary market</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49</w:t>
            </w:r>
          </w:p>
          <w:p>
            <w:pPr>
              <w:spacing w:after="0"/>
              <w:jc w:val="center"/>
            </w:pPr>
            <w:r>
              <w:rPr>
                <w:rFonts w:ascii="Calibri" w:cs="Calibri" w:eastAsia="Calibri" w:hAnsi="Calibri"/>
                <w:b/>
                <w:bCs/>
                <w:color w:val="FFFFFF"/>
                <w:sz w:val="16"/>
                <w:szCs w:val="16"/>
              </w:rPr>
              <w:t xml:space="preserve">Workflows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5</w:t>
            </w:r>
          </w:p>
          <w:p>
            <w:pPr>
              <w:spacing w:after="0"/>
              <w:jc w:val="center"/>
            </w:pPr>
            <w:r>
              <w:rPr>
                <w:rFonts w:ascii="Calibri" w:cs="Calibri" w:eastAsia="Calibri" w:hAnsi="Calibri"/>
                <w:b/>
                <w:bCs/>
                <w:color w:val="FFFFFF"/>
                <w:sz w:val="16"/>
                <w:szCs w:val="16"/>
              </w:rPr>
              <w:t xml:space="preserve">Audiences</w:t>
            </w:r>
          </w:p>
        </w:tc>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3</w:t>
            </w:r>
          </w:p>
          <w:p>
            <w:pPr>
              <w:spacing w:after="0"/>
              <w:jc w:val="center"/>
            </w:pPr>
            <w:r>
              <w:rPr>
                <w:rFonts w:ascii="Calibri" w:cs="Calibri" w:eastAsia="Calibri" w:hAnsi="Calibri"/>
                <w:b/>
                <w:bCs/>
                <w:color w:val="FFFFFF"/>
                <w:sz w:val="16"/>
                <w:szCs w:val="16"/>
              </w:rPr>
              <w:t xml:space="preserve">Indian BSPs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25</w:t>
            </w:r>
          </w:p>
          <w:p>
            <w:pPr>
              <w:spacing w:after="0"/>
              <w:jc w:val="center"/>
            </w:pPr>
            <w:r>
              <w:rPr>
                <w:rFonts w:ascii="Calibri" w:cs="Calibri" w:eastAsia="Calibri" w:hAnsi="Calibri"/>
                <w:b/>
                <w:bCs/>
                <w:color w:val="FFFFFF"/>
                <w:sz w:val="16"/>
                <w:szCs w:val="16"/>
              </w:rPr>
              <w:t xml:space="preserve">Engineering Days</w:t>
            </w:r>
          </w:p>
        </w:tc>
      </w:tr>
    </w:tbl>
    <w:p>
      <w:pPr>
        <w:spacing w:after="100"/>
      </w:pPr>
      <w:r>
        <w:t xml:space="preserve"/>
      </w:r>
    </w:p>
    <w:p>
      <w:pPr>
        <w:spacing w:after="100"/>
      </w:pPr>
      <w:r>
        <w:t xml:space="preserve"/>
      </w:r>
    </w:p>
    <w:p>
      <w:pPr>
        <w:spacing w:after="100" w:before="400"/>
        <w:jc w:val="center"/>
      </w:pPr>
      <w:r>
        <w:rPr>
          <w:rFonts w:ascii="Calibri" w:cs="Calibri" w:eastAsia="Calibri" w:hAnsi="Calibri"/>
          <w:b/>
          <w:bCs/>
          <w:caps/>
          <w:color w:val="808080"/>
          <w:sz w:val="18"/>
          <w:szCs w:val="18"/>
        </w:rPr>
        <w:t xml:space="preserve">BETWEEN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6"/>
                <w:szCs w:val="16"/>
              </w:rPr>
              <w:t xml:space="preserve">THE CLIENT</w:t>
            </w:r>
          </w:p>
        </w:tc>
        <w:tc>
          <w:tcPr>
            <w:tcW w:type="dxa" w:w="48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6"/>
                <w:szCs w:val="16"/>
              </w:rPr>
              <w:t xml:space="preserve">THE CONSULTANT</w:t>
            </w:r>
          </w:p>
        </w:tc>
      </w:tr>
      <w:tr>
        <w:tc>
          <w:tcPr>
            <w:tcW w:type="dxa" w:w="4873"/>
            <w:tcBorders>
              <w:top w:val="single" w:color="BFBFBF" w:sz="4"/>
              <w:left w:val="single" w:color="BFBFBF" w:sz="4"/>
              <w:bottom w:val="single" w:color="BFBFBF" w:sz="4"/>
              <w:right w:val="single" w:color="BFBFBF" w:sz="4"/>
            </w:tcBorders>
            <w:tcMar>
              <w:top w:type="dxa" w:w="200"/>
              <w:left w:type="dxa" w:w="200"/>
              <w:bottom w:type="dxa" w:w="200"/>
              <w:right w:type="dxa" w:w="200"/>
            </w:tcMar>
          </w:tcPr>
          <w:p>
            <w:pPr>
              <w:spacing w:after="80"/>
              <w:jc w:val="center"/>
            </w:pPr>
            <w:r>
              <w:rPr>
                <w:rFonts w:ascii="Calibri" w:cs="Calibri" w:eastAsia="Calibri" w:hAnsi="Calibri"/>
                <w:b/>
                <w:bCs/>
                <w:color w:val="1F3864"/>
                <w:sz w:val="22"/>
                <w:szCs w:val="22"/>
              </w:rPr>
              <w:t xml:space="preserve">Fairvalue Insuretech Pvt. Ltd.</w:t>
            </w:r>
          </w:p>
          <w:p>
            <w:pPr>
              <w:spacing w:after="60"/>
              <w:jc w:val="center"/>
            </w:pPr>
            <w:r>
              <w:rPr>
                <w:rFonts w:ascii="Calibri" w:cs="Calibri" w:eastAsia="Calibri" w:hAnsi="Calibri"/>
                <w:i/>
                <w:iCs/>
                <w:color w:val="1A1A1A"/>
                <w:sz w:val="16"/>
                <w:szCs w:val="16"/>
              </w:rPr>
              <w:t xml:space="preserve">(operating as “The Policy Exchange”)</w:t>
            </w:r>
          </w:p>
          <w:p>
            <w:pPr>
              <w:spacing w:after="20"/>
              <w:jc w:val="center"/>
            </w:pPr>
            <w:r>
              <w:rPr>
                <w:rFonts w:ascii="Calibri" w:cs="Calibri" w:eastAsia="Calibri" w:hAnsi="Calibri"/>
                <w:color w:val="1A1A1A"/>
                <w:sz w:val="16"/>
                <w:szCs w:val="16"/>
              </w:rPr>
              <w:t xml:space="preserve">Registered office: Noida, Uttar Pradesh, India</w:t>
            </w:r>
          </w:p>
          <w:p>
            <w:pPr>
              <w:spacing w:after="60"/>
              <w:jc w:val="center"/>
            </w:pPr>
            <w:r>
              <w:rPr>
                <w:rFonts w:ascii="Calibri" w:cs="Calibri" w:eastAsia="Calibri" w:hAnsi="Calibri"/>
                <w:color w:val="1A1A1A"/>
                <w:sz w:val="16"/>
                <w:szCs w:val="16"/>
              </w:rPr>
              <w:t xml:space="preserve">CIN: [Client to insert]</w:t>
            </w:r>
          </w:p>
          <w:p>
            <w:pPr>
              <w:spacing w:after="0"/>
              <w:jc w:val="center"/>
            </w:pPr>
            <w:r>
              <w:rPr>
                <w:rFonts w:ascii="Calibri" w:cs="Calibri" w:eastAsia="Calibri" w:hAnsi="Calibri"/>
                <w:b/>
                <w:bCs/>
                <w:color w:val="1F3864"/>
                <w:sz w:val="16"/>
                <w:szCs w:val="16"/>
              </w:rPr>
              <w:t xml:space="preserve">(“Client” / “TPE”)</w:t>
            </w:r>
          </w:p>
        </w:tc>
        <w:tc>
          <w:tcPr>
            <w:tcW w:type="dxa" w:w="4873"/>
            <w:tcBorders>
              <w:top w:val="single" w:color="BFBFBF" w:sz="4"/>
              <w:left w:val="single" w:color="BFBFBF" w:sz="4"/>
              <w:bottom w:val="single" w:color="BFBFBF" w:sz="4"/>
              <w:right w:val="single" w:color="BFBFBF" w:sz="4"/>
            </w:tcBorders>
            <w:tcMar>
              <w:top w:type="dxa" w:w="200"/>
              <w:left w:type="dxa" w:w="200"/>
              <w:bottom w:type="dxa" w:w="200"/>
              <w:right w:type="dxa" w:w="200"/>
            </w:tcMar>
          </w:tcPr>
          <w:p>
            <w:pPr>
              <w:spacing w:after="80"/>
              <w:jc w:val="center"/>
            </w:pPr>
            <w:r>
              <w:rPr>
                <w:rFonts w:ascii="Calibri" w:cs="Calibri" w:eastAsia="Calibri" w:hAnsi="Calibri"/>
                <w:b/>
                <w:bCs/>
                <w:color w:val="1F3864"/>
                <w:sz w:val="22"/>
                <w:szCs w:val="22"/>
              </w:rPr>
              <w:t xml:space="preserve">Ashish Kumar Satyam</w:t>
            </w:r>
          </w:p>
          <w:p>
            <w:pPr>
              <w:spacing w:after="60"/>
              <w:jc w:val="center"/>
            </w:pPr>
            <w:r>
              <w:rPr>
                <w:rFonts w:ascii="Calibri" w:cs="Calibri" w:eastAsia="Calibri" w:hAnsi="Calibri"/>
                <w:i/>
                <w:iCs/>
                <w:color w:val="1A1A1A"/>
                <w:sz w:val="16"/>
                <w:szCs w:val="16"/>
              </w:rPr>
              <w:t xml:space="preserve">Principal Engineer &amp; Solution Architect</w:t>
            </w:r>
          </w:p>
          <w:p>
            <w:pPr>
              <w:spacing w:after="20"/>
              <w:jc w:val="center"/>
            </w:pPr>
            <w:r>
              <w:rPr>
                <w:rFonts w:ascii="Calibri" w:cs="Calibri" w:eastAsia="Calibri" w:hAnsi="Calibri"/>
                <w:color w:val="1A1A1A"/>
                <w:sz w:val="16"/>
                <w:szCs w:val="16"/>
              </w:rPr>
              <w:t xml:space="preserve">Independent Consultant, BFSI &amp; Insurtech</w:t>
            </w:r>
          </w:p>
          <w:p>
            <w:pPr>
              <w:spacing w:after="60"/>
              <w:jc w:val="center"/>
            </w:pPr>
            <w:r>
              <w:rPr>
                <w:rFonts w:ascii="Calibri" w:cs="Calibri" w:eastAsia="Calibri" w:hAnsi="Calibri"/>
                <w:color w:val="1A1A1A"/>
                <w:sz w:val="16"/>
                <w:szCs w:val="16"/>
              </w:rPr>
              <w:t xml:space="preserve">PAN / GSTIN: [Consultant to insert]</w:t>
            </w:r>
          </w:p>
          <w:p>
            <w:pPr>
              <w:spacing w:after="0"/>
              <w:jc w:val="center"/>
            </w:pPr>
            <w:r>
              <w:rPr>
                <w:rFonts w:ascii="Calibri" w:cs="Calibri" w:eastAsia="Calibri" w:hAnsi="Calibri"/>
                <w:b/>
                <w:bCs/>
                <w:color w:val="1F3864"/>
                <w:sz w:val="16"/>
                <w:szCs w:val="16"/>
              </w:rPr>
              <w:t xml:space="preserve">(“Consultant”)</w:t>
            </w:r>
          </w:p>
        </w:tc>
      </w:tr>
    </w:tbl>
    <w:p>
      <w:pPr>
        <w:spacing w:after="100"/>
      </w:pPr>
      <w:r>
        <w:t xml:space="preserve"/>
      </w:r>
    </w:p>
    <w:p>
      <w:pPr>
        <w:spacing w:after="80" w:before="400"/>
        <w:jc w:val="center"/>
      </w:pPr>
      <w:r>
        <w:rPr>
          <w:rFonts w:ascii="Calibri" w:cs="Calibri" w:eastAsia="Calibri" w:hAnsi="Calibri"/>
          <w:color w:val="808080"/>
          <w:sz w:val="16"/>
          <w:szCs w:val="16"/>
        </w:rPr>
        <w:t xml:space="preserve">Document ID: TPE-COMMS-SOW-2026-001-v4  |  Version 4.0  |  Effective Date: 26 April 2026</w:t>
      </w:r>
    </w:p>
    <w:p>
      <w:pPr>
        <w:spacing w:after="0"/>
        <w:jc w:val="center"/>
      </w:pPr>
      <w:r>
        <w:rPr>
          <w:rFonts w:ascii="Calibri" w:cs="Calibri" w:eastAsia="Calibri" w:hAnsi="Calibri"/>
          <w:i/>
          <w:iCs/>
          <w:color w:val="808080"/>
          <w:sz w:val="16"/>
          <w:szCs w:val="16"/>
        </w:rPr>
        <w:t xml:space="preserve">Classification: Internal &amp; Confidential — Distribution per Section 4</w:t>
      </w:r>
    </w:p>
    <w:p>
      <w:pPr>
        <w:pStyle w:val="Heading1"/>
        <w:pageBreakBefore/>
        <w:spacing w:after="240" w:before="0"/>
      </w:pPr>
      <w:r>
        <w:rPr>
          <w:rFonts w:ascii="Calibri" w:cs="Calibri" w:eastAsia="Calibri" w:hAnsi="Calibri"/>
          <w:b/>
          <w:bCs/>
          <w:color w:val="1F3864"/>
          <w:sz w:val="36"/>
          <w:szCs w:val="36"/>
        </w:rPr>
        <w:t xml:space="preserve">Table of Contents</w:t>
      </w:r>
    </w:p>
    <w:p>
      <w:pPr>
        <w:spacing w:after="120" w:before="0"/>
      </w:pPr>
      <w:r>
        <w:rPr>
          <w:rFonts w:ascii="Calibri" w:cs="Calibri" w:eastAsia="Calibri" w:hAnsi="Calibri"/>
          <w:color w:val="1A1A1A"/>
          <w:sz w:val="20"/>
          <w:szCs w:val="20"/>
        </w:rPr>
        <w:t xml:space="preserve">Fifty-four sections in thirteen thematic parts. v4.0 differs from v3.0 in Part V (Solution), Part VII (Delivery: 5-phase structure with dispatch in core), and selected updates to compliance, security, risk, dependencies and resourcing. Part XI (Commercial) retains the 25-day budget; Part XII (Legal) is unchanged.</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 — DOCUMENT CONTROL &amp; EXECUTIVE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Information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Control &amp; Approval Matrix</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Version History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Distribution List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Executive Summary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Executive Dashboard</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 Case &amp; ROI Analysis</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II — CONTEXT &amp; SCOPE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 Context — The Policy Exchange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Problem Statement &amp; Current State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Project Vision, Objectives &amp; Success Metrics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Scope (In / Out)</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III — STAKEHOLDERS &amp; AUDIENCE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Stakeholder Register</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Audience Architecture (5 audiences)</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IV — DOMAIN MODEL</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Catalogue (49 triggers → 49 Novu workflows)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 Strategy</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 — SOLUTION (NOVU-BASED)</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Workflows-as-Code on Novu</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Solution Architecture — Self-hosted Novu Stack</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Engineering — Custom Providers, Compliance Middleware, Observability &amp; Multi-tenancy</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VI — COMPLIANCE, SECURITY &amp; QUALITY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&amp; Regulatory Layer</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Security &amp; Privacy Framework</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Assurance &amp; Testing Strategy</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VII — DELIVERY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Implementation Phases &amp; Timeline (5 phases, all in core)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Deliverables (per phase)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Criteria &amp; Procedure</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VIII — GOVERNANCE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Roles &amp; Responsibilities (RACI)</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Communication Management Plan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Management Process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Service Level Agreements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Governance &amp; Review Cadence</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IX — RISK &amp; DEPENDENCIES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Assumptions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Dependencies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Risk Register</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 — RESOURCING &amp; READINESS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Effort Estimation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Resource Plan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Readiness &amp; Go-Live Criteria</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Knowledge Transfer &amp; Training Plan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Post-Implementation Support &amp; Maintenance</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XI — COMMERCIAL TERMS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Charges &amp; Engagement Model</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Payment Schedule &amp; Milestones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Invoicing, Taxes &amp; Out-of-Pocket Reimbursements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Orders &amp; Rate Card</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XII — LEGAL &amp; CONTRACT TERMS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Warranty &amp; Service Standards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Limitation of Liability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Indemnification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45</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Requirements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46</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Term, Renewal &amp; Termination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47</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Confidentiality, IP &amp; Data Ownership</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48</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Protection (DPDPA) &amp; DPA Reference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49</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Force Majeure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50</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Governing Law &amp; Dispute Resolution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51</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General Provisions</w:t>
            </w:r>
          </w:p>
        </w:tc>
      </w:tr>
      <w:tr>
        <w:tc>
          <w:tcPr>
            <w:tcW w:type="dxa" w:w="600"/>
            <w:tcBorders>
              <w:top w:val="none"/>
              <w:left w:val="none"/>
              <w:bottom w:val="none"/>
              <w:right w:val="none"/>
            </w:tcBorders>
            <w:shd w:fill="1F3864"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w:r>
          </w:p>
        </w:tc>
        <w:tc>
          <w:tcPr>
            <w:tcW w:type="dxa" w:w="9146"/>
            <w:tcBorders>
              <w:top w:val="single" w:color="1F3864" w:sz="6"/>
              <w:left w:val="none"/>
              <w:bottom w:val="single" w:color="1F3864" w:sz="4"/>
              <w:right w:val="none"/>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F3864"/>
                <w:sz w:val="18"/>
                <w:szCs w:val="18"/>
              </w:rPr>
              <w:t xml:space="preserve">PART XIII — REFERENCE &amp; SIGN-OFF</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52</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Glossary (incl. Novu terms)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53</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References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54</w:t>
            </w:r>
          </w:p>
        </w:tc>
        <w:tc>
          <w:tcPr>
            <w:tcW w:type="dxa" w:w="9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Sign-off</w:t>
            </w:r>
          </w:p>
        </w:tc>
      </w:tr>
    </w:tbl>
    <w:p>
      <w:pPr>
        <w:pStyle w:val="Heading1"/>
        <w:pageBreakBefore/>
        <w:spacing w:after="240" w:before="0"/>
      </w:pPr>
      <w:r>
        <w:rPr>
          <w:rFonts w:ascii="Calibri" w:cs="Calibri" w:eastAsia="Calibri" w:hAnsi="Calibri"/>
          <w:b/>
          <w:bCs/>
          <w:color w:val="1F3864"/>
          <w:sz w:val="36"/>
          <w:szCs w:val="36"/>
        </w:rPr>
        <w:t xml:space="preserve">Executive Briefing</w:t>
      </w:r>
    </w:p>
    <w:p>
      <w:pPr>
        <w:spacing w:after="120" w:before="0"/>
      </w:pPr>
      <w:r>
        <w:rPr>
          <w:rFonts w:ascii="Calibri" w:cs="Calibri" w:eastAsia="Calibri" w:hAnsi="Calibri"/>
          <w:i/>
          <w:iCs/>
          <w:color w:val="808080"/>
          <w:sz w:val="18"/>
          <w:szCs w:val="18"/>
        </w:rPr>
        <w:t xml:space="preserve">For the Founders, CTO, Head of Compliance and Head of Customer Experience.</w:t>
      </w:r>
    </w:p>
    <w:p>
      <w:pPr>
        <w:spacing w:after="100"/>
      </w:pPr>
      <w:r>
        <w:t xml:space="preserve"/>
      </w:r>
    </w:p>
    <w:p>
      <w:pPr>
        <w:spacing w:after="120" w:before="0"/>
      </w:pPr>
      <w:r>
        <w:rPr>
          <w:rFonts w:ascii="Calibri" w:cs="Calibri" w:eastAsia="Calibri" w:hAnsi="Calibri"/>
          <w:color w:val="1A1A1A"/>
          <w:sz w:val="20"/>
          <w:szCs w:val="20"/>
        </w:rPr>
        <w:t xml:space="preserve">The Policy Exchange operates an unusual two-sided insurance marketplace, and that creates a multi-decade communication obligation. The previous v3.0 of this Statement of Work proposed building the workflow engine, template lifecycle and channel routing from scratch as YAML files plus Claude Code skills. v4.0 makes a different architectural choice: the Client and the Consultant have agreed to deliver the same outcome on top of self-hosted Novu, the open-source notification infrastructure platform. The change is significant enough to constitute a major revision.</w:t>
      </w:r>
    </w:p>
    <w:p>
      <w:pPr>
        <w:spacing w:after="120" w:before="0"/>
      </w:pPr>
      <w:r>
        <w:rPr>
          <w:rFonts w:ascii="Calibri" w:cs="Calibri" w:eastAsia="Calibri" w:hAnsi="Calibri"/>
          <w:color w:val="1A1A1A"/>
          <w:sz w:val="20"/>
          <w:szCs w:val="20"/>
        </w:rPr>
        <w:t xml:space="preserve">The reasoning is straightforward. Novu provides the workflow engine, subscriber model, channel routing, template versioning and provider abstractions out of the box. Building those primitives in YAML for one engagement was defensible; building them when an open-source platform with thousands of production deployments already exists is not. By adopting Novu, the Consultant’s twenty-five days are redirected from infrastructure scaffolding to the parts of the system where TPE’s requirements are actually distinctive: a custom compliance middleware that enforces DLT, IRDAI, WhatsApp BSP and DPDPA rules at workflow execution time; native Indian provider plugins for MSG91 and Karix to sit alongside the native Gupshup integration; an observability stack that produces audit-grade evidence; and a multi-tenant routing layer that recognises the eleven insurance partners as distinct sender identities. None of these are off-the-shelf in Novu and all of them are essential to TPE.</w:t>
      </w:r>
    </w:p>
    <w:p>
      <w:pPr>
        <w:spacing w:after="120" w:before="0"/>
      </w:pPr>
      <w:r>
        <w:rPr>
          <w:rFonts w:ascii="Calibri" w:cs="Calibri" w:eastAsia="Calibri" w:hAnsi="Calibri"/>
          <w:color w:val="1A1A1A"/>
          <w:sz w:val="20"/>
          <w:szCs w:val="20"/>
        </w:rPr>
        <w:t xml:space="preserve">Self-hosted, in India, was the deliberate choice. Novu Cloud is hosted in regions outside India, which under the Digital Personal Data Protection Act 2023 puts cross-border PII transfers in scope and creates a regulator-readable risk for an insurance marketplace. The Consultant deploys Novu on Client-controlled infrastructure (AWS Mumbai or equivalent), with Indian data residency end-to-end. Operational burden is real and is priced into the engagement; the DPDPA story in return is clean.</w:t>
      </w:r>
    </w:p>
    <w:p>
      <w:pPr>
        <w:spacing w:after="120" w:before="0"/>
      </w:pPr>
      <w:r>
        <w:rPr>
          <w:rFonts w:ascii="Calibri" w:cs="Calibri" w:eastAsia="Calibri" w:hAnsi="Calibri"/>
          <w:color w:val="1A1A1A"/>
          <w:sz w:val="20"/>
          <w:szCs w:val="20"/>
        </w:rPr>
        <w:t xml:space="preserve">Delivery remains five phases. Unlike v3.0 where the dispatch phase was held as gated optional, v4.0 brings dispatch into core because Novu does it natively for Gupshup and the Consultant’s effort there is on plugin development for MSG91 and Karix rather than building dispatch from scratch. Total core engagement is twenty-five working consultant-days at the previously agreed budget of INR 8,75,000 plus GST. Success metrics are unchanged from v3.0: seven baselined objectives, of which the headline is a target twenty-percent reduction in investor premium-default rate within six months of go-live.</w:t>
      </w:r>
    </w:p>
    <w:p>
      <w:pPr>
        <w:spacing w:after="120" w:before="0"/>
      </w:pPr>
      <w:r>
        <w:rPr>
          <w:rFonts w:ascii="Calibri" w:cs="Calibri" w:eastAsia="Calibri" w:hAnsi="Calibri"/>
          <w:color w:val="1A1A1A"/>
          <w:sz w:val="20"/>
          <w:szCs w:val="20"/>
        </w:rPr>
        <w:t xml:space="preserve">This document is a major revision. Sections that change materially from v3.0 are identified in Section 3 (Version History). The commercial total is held; the legal and contract terms (Part XII) carry over verbatim; the trigger catalogue, audience architecture and channel strategy are unchanged. Sections 16, 17, 18 and 22 are rewritten end to end.</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What changed from v3.0.</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Architectural pivot to self-hosted Novu in India. Solution Architecture (Section 17) replaced. Section 18 (formerly Skill Catalogue) rewritten as Operational Engineering — custom providers, compliance middleware, observability, multi-tenancy. Phases (Section 22) restructured to five phases of approximately five days each, with dispatch in core. Compliance, Security and Risk sections updated for self-hosted infrastructure. Commercial budget held at INR 8,75,000 core; milestones redistributed. Legal terms unchanged.</w:t>
            </w:r>
          </w:p>
        </w:tc>
      </w:tr>
    </w:tbl>
    <w:p>
      <w:pPr>
        <w:pageBreakBefore/>
        <w:spacing w:after="200" w:before="4000"/>
        <w:jc w:val="center"/>
      </w:pPr>
      <w:r>
        <w:rPr>
          <w:rFonts w:ascii="Calibri" w:cs="Calibri" w:eastAsia="Calibri" w:hAnsi="Calibri"/>
          <w:b/>
          <w:bCs/>
          <w:caps/>
          <w:color w:val="808080"/>
          <w:sz w:val="22"/>
          <w:szCs w:val="22"/>
        </w:rPr>
        <w:t xml:space="preserve">Part I</w:t>
      </w:r>
    </w:p>
    <w:p>
      <w:pPr>
        <w:spacing w:after="1600" w:before="0"/>
        <w:jc w:val="center"/>
      </w:pPr>
      <w:r>
        <w:rPr>
          <w:rFonts w:ascii="Calibri" w:cs="Calibri" w:eastAsia="Calibri" w:hAnsi="Calibri"/>
          <w:b/>
          <w:bCs/>
          <w:color w:val="1F3864"/>
          <w:sz w:val="56"/>
          <w:szCs w:val="56"/>
        </w:rPr>
        <w:t xml:space="preserve">Document Control &amp; Executive</w:t>
      </w:r>
    </w:p>
    <w:p>
      <w:pPr>
        <w:pStyle w:val="Heading1"/>
        <w:pageBreakBefore/>
        <w:spacing w:after="240" w:before="0"/>
      </w:pPr>
      <w:r>
        <w:rPr>
          <w:rFonts w:ascii="Calibri" w:cs="Calibri" w:eastAsia="Calibri" w:hAnsi="Calibri"/>
          <w:b/>
          <w:bCs/>
          <w:color w:val="1F3864"/>
          <w:sz w:val="36"/>
          <w:szCs w:val="36"/>
        </w:rPr>
        <w:t xml:space="preserve">1. Document Information</w:t>
      </w:r>
    </w:p>
    <w:p>
      <w:pPr>
        <w:spacing w:after="120" w:before="0"/>
      </w:pPr>
      <w:r>
        <w:rPr>
          <w:rFonts w:ascii="Calibri" w:cs="Calibri" w:eastAsia="Calibri" w:hAnsi="Calibri"/>
          <w:color w:val="1A1A1A"/>
          <w:sz w:val="20"/>
          <w:szCs w:val="20"/>
        </w:rPr>
        <w:t xml:space="preserve">This Statement of Work (“SOW”) formalises the scope, architecture, deliverables, effort, commercial terms, legal terms and acceptance criteria for the TPE Communication System. Once signed by both Parties (Section 54), it becomes the source of truth for the engagement and the brief for downstream implementation. It supersedes any prior verbal understanding.</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Document Name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Communication System — Statement of Work</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Document ID</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TPE-COMMS-SOW-2026-001-v4</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Version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4.0 — Novu-based architecture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Effective Date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April 2026</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Engagement Type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Time-bounded fixed-scope consulting; phase-billed; T&amp;M for change orders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Parties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Fairvalue Insuretech Pvt. Ltd. (“Client” / “TPE”) and Ashish Kumar Satyam (“Consultant”)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Author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Ashish Kumar Satyam (Consultant)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Counter-signatories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Founder / CTO / Head of Compliance / Head of CX (Client)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Status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Pending counter-signature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Review Cycle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phase gate; quarterly post go-live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Classification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&amp; Confidential</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Retention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Active term + 7 years (per Income Tax / Companies Act archival requirements)</w:t>
            </w:r>
          </w:p>
        </w:tc>
      </w:tr>
    </w:tbl>
    <w:p>
      <w:pPr>
        <w:pStyle w:val="Heading1"/>
        <w:pageBreakBefore/>
        <w:spacing w:after="240" w:before="0"/>
      </w:pPr>
      <w:r>
        <w:rPr>
          <w:rFonts w:ascii="Calibri" w:cs="Calibri" w:eastAsia="Calibri" w:hAnsi="Calibri"/>
          <w:b/>
          <w:bCs/>
          <w:color w:val="1F3864"/>
          <w:sz w:val="36"/>
          <w:szCs w:val="36"/>
        </w:rPr>
        <w:t xml:space="preserve">2. Document Control &amp; Approval Matrix</w:t>
      </w:r>
    </w:p>
    <w:p>
      <w:pPr>
        <w:spacing w:after="120" w:before="0"/>
      </w:pPr>
      <w:r>
        <w:rPr>
          <w:rFonts w:ascii="Calibri" w:cs="Calibri" w:eastAsia="Calibri" w:hAnsi="Calibri"/>
          <w:color w:val="1A1A1A"/>
          <w:sz w:val="20"/>
          <w:szCs w:val="20"/>
        </w:rPr>
        <w:t xml:space="preserve">This section formalises ownership, review and approval of this SOW as a controlled document. Any change to scope, effort, deliverables, commercial terms or legal terms requires re-approval through the matrix below before the change takes effect. The full Change Management Process is in Section 27.</w:t>
      </w:r>
    </w:p>
    <w:p>
      <w:pPr>
        <w:pStyle w:val="Heading2"/>
        <w:spacing w:after="140" w:before="280"/>
      </w:pPr>
      <w:r>
        <w:rPr>
          <w:rFonts w:ascii="Calibri" w:cs="Calibri" w:eastAsia="Calibri" w:hAnsi="Calibri"/>
          <w:b/>
          <w:bCs/>
          <w:color w:val="1F3864"/>
          <w:sz w:val="28"/>
          <w:szCs w:val="28"/>
        </w:rPr>
        <w:t xml:space="preserve">2.1  Approval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19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Party</w:t>
            </w:r>
          </w:p>
        </w:tc>
        <w:tc>
          <w:tcPr>
            <w:tcW w:type="dxa" w:w="3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Approval scope</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Mechanism</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Founder</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 Naveen Gupta / Safia Anwar / Tarun Bahri</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Commercial terms; strategic intent; final sign-off</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Wet or electronic signature on Section 54</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Chief Technology Officer</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integrations; security posture</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Electronic signature; phase-gate review</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Compliance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Regulatory scope (DLT, IRDAI, DPDPA, FATCA, TDS)</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Electronic signature; lint-rule sign-off</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CX</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catalogue; brand voice; audience map</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Electronic signature; review queue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Lead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Ashish Kumar Satyam</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Scope decomposition; plan integrity; weekly status; deliverable quality</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Owns this document; cuts new versions</w:t>
            </w:r>
          </w:p>
        </w:tc>
      </w:tr>
    </w:tbl>
    <w:p>
      <w:pPr>
        <w:pStyle w:val="Heading2"/>
        <w:spacing w:after="140" w:before="280"/>
      </w:pPr>
      <w:r>
        <w:rPr>
          <w:rFonts w:ascii="Calibri" w:cs="Calibri" w:eastAsia="Calibri" w:hAnsi="Calibri"/>
          <w:b/>
          <w:bCs/>
          <w:color w:val="1F3864"/>
          <w:sz w:val="28"/>
          <w:szCs w:val="28"/>
        </w:rPr>
        <w:t xml:space="preserve">2.2  Document state machine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5346"/>
        <w:gridCol w:w="22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State</w:t>
            </w:r>
          </w:p>
        </w:tc>
        <w:tc>
          <w:tcPr>
            <w:tcW w:type="dxa" w:w="5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Meaning</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Permitted next states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draft</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 iterating; not yet circulated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in_review, archived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in_review</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Circulated to approvers; comments open</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 draft (returned)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 signed; document is the engagement bible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amended (new version), archived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amended</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Substantive change in flight; previous version retained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 archived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archived</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Superseded; read-only; retained for audit</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(terminal)</w:t>
            </w:r>
          </w:p>
        </w:tc>
      </w:tr>
    </w:tbl>
    <w:p>
      <w:pPr>
        <w:pStyle w:val="Heading2"/>
        <w:spacing w:after="140" w:before="280"/>
      </w:pPr>
      <w:r>
        <w:rPr>
          <w:rFonts w:ascii="Calibri" w:cs="Calibri" w:eastAsia="Calibri" w:hAnsi="Calibri"/>
          <w:b/>
          <w:bCs/>
          <w:color w:val="1F3864"/>
          <w:sz w:val="28"/>
          <w:szCs w:val="28"/>
        </w:rPr>
        <w:t xml:space="preserve">2.3  Document version control</w:t>
      </w:r>
    </w:p>
    <w:p>
      <w:pPr>
        <w:spacing w:after="120" w:before="0"/>
      </w:pPr>
      <w:r>
        <w:rPr>
          <w:rFonts w:ascii="Calibri" w:cs="Calibri" w:eastAsia="Calibri" w:hAnsi="Calibri"/>
          <w:color w:val="1A1A1A"/>
          <w:sz w:val="20"/>
          <w:szCs w:val="20"/>
        </w:rPr>
        <w:t xml:space="preserve">Version increments follow semantic-versioning conventions adapted for documents:</w:t>
      </w:r>
    </w:p>
    <w:p>
      <w:pPr>
        <w:pStyle w:val="ListParagraph"/>
        <w:numPr>
          <w:ilvl w:val="0"/>
          <w:numId w:val="2"/>
        </w:numPr>
        <w:spacing w:after="80"/>
      </w:pPr>
      <w:r>
        <w:rPr>
          <w:rFonts w:ascii="Calibri" w:cs="Calibri" w:eastAsia="Calibri" w:hAnsi="Calibri"/>
          <w:color w:val="1A1A1A"/>
          <w:sz w:val="20"/>
          <w:szCs w:val="20"/>
        </w:rPr>
        <w:t xml:space="preserve">MAJOR (x.0) — change in scope, deliverables, effort, commercial terms or legal terms. Requires counter-signature by all roles in 2.1.</w:t>
      </w:r>
    </w:p>
    <w:p>
      <w:pPr>
        <w:pStyle w:val="ListParagraph"/>
        <w:numPr>
          <w:ilvl w:val="0"/>
          <w:numId w:val="2"/>
        </w:numPr>
        <w:spacing w:after="80"/>
      </w:pPr>
      <w:r>
        <w:rPr>
          <w:rFonts w:ascii="Calibri" w:cs="Calibri" w:eastAsia="Calibri" w:hAnsi="Calibri"/>
          <w:color w:val="1A1A1A"/>
          <w:sz w:val="20"/>
          <w:szCs w:val="20"/>
        </w:rPr>
        <w:t xml:space="preserve">MINOR (3.x) — clarification, additional detail, error correction; no scope or commercial impact. Approval by Engagement Lead and one Client approver.</w:t>
      </w:r>
    </w:p>
    <w:p>
      <w:pPr>
        <w:pStyle w:val="ListParagraph"/>
        <w:numPr>
          <w:ilvl w:val="0"/>
          <w:numId w:val="2"/>
        </w:numPr>
        <w:spacing w:after="80"/>
      </w:pPr>
      <w:r>
        <w:rPr>
          <w:rFonts w:ascii="Calibri" w:cs="Calibri" w:eastAsia="Calibri" w:hAnsi="Calibri"/>
          <w:color w:val="1A1A1A"/>
          <w:sz w:val="20"/>
          <w:szCs w:val="20"/>
        </w:rPr>
        <w:t xml:space="preserve">PATCH (3.0.x) — typographical or formatting only. Engagement Lead authority alone.</w:t>
      </w:r>
    </w:p>
    <w:p>
      <w:pPr>
        <w:pStyle w:val="ListParagraph"/>
        <w:numPr>
          <w:ilvl w:val="0"/>
          <w:numId w:val="2"/>
        </w:numPr>
        <w:spacing w:after="80"/>
      </w:pPr>
      <w:r>
        <w:rPr>
          <w:rFonts w:ascii="Calibri" w:cs="Calibri" w:eastAsia="Calibri" w:hAnsi="Calibri"/>
          <w:color w:val="1A1A1A"/>
          <w:sz w:val="20"/>
          <w:szCs w:val="20"/>
        </w:rPr>
        <w:t xml:space="preserve">Every version cuts a new entry in Section 3 with rationale.</w:t>
      </w:r>
    </w:p>
    <w:p>
      <w:pPr>
        <w:pStyle w:val="ListParagraph"/>
        <w:numPr>
          <w:ilvl w:val="0"/>
          <w:numId w:val="2"/>
        </w:numPr>
        <w:spacing w:after="80"/>
      </w:pPr>
      <w:r>
        <w:rPr>
          <w:rFonts w:ascii="Calibri" w:cs="Calibri" w:eastAsia="Calibri" w:hAnsi="Calibri"/>
          <w:color w:val="1A1A1A"/>
          <w:sz w:val="20"/>
          <w:szCs w:val="20"/>
        </w:rPr>
        <w:t xml:space="preserve">Comments and redlines are captured in-document during in_review; final approval clears comments.</w:t>
      </w:r>
    </w:p>
    <w:p>
      <w:pPr>
        <w:pStyle w:val="Heading1"/>
        <w:pageBreakBefore/>
        <w:spacing w:after="240" w:before="0"/>
      </w:pPr>
      <w:r>
        <w:rPr>
          <w:rFonts w:ascii="Calibri" w:cs="Calibri" w:eastAsia="Calibri" w:hAnsi="Calibri"/>
          <w:b/>
          <w:bCs/>
          <w:color w:val="1F3864"/>
          <w:sz w:val="36"/>
          <w:szCs w:val="36"/>
        </w:rPr>
        <w:t xml:space="preserve">3. Version History</w:t>
      </w:r>
    </w:p>
    <w:p>
      <w:pPr>
        <w:spacing w:after="120" w:before="0"/>
      </w:pPr>
      <w:r>
        <w:rPr>
          <w:rFonts w:ascii="Calibri" w:cs="Calibri" w:eastAsia="Calibri" w:hAnsi="Calibri"/>
          <w:color w:val="1A1A1A"/>
          <w:sz w:val="20"/>
          <w:szCs w:val="20"/>
        </w:rPr>
        <w:t xml:space="preserve">Version history is curated to substantive business-level changes. Editorial passes, formatting fixes and cosmetic refinements are tracked in the document repository, not here.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400"/>
        <w:gridCol w:w="444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Version</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Date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Author</w:t>
            </w:r>
          </w:p>
        </w:tc>
        <w:tc>
          <w:tcPr>
            <w:tcW w:type="dxa" w:w="4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Substantive changes</w:t>
            </w:r>
          </w:p>
        </w:tc>
      </w:tr>
      <w:tr>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Initial SOW: scope, audience map, 49-trigger catalogue, channel strategy, template-management architecture, compliance layer, phased delivery, effort estimate.</w:t>
            </w:r>
          </w:p>
        </w:tc>
      </w:tr>
      <w:tr>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1.1</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Reframed audience and approval routing for TPE-internal review; updated RACI and effort estimates.</w:t>
            </w:r>
          </w:p>
        </w:tc>
      </w:tr>
      <w:tr>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expanded from 26 to 41 sections in eleven thematic parts. Fifteen new sections added across governance (Approval Matrix, Distribution List, Stakeholder Register, Communication Plan, Change Management, SLA, Resource Plan, Operational Readiness, Knowledge Transfer, Post-Implementation Support) and assurance (Security &amp; Privacy, QA &amp; Testing, Confidentiality &amp; IP). Risks expanded into a full Risk Register.</w:t>
            </w:r>
          </w:p>
        </w:tc>
      </w:tr>
      <w:tr>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Reframed from internal artefact to external Consultant→Client SOW. Added Part XI Commercial Terms (charges, payment milestones, invoicing, taxes, change orders, rate card). Added Part XII Legal &amp; Contract Terms (warranty, liability cap, indemnification, insurance, termination, governing law, dispute resolution, force majeure, DPA reference, general provisions). Tightened Acceptance (Section 24) with deemed-acceptance window and rework cap. Cleaned Distribution List and consolidated Sign-off into single counter-signature page.</w:t>
            </w:r>
          </w:p>
        </w:tc>
      </w:tr>
      <w:tr>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4.0</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26 Apr 2026</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4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Architectural pivot from self-built YAML library + Claude Code skills to self-hosted Novu platform deployment in India. Sections 16, 17, 18 rewritten for Novu workflow architecture, custom provider plugins (Gupshup native + MSG91 and Karix as custom plugins), compliance middleware, observability stack, and multi-tenant insurer routing. Phase 5 (live dispatch) absorbed into core delivery; payment milestones redistributed across 5 phases of 5 days each. DPDPA story strengthened via India-resident self-hosting (Sections 20, 48). Total contract value held at INR 8,75,000 core (no separate gated phase). Risk Register updated with self-hosted infrastructure risks; Resource Plan adds Infrastructure / DevOps support. Glossary expanded with Novu terms. Legal terms (Part XII) unchanged.</w:t>
            </w:r>
          </w:p>
        </w:tc>
      </w:tr>
    </w:tbl>
    <w:p>
      <w:pPr>
        <w:pStyle w:val="Heading1"/>
        <w:pageBreakBefore/>
        <w:spacing w:after="240" w:before="0"/>
      </w:pPr>
      <w:r>
        <w:rPr>
          <w:rFonts w:ascii="Calibri" w:cs="Calibri" w:eastAsia="Calibri" w:hAnsi="Calibri"/>
          <w:b/>
          <w:bCs/>
          <w:color w:val="1F3864"/>
          <w:sz w:val="36"/>
          <w:szCs w:val="36"/>
        </w:rPr>
        <w:t xml:space="preserve">4. Distribution List</w:t>
      </w:r>
    </w:p>
    <w:p>
      <w:pPr>
        <w:spacing w:after="120" w:before="0"/>
      </w:pPr>
      <w:r>
        <w:rPr>
          <w:rFonts w:ascii="Calibri" w:cs="Calibri" w:eastAsia="Calibri" w:hAnsi="Calibri"/>
          <w:color w:val="1A1A1A"/>
          <w:sz w:val="20"/>
          <w:szCs w:val="20"/>
        </w:rPr>
        <w:t xml:space="preserve">Classified Internal &amp; Confidential. Distribution is restricted to the parties named below. Re-distribution, external sharing or use in external communications requires the Client Sponsor’s written approval. The Consultant will not distribute this SOW or any derivative beyond the parties listed without the Client’s prior consent.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74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Recipient</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Sponsor (Founders)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 signed PDF</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 scope; sign Section 54</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sign-off</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Head of Compliance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Regulatory sign-off</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Head of CX</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and trigger sign-off</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Operations Lead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Implementation owner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Day-to-day delivery</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Engineering Team</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Implementation pair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reference</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Internal Audit (post-launch)</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PDF (read-only)</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Audit-trail evidence</w:t>
            </w:r>
          </w:p>
        </w:tc>
      </w:tr>
      <w:tr>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Engagement Lead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(master)</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Source of truth; controlled</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repository</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System of record</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 PDF</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Versioned archive</w:t>
            </w:r>
          </w:p>
        </w:tc>
      </w:tr>
    </w:tbl>
    <w:p>
      <w:pPr>
        <w:pStyle w:val="Heading1"/>
        <w:pageBreakBefore/>
        <w:spacing w:after="240" w:before="0"/>
      </w:pPr>
      <w:r>
        <w:rPr>
          <w:rFonts w:ascii="Calibri" w:cs="Calibri" w:eastAsia="Calibri" w:hAnsi="Calibri"/>
          <w:b/>
          <w:bCs/>
          <w:color w:val="1F3864"/>
          <w:sz w:val="36"/>
          <w:szCs w:val="36"/>
        </w:rPr>
        <w:t xml:space="preserve">5. Executive Summary</w:t>
      </w:r>
    </w:p>
    <w:p>
      <w:pPr>
        <w:pStyle w:val="Heading3"/>
        <w:spacing w:after="100" w:before="200"/>
      </w:pPr>
      <w:r>
        <w:rPr>
          <w:rFonts w:ascii="Calibri" w:cs="Calibri" w:eastAsia="Calibri" w:hAnsi="Calibri"/>
          <w:b/>
          <w:bCs/>
          <w:color w:val="1A1A1A"/>
          <w:sz w:val="24"/>
          <w:szCs w:val="24"/>
        </w:rPr>
        <w:t xml:space="preserve">Why this matters</w:t>
      </w:r>
    </w:p>
    <w:p>
      <w:pPr>
        <w:spacing w:after="120" w:before="0"/>
      </w:pPr>
      <w:r>
        <w:rPr>
          <w:rFonts w:ascii="Calibri" w:cs="Calibri" w:eastAsia="Calibri" w:hAnsi="Calibri"/>
          <w:color w:val="1A1A1A"/>
          <w:sz w:val="20"/>
          <w:szCs w:val="20"/>
        </w:rPr>
        <w:t xml:space="preserve">TPE operates an unusual two-sided insurance marketplace: policyholders assign their policies to investors who then pay future premiums for 10 to 25 years until maturity. This creates a long-tail communication obligation that does not exist for standard insurers. Premium-due reminders to investors alone will dominate message volume across the next two decades. Today, content is held in spreadsheets, ad-hoc templates and individual mailboxes, with no compliance lint, no version control, no audit trail and no path to multi-language scaling.</w:t>
      </w:r>
    </w:p>
    <w:p>
      <w:pPr>
        <w:pStyle w:val="Heading3"/>
        <w:spacing w:after="100" w:before="200"/>
      </w:pPr>
      <w:r>
        <w:rPr>
          <w:rFonts w:ascii="Calibri" w:cs="Calibri" w:eastAsia="Calibri" w:hAnsi="Calibri"/>
          <w:b/>
          <w:bCs/>
          <w:color w:val="1A1A1A"/>
          <w:sz w:val="24"/>
          <w:szCs w:val="24"/>
        </w:rPr>
        <w:t xml:space="preserve">What this engagement delivers</w:t>
      </w:r>
    </w:p>
    <w:p>
      <w:pPr>
        <w:spacing w:after="120" w:before="0"/>
      </w:pPr>
      <w:r>
        <w:rPr>
          <w:rFonts w:ascii="Calibri" w:cs="Calibri" w:eastAsia="Calibri" w:hAnsi="Calibri"/>
          <w:color w:val="1A1A1A"/>
          <w:sz w:val="20"/>
          <w:szCs w:val="20"/>
        </w:rPr>
        <w:t xml:space="preserve">A self-hosted Novu deployment on Client-controlled India-resident infrastructure, with 49 lifecycle workflows authored as code (Novu Framework / TypeScript), each routed to one or more of four channels (Email, SMS, WhatsApp, RCS) for five distinct audiences. Three Indian channel providers wired in: Gupshup natively (with first-class DLT pass-through), MSG91 and Karix via custom Novu provider plugins built in this engagement. A custom compliance middleware enforces DLT, IRDAI, WhatsApp BSP and DPDPA rules at workflow-execution time. An observability stack delivers audit-grade evidence per dispatched message. A multi-tenant routing layer recognises the eleven insurance partners as distinct sender identities. Subscriber preferences, digest, throttle and quiet-hours come from Novu out of the box.</w:t>
      </w:r>
    </w:p>
    <w:p>
      <w:pPr>
        <w:pStyle w:val="Heading3"/>
        <w:spacing w:after="100" w:before="200"/>
      </w:pPr>
      <w:r>
        <w:rPr>
          <w:rFonts w:ascii="Calibri" w:cs="Calibri" w:eastAsia="Calibri" w:hAnsi="Calibri"/>
          <w:b/>
          <w:bCs/>
          <w:color w:val="1A1A1A"/>
          <w:sz w:val="24"/>
          <w:szCs w:val="24"/>
        </w:rPr>
        <w:t xml:space="preserve">Quantified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Dimension</w:t>
            </w:r>
          </w:p>
        </w:tc>
        <w:tc>
          <w:tcPr>
            <w:tcW w:type="dxa" w:w="32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v1 Scope</w:t>
            </w:r>
          </w:p>
        </w:tc>
        <w:tc>
          <w:tcPr>
            <w:tcW w:type="dxa" w:w="3273"/>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Steady-state</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Triggers</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49</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60+</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Audiences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Channels</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 + voice</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Languages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 + 8 regional</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count (estimate)</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~120</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300+</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Unique content cells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~600</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3,000+</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partners (B2B)</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11</w:t>
            </w:r>
          </w:p>
        </w:tc>
        <w:tc>
          <w:tcPr>
            <w:tcW w:type="dxa" w:w="3273"/>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regimes covered</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IRDAI, WhatsApp BSP, DPDPA, FATCA, TDS</w:t>
            </w:r>
          </w:p>
        </w:tc>
        <w:tc>
          <w:tcPr>
            <w:tcW w:type="dxa" w:w="3273"/>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GDPR-equivalent on cross-border data</w:t>
            </w:r>
          </w:p>
        </w:tc>
      </w:tr>
    </w:tbl>
    <w:p>
      <w:pPr>
        <w:pStyle w:val="Heading3"/>
        <w:spacing w:after="100" w:before="200"/>
      </w:pPr>
      <w:r>
        <w:rPr>
          <w:rFonts w:ascii="Calibri" w:cs="Calibri" w:eastAsia="Calibri" w:hAnsi="Calibri"/>
          <w:b/>
          <w:bCs/>
          <w:color w:val="1A1A1A"/>
          <w:sz w:val="24"/>
          <w:szCs w:val="24"/>
        </w:rPr>
        <w:t xml:space="preserve">Effort &amp; timeline at a glance</w:t>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1725"/>
        <w:gridCol w:w="280"/>
        <w:gridCol w:w="1725"/>
        <w:gridCol w:w="280"/>
        <w:gridCol w:w="1725"/>
        <w:gridCol w:w="280"/>
        <w:gridCol w:w="1725"/>
        <w:gridCol w:w="280"/>
        <w:gridCol w:w="1725"/>
      </w:tblGrid>
      <w:tr>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P1</w:t>
            </w:r>
          </w:p>
          <w:p>
            <w:pPr>
              <w:spacing w:after="20"/>
              <w:jc w:val="center"/>
            </w:pPr>
            <w:r>
              <w:rPr>
                <w:rFonts w:ascii="Calibri" w:cs="Calibri" w:eastAsia="Calibri" w:hAnsi="Calibri"/>
                <w:b/>
                <w:bCs/>
                <w:color w:val="FFFFFF"/>
                <w:sz w:val="16"/>
                <w:szCs w:val="16"/>
              </w:rPr>
              <w:t xml:space="preserve">Novu Foundation</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P2</w:t>
            </w:r>
          </w:p>
          <w:p>
            <w:pPr>
              <w:spacing w:after="20"/>
              <w:jc w:val="center"/>
            </w:pPr>
            <w:r>
              <w:rPr>
                <w:rFonts w:ascii="Calibri" w:cs="Calibri" w:eastAsia="Calibri" w:hAnsi="Calibri"/>
                <w:b/>
                <w:bCs/>
                <w:color w:val="FFFFFF"/>
                <w:sz w:val="16"/>
                <w:szCs w:val="16"/>
              </w:rPr>
              <w:t xml:space="preserve">PH Workflows</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P3</w:t>
            </w:r>
          </w:p>
          <w:p>
            <w:pPr>
              <w:spacing w:after="20"/>
              <w:jc w:val="center"/>
            </w:pPr>
            <w:r>
              <w:rPr>
                <w:rFonts w:ascii="Calibri" w:cs="Calibri" w:eastAsia="Calibri" w:hAnsi="Calibri"/>
                <w:b/>
                <w:bCs/>
                <w:color w:val="FFFFFF"/>
                <w:sz w:val="16"/>
                <w:szCs w:val="16"/>
              </w:rPr>
              <w:t xml:space="preserve">INV+INS+OPS+REG+HI+MT</w:t>
            </w:r>
          </w:p>
          <w:p>
            <w:pPr>
              <w:spacing w:after="0"/>
              <w:jc w:val="center"/>
            </w:pPr>
            <w:r>
              <w:rPr>
                <w:rFonts w:ascii="Calibri" w:cs="Calibri" w:eastAsia="Calibri" w:hAnsi="Calibri"/>
                <w:i/>
                <w:iCs/>
                <w:color w:val="FFFFFF"/>
                <w:sz w:val="14"/>
                <w:szCs w:val="14"/>
              </w:rPr>
              <w:t xml:space="preserve">6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P4</w:t>
            </w:r>
          </w:p>
          <w:p>
            <w:pPr>
              <w:spacing w:after="20"/>
              <w:jc w:val="center"/>
            </w:pPr>
            <w:r>
              <w:rPr>
                <w:rFonts w:ascii="Calibri" w:cs="Calibri" w:eastAsia="Calibri" w:hAnsi="Calibri"/>
                <w:b/>
                <w:bCs/>
                <w:color w:val="FFFFFF"/>
                <w:sz w:val="16"/>
                <w:szCs w:val="16"/>
              </w:rPr>
              <w:t xml:space="preserve">Compliance + Observability</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P5</w:t>
            </w:r>
          </w:p>
          <w:p>
            <w:pPr>
              <w:spacing w:after="20"/>
              <w:jc w:val="center"/>
            </w:pPr>
            <w:r>
              <w:rPr>
                <w:rFonts w:ascii="Calibri" w:cs="Calibri" w:eastAsia="Calibri" w:hAnsi="Calibri"/>
                <w:b/>
                <w:bCs/>
                <w:color w:val="FFFFFF"/>
                <w:sz w:val="16"/>
                <w:szCs w:val="16"/>
              </w:rPr>
              <w:t xml:space="preserve">Custom Providers + Hardening</w:t>
            </w:r>
          </w:p>
          <w:p>
            <w:pPr>
              <w:spacing w:after="0"/>
              <w:jc w:val="center"/>
            </w:pPr>
            <w:r>
              <w:rPr>
                <w:rFonts w:ascii="Calibri" w:cs="Calibri" w:eastAsia="Calibri" w:hAnsi="Calibri"/>
                <w:i/>
                <w:iCs/>
                <w:color w:val="FFFFFF"/>
                <w:sz w:val="14"/>
                <w:szCs w:val="14"/>
              </w:rPr>
              <w:t xml:space="preserve">4 days</w:t>
            </w:r>
          </w:p>
        </w:tc>
      </w:tr>
    </w:tbl>
    <w:p>
      <w:pPr>
        <w:spacing w:after="100"/>
      </w:pPr>
      <w:r>
        <w:t xml:space="preserve"/>
      </w:r>
    </w:p>
    <w:p>
      <w:pPr>
        <w:spacing w:after="120" w:before="0"/>
      </w:pPr>
      <w:r>
        <w:rPr>
          <w:rFonts w:ascii="Calibri" w:cs="Calibri" w:eastAsia="Calibri" w:hAnsi="Calibri"/>
          <w:i/>
          <w:iCs/>
          <w:color w:val="808080"/>
          <w:sz w:val="18"/>
          <w:szCs w:val="18"/>
        </w:rPr>
        <w:t xml:space="preserve">Core delivery (Phases 1–5): 25 working consultant-days. All phases are core in v4.0 — dispatch is no longer separately gated because Novu provides it natively for Gupshup; P5 effort is on custom MSG91 and Karix provider plugins and production hardening rather than on building dispatch from scratch.</w:t>
      </w:r>
    </w:p>
    <w:p>
      <w:pPr>
        <w:pStyle w:val="Heading1"/>
        <w:pageBreakBefore/>
        <w:spacing w:after="240" w:before="0"/>
      </w:pPr>
      <w:r>
        <w:rPr>
          <w:rFonts w:ascii="Calibri" w:cs="Calibri" w:eastAsia="Calibri" w:hAnsi="Calibri"/>
          <w:b/>
          <w:bCs/>
          <w:color w:val="1F3864"/>
          <w:sz w:val="36"/>
          <w:szCs w:val="36"/>
        </w:rPr>
        <w:t xml:space="preserve">6. Executive Dashboard</w:t>
      </w:r>
    </w:p>
    <w:p>
      <w:pPr>
        <w:spacing w:after="120" w:before="0"/>
      </w:pPr>
      <w:r>
        <w:rPr>
          <w:rFonts w:ascii="Calibri" w:cs="Calibri" w:eastAsia="Calibri" w:hAnsi="Calibri"/>
          <w:color w:val="1A1A1A"/>
          <w:sz w:val="20"/>
          <w:szCs w:val="20"/>
        </w:rPr>
        <w:t xml:space="preserve">Single-page snapshot for the Sponsor. Status badges show engagement readiness for each delivery dimension; metric tiles summarise what the Client is signing up for. Refreshed at every phase gate.</w:t>
      </w:r>
    </w:p>
    <w:p>
      <w:pPr>
        <w:pStyle w:val="Heading3"/>
        <w:spacing w:after="100" w:before="200"/>
      </w:pPr>
      <w:r>
        <w:rPr>
          <w:rFonts w:ascii="Calibri" w:cs="Calibri" w:eastAsia="Calibri" w:hAnsi="Calibri"/>
          <w:b/>
          <w:bCs/>
          <w:color w:val="1A1A1A"/>
          <w:sz w:val="24"/>
          <w:szCs w:val="24"/>
        </w:rPr>
        <w:t xml:space="preserve">Engagement readiness status</w:t>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c>
          <w:tcPr>
            <w:tcW w:type="dxa" w:w="1949"/>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Scope locked</w:t>
            </w:r>
          </w:p>
        </w:tc>
        <w:tc>
          <w:tcPr>
            <w:tcW w:type="dxa" w:w="194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Effort baselined</w:t>
            </w:r>
          </w:p>
        </w:tc>
        <w:tc>
          <w:tcPr>
            <w:tcW w:type="dxa" w:w="1949"/>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Risks cataloged</w:t>
            </w:r>
          </w:p>
        </w:tc>
        <w:tc>
          <w:tcPr>
            <w:tcW w:type="dxa" w:w="1949"/>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548235"/>
                <w:sz w:val="18"/>
                <w:szCs w:val="18"/>
              </w:rPr>
              <w:t xml:space="preserve">●  Compliance mapped</w:t>
            </w:r>
          </w:p>
        </w:tc>
        <w:tc>
          <w:tcPr>
            <w:tcW w:type="dxa" w:w="1949"/>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center"/>
            </w:pPr>
            <w:r>
              <w:rPr>
                <w:rFonts w:ascii="Calibri" w:cs="Calibri" w:eastAsia="Calibri" w:hAnsi="Calibri"/>
                <w:b/>
                <w:bCs/>
                <w:color w:val="BF8F00"/>
                <w:sz w:val="18"/>
                <w:szCs w:val="18"/>
              </w:rPr>
              <w:t xml:space="preserve">●  Phase 5 gated</w:t>
            </w:r>
          </w:p>
        </w:tc>
      </w:tr>
    </w:tbl>
    <w:p>
      <w:pPr>
        <w:pStyle w:val="Heading3"/>
        <w:spacing w:after="100" w:before="200"/>
      </w:pPr>
      <w:r>
        <w:rPr>
          <w:rFonts w:ascii="Calibri" w:cs="Calibri" w:eastAsia="Calibri" w:hAnsi="Calibri"/>
          <w:b/>
          <w:bCs/>
          <w:color w:val="1A1A1A"/>
          <w:sz w:val="24"/>
          <w:szCs w:val="24"/>
        </w:rPr>
        <w:t xml:space="preserve">Headline metrics</w:t>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49</w:t>
            </w:r>
          </w:p>
          <w:p>
            <w:pPr>
              <w:spacing w:after="0"/>
              <w:jc w:val="center"/>
            </w:pPr>
            <w:r>
              <w:rPr>
                <w:rFonts w:ascii="Calibri" w:cs="Calibri" w:eastAsia="Calibri" w:hAnsi="Calibri"/>
                <w:b/>
                <w:bCs/>
                <w:color w:val="FFFFFF"/>
                <w:sz w:val="16"/>
                <w:szCs w:val="16"/>
              </w:rPr>
              <w:t xml:space="preserve">Triggers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5</w:t>
            </w:r>
          </w:p>
          <w:p>
            <w:pPr>
              <w:spacing w:after="0"/>
              <w:jc w:val="center"/>
            </w:pPr>
            <w:r>
              <w:rPr>
                <w:rFonts w:ascii="Calibri" w:cs="Calibri" w:eastAsia="Calibri" w:hAnsi="Calibri"/>
                <w:b/>
                <w:bCs/>
                <w:color w:val="FFFFFF"/>
                <w:sz w:val="16"/>
                <w:szCs w:val="16"/>
              </w:rPr>
              <w:t xml:space="preserve">Audiences</w:t>
            </w:r>
          </w:p>
        </w:tc>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w:t>
            </w:r>
          </w:p>
          <w:p>
            <w:pPr>
              <w:spacing w:after="0"/>
              <w:jc w:val="center"/>
            </w:pPr>
            <w:r>
              <w:rPr>
                <w:rFonts w:ascii="Calibri" w:cs="Calibri" w:eastAsia="Calibri" w:hAnsi="Calibri"/>
                <w:b/>
                <w:bCs/>
                <w:color w:val="FFFFFF"/>
                <w:sz w:val="16"/>
                <w:szCs w:val="16"/>
              </w:rPr>
              <w:t xml:space="preserve">Channels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25</w:t>
            </w:r>
          </w:p>
          <w:p>
            <w:pPr>
              <w:spacing w:after="0"/>
              <w:jc w:val="center"/>
            </w:pPr>
            <w:r>
              <w:rPr>
                <w:rFonts w:ascii="Calibri" w:cs="Calibri" w:eastAsia="Calibri" w:hAnsi="Calibri"/>
                <w:b/>
                <w:bCs/>
                <w:color w:val="FFFFFF"/>
                <w:sz w:val="16"/>
                <w:szCs w:val="16"/>
              </w:rPr>
              <w:t xml:space="preserve">Eng days (core)</w:t>
            </w:r>
          </w:p>
        </w:tc>
      </w:tr>
    </w:tbl>
    <w:p>
      <w:pPr>
        <w:spacing w:after="100"/>
      </w:pPr>
      <w:r>
        <w:t xml:space="preserve"/>
      </w:r>
    </w:p>
    <w:tbl>
      <w:tblPr>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9</w:t>
            </w:r>
          </w:p>
          <w:p>
            <w:pPr>
              <w:spacing w:after="0"/>
              <w:jc w:val="center"/>
            </w:pPr>
            <w:r>
              <w:rPr>
                <w:rFonts w:ascii="Calibri" w:cs="Calibri" w:eastAsia="Calibri" w:hAnsi="Calibri"/>
                <w:b/>
                <w:bCs/>
                <w:color w:val="FFFFFF"/>
                <w:sz w:val="16"/>
                <w:szCs w:val="16"/>
              </w:rPr>
              <w:t xml:space="preserve">Reviewer days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4</w:t>
            </w:r>
          </w:p>
          <w:p>
            <w:pPr>
              <w:spacing w:after="0"/>
              <w:jc w:val="center"/>
            </w:pPr>
            <w:r>
              <w:rPr>
                <w:rFonts w:ascii="Calibri" w:cs="Calibri" w:eastAsia="Calibri" w:hAnsi="Calibri"/>
                <w:b/>
                <w:bCs/>
                <w:color w:val="FFFFFF"/>
                <w:sz w:val="16"/>
                <w:szCs w:val="16"/>
              </w:rPr>
              <w:t xml:space="preserve">Phases (core)</w:t>
            </w:r>
          </w:p>
        </w:tc>
        <w:tc>
          <w:tcPr>
            <w:tcW w:type="dxa" w:w="2436"/>
            <w:tcBorders>
              <w:top w:val="single" w:color="BFBFBF" w:sz="4"/>
              <w:left w:val="single" w:color="BFBFBF" w:sz="4"/>
              <w:bottom w:val="single" w:color="BFBFBF" w:sz="4"/>
              <w:right w:val="single" w:color="BFBFBF" w:sz="4"/>
            </w:tcBorders>
            <w:shd w:fill="1F3864"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6</w:t>
            </w:r>
          </w:p>
          <w:p>
            <w:pPr>
              <w:spacing w:after="0"/>
              <w:jc w:val="center"/>
            </w:pPr>
            <w:r>
              <w:rPr>
                <w:rFonts w:ascii="Calibri" w:cs="Calibri" w:eastAsia="Calibri" w:hAnsi="Calibri"/>
                <w:b/>
                <w:bCs/>
                <w:color w:val="FFFFFF"/>
                <w:sz w:val="16"/>
                <w:szCs w:val="16"/>
              </w:rPr>
              <w:t xml:space="preserve">Compliance regimes</w:t>
            </w:r>
          </w:p>
        </w:tc>
        <w:tc>
          <w:tcPr>
            <w:tcW w:type="dxa" w:w="2436"/>
            <w:tcBorders>
              <w:top w:val="single" w:color="BFBFBF" w:sz="4"/>
              <w:left w:val="single" w:color="BFBFBF" w:sz="4"/>
              <w:bottom w:val="single" w:color="BFBFBF" w:sz="4"/>
              <w:right w:val="single" w:color="BFBFBF" w:sz="4"/>
            </w:tcBorders>
            <w:shd w:fill="8FAADC" w:color="auto" w:val="clear"/>
            <w:tcMar>
              <w:top w:type="dxa" w:w="160"/>
              <w:left w:type="dxa" w:w="80"/>
              <w:bottom w:type="dxa" w:w="160"/>
              <w:right w:type="dxa" w:w="80"/>
            </w:tcMar>
            <w:vAlign w:val="center"/>
          </w:tcPr>
          <w:p>
            <w:pPr>
              <w:spacing w:after="40"/>
              <w:jc w:val="center"/>
            </w:pPr>
            <w:r>
              <w:rPr>
                <w:rFonts w:ascii="Calibri" w:cs="Calibri" w:eastAsia="Calibri" w:hAnsi="Calibri"/>
                <w:b/>
                <w:bCs/>
                <w:color w:val="FFFFFF"/>
                <w:sz w:val="48"/>
                <w:szCs w:val="48"/>
              </w:rPr>
              <w:t xml:space="preserve">20%</w:t>
            </w:r>
          </w:p>
          <w:p>
            <w:pPr>
              <w:spacing w:after="0"/>
              <w:jc w:val="center"/>
            </w:pPr>
            <w:r>
              <w:rPr>
                <w:rFonts w:ascii="Calibri" w:cs="Calibri" w:eastAsia="Calibri" w:hAnsi="Calibri"/>
                <w:b/>
                <w:bCs/>
                <w:color w:val="FFFFFF"/>
                <w:sz w:val="16"/>
                <w:szCs w:val="16"/>
              </w:rPr>
              <w:t xml:space="preserve">Default-rate ↓</w:t>
            </w:r>
          </w:p>
        </w:tc>
      </w:tr>
    </w:tbl>
    <w:p>
      <w:pPr>
        <w:pStyle w:val="Heading3"/>
        <w:spacing w:after="100" w:before="200"/>
      </w:pPr>
      <w:r>
        <w:rPr>
          <w:rFonts w:ascii="Calibri" w:cs="Calibri" w:eastAsia="Calibri" w:hAnsi="Calibri"/>
          <w:b/>
          <w:bCs/>
          <w:color w:val="1A1A1A"/>
          <w:sz w:val="24"/>
          <w:szCs w:val="24"/>
        </w:rPr>
        <w:t xml:space="preserve">Phase-gate health (forecast)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000"/>
        <w:gridCol w:w="28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Health</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Forecast outcome</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Watch-item</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Novu Foundation</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L</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deployed in India; first PoC workflow</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AWS/India hosting access from Day 1</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 PH Workflows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L</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triggers as Novu workflows + templates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data model (one-time TPE→Novu sync)</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 INV+INS+OPS+REG+HI+MT</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M</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31 workflows + Hindi + multi-tenant insurer routing</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bandwidth; insurer-specific MIS rules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 Compliance Middleware + Observability</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L</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Framework step lints content pre-dispatch; audit dashboard</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text final from Compliance</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 Custom Providers + Hardening</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M</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plugins; production cutover; runbook</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 credentials + DLT IDs by start of P5</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What an approver is signing for.</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Twenty-five consultant-days, five phases all included in core, deployment on self-hosted Novu in Client-controlled India infrastructure, three Indian channel providers wired in (Gupshup native + MSG91 and Karix as custom plugins), custom compliance middleware enforcing Indian regulations at workflow execution, full audit trail, and a measurable twenty-percent target reduction in investor premium-default rate within six months of go-live. Commercial terms, including total contract value of INR 8,75,000 (ex-GST) and milestone payments, are in Part XI.</w:t>
            </w:r>
          </w:p>
        </w:tc>
      </w:tr>
    </w:tbl>
    <w:p>
      <w:pPr>
        <w:pStyle w:val="Heading1"/>
        <w:pageBreakBefore/>
        <w:spacing w:after="240" w:before="0"/>
      </w:pPr>
      <w:r>
        <w:rPr>
          <w:rFonts w:ascii="Calibri" w:cs="Calibri" w:eastAsia="Calibri" w:hAnsi="Calibri"/>
          <w:b/>
          <w:bCs/>
          <w:color w:val="1F3864"/>
          <w:sz w:val="36"/>
          <w:szCs w:val="36"/>
        </w:rPr>
        <w:t xml:space="preserve">7. Business Case &amp; ROI Analysis</w:t>
      </w:r>
    </w:p>
    <w:p>
      <w:pPr>
        <w:spacing w:after="120" w:before="0"/>
      </w:pPr>
      <w:r>
        <w:rPr>
          <w:rFonts w:ascii="Calibri" w:cs="Calibri" w:eastAsia="Calibri" w:hAnsi="Calibri"/>
          <w:color w:val="1A1A1A"/>
          <w:sz w:val="20"/>
          <w:szCs w:val="20"/>
        </w:rPr>
        <w:t xml:space="preserve">Twenty-five consultant-days is the input. The outputs justifying the investment are quantified below across four dimensions: operational savings, risk reduction, revenue protection, and compounding benefit. The single largest contributor is investor premium-default-rate reduction — every percentage point preserved is lifetime-value retained on a 10–25 year stream.</w:t>
      </w:r>
    </w:p>
    <w:p>
      <w:pPr>
        <w:pStyle w:val="Heading2"/>
        <w:spacing w:after="140" w:before="280"/>
      </w:pPr>
      <w:r>
        <w:rPr>
          <w:rFonts w:ascii="Calibri" w:cs="Calibri" w:eastAsia="Calibri" w:hAnsi="Calibri"/>
          <w:b/>
          <w:bCs/>
          <w:color w:val="1F3864"/>
          <w:sz w:val="28"/>
          <w:szCs w:val="28"/>
        </w:rPr>
        <w:t xml:space="preserve">7.1  Quantified value drivers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8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Driver</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Baseline</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v1 Target</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Annualised value</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premium-default rate (revenue protection)</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benchmark</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−0% within 6 months</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multi-crore — preserves multi-decade premium streams; modelled separately</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 time on routine drafting (operational saving)</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2h per template</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min draft → approved</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20 person-hours/week saved ≈ 1,000 hrs/yr</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Compliance-incident exposure (risk reduction)</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Manual checks, ad-hoc</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Lint at approval gate</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Avoided fines / blocks; quantified in Risk Register Section 32</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Time-to-launch new audience or channel (compounding)</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Weeks of bespoke work</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Days, via reuse + variants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Future-state enabler — materialises in v2 / regional expansion</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reconstruction effort (risk reduction)</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Days per regulator query</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versioned, near-zero</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Material if a regulator query lands; insurance against rare events</w:t>
            </w:r>
          </w:p>
        </w:tc>
      </w:tr>
    </w:tbl>
    <w:p>
      <w:pPr>
        <w:pStyle w:val="Heading2"/>
        <w:spacing w:after="140" w:before="280"/>
      </w:pPr>
      <w:r>
        <w:rPr>
          <w:rFonts w:ascii="Calibri" w:cs="Calibri" w:eastAsia="Calibri" w:hAnsi="Calibri"/>
          <w:b/>
          <w:bCs/>
          <w:color w:val="1F3864"/>
          <w:sz w:val="28"/>
          <w:szCs w:val="28"/>
        </w:rPr>
        <w:t xml:space="preserve">7.2  Investment vs. return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7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Item</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Quantum</w:t>
            </w:r>
          </w:p>
        </w:tc>
        <w:tc>
          <w:tcPr>
            <w:tcW w:type="dxa" w:w="4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effort (P1–P4)</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25 days</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Core delivery; see Section 38 for charges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effort (CX + Compliance + Brand)</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 days</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Client-internal cost; spread across project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5 effort (gated, optional)</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 days</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Triggered only on signed Phase 5 schedule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Year-1 ops time saved (estimate)</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1,000 hrs</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0.5 FTE — funds onward improvements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Year-1 default-rate impact</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 target</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Largest single driver of NPV</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Indicative payback period</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6 months</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Default-rate impact alone clears the consulting cost</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How we frame the case.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We do not claim a precise rupee NPV. Default-rate, ops-saving and incident-avoidance translate into rupees only in retrospect, with the actual numbers measured at the 6-month review (Section 10 objectives O6 and O7). The honest claim is that the targets are conservative, the baseline is the current spreadsheet-and-inbox state, and the consulting investment is small enough that even modest realisation on any one driver clears the cost.</w:t>
            </w:r>
          </w:p>
        </w:tc>
      </w:tr>
    </w:tbl>
    <w:p>
      <w:pPr>
        <w:pageBreakBefore/>
        <w:spacing w:after="200" w:before="4000"/>
        <w:jc w:val="center"/>
      </w:pPr>
      <w:r>
        <w:rPr>
          <w:rFonts w:ascii="Calibri" w:cs="Calibri" w:eastAsia="Calibri" w:hAnsi="Calibri"/>
          <w:b/>
          <w:bCs/>
          <w:caps/>
          <w:color w:val="808080"/>
          <w:sz w:val="22"/>
          <w:szCs w:val="22"/>
        </w:rPr>
        <w:t xml:space="preserve">Part II</w:t>
      </w:r>
    </w:p>
    <w:p>
      <w:pPr>
        <w:spacing w:after="1600" w:before="0"/>
        <w:jc w:val="center"/>
      </w:pPr>
      <w:r>
        <w:rPr>
          <w:rFonts w:ascii="Calibri" w:cs="Calibri" w:eastAsia="Calibri" w:hAnsi="Calibri"/>
          <w:b/>
          <w:bCs/>
          <w:color w:val="1F3864"/>
          <w:sz w:val="56"/>
          <w:szCs w:val="56"/>
        </w:rPr>
        <w:t xml:space="preserve">Context &amp; Scope</w:t>
      </w:r>
    </w:p>
    <w:p>
      <w:pPr>
        <w:pStyle w:val="Heading1"/>
        <w:pageBreakBefore/>
        <w:spacing w:after="240" w:before="0"/>
      </w:pPr>
      <w:r>
        <w:rPr>
          <w:rFonts w:ascii="Calibri" w:cs="Calibri" w:eastAsia="Calibri" w:hAnsi="Calibri"/>
          <w:b/>
          <w:bCs/>
          <w:color w:val="1F3864"/>
          <w:sz w:val="36"/>
          <w:szCs w:val="36"/>
        </w:rPr>
        <w:t xml:space="preserve">8. Business Context — The Policy Exchange</w:t>
      </w:r>
    </w:p>
    <w:p>
      <w:pPr>
        <w:spacing w:after="120" w:before="0"/>
      </w:pPr>
      <w:r>
        <w:rPr>
          <w:rFonts w:ascii="Calibri" w:cs="Calibri" w:eastAsia="Calibri" w:hAnsi="Calibri"/>
          <w:color w:val="1A1A1A"/>
          <w:sz w:val="20"/>
          <w:szCs w:val="20"/>
        </w:rPr>
        <w:t xml:space="preserve">The Policy Exchange (“TPE”), operating under Fairvalue Insuretech Pvt. Ltd., is a Noida-headquartered insurtech founded in 2022 by Naveen Gupta, Safia Anwar and Tarun Bahri. TPE has raised approximately USD 2.49M across four rounds, including a USD 1.5M Pre-Series B (November 2025) led by VLS Finance, True Blue Holding and 1Crowd. TPE’s stated goal is to safeguard one million policyholders over the next three years.</w:t>
      </w:r>
    </w:p>
    <w:p>
      <w:pPr>
        <w:pStyle w:val="Heading3"/>
        <w:spacing w:after="100" w:before="200"/>
      </w:pPr>
      <w:r>
        <w:rPr>
          <w:rFonts w:ascii="Calibri" w:cs="Calibri" w:eastAsia="Calibri" w:hAnsi="Calibri"/>
          <w:b/>
          <w:bCs/>
          <w:color w:val="1A1A1A"/>
          <w:sz w:val="24"/>
          <w:szCs w:val="24"/>
        </w:rPr>
        <w:t xml:space="preserve">Two-sided business model</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8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Side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Customer</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Value provided</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Communication character</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Sell-side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Policyholders unable or unwilling to continue paying premiums</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Surrender value paid up-front; premium obligation transferred to investor</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Empathetic, simple, reassuring; often in vernacular</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Buy-side</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Retail and HNI investors seeking stable yield (~12–14% claimed)</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Access to pre-owned policies as an investable asset class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Professional, data-led, opportunity-framed; long-running for 10–25 years</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B2B</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11 insurance carriers (Aditya Birla, Aviva, Bajaj, Bharti, Edelweiss, Generali, India First, Bandhan, Reliance, Ageas, ...)</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continuity; formal assignment intimation; reconciliation</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Formal, structured, attachment-heavy (MIS files)</w:t>
            </w:r>
          </w:p>
        </w:tc>
      </w:tr>
    </w:tbl>
    <w:p>
      <w:pPr>
        <w:pStyle w:val="Heading3"/>
        <w:spacing w:after="100" w:before="200"/>
      </w:pPr>
      <w:r>
        <w:rPr>
          <w:rFonts w:ascii="Calibri" w:cs="Calibri" w:eastAsia="Calibri" w:hAnsi="Calibri"/>
          <w:b/>
          <w:bCs/>
          <w:color w:val="1A1A1A"/>
          <w:sz w:val="24"/>
          <w:szCs w:val="24"/>
        </w:rPr>
        <w:t xml:space="preserve">Adjacent products</w:t>
      </w:r>
    </w:p>
    <w:p>
      <w:pPr>
        <w:pStyle w:val="ListParagraph"/>
        <w:numPr>
          <w:ilvl w:val="0"/>
          <w:numId w:val="2"/>
        </w:numPr>
        <w:spacing w:after="80"/>
      </w:pPr>
      <w:r>
        <w:rPr>
          <w:rFonts w:ascii="Calibri" w:cs="Calibri" w:eastAsia="Calibri" w:hAnsi="Calibri"/>
          <w:color w:val="1A1A1A"/>
          <w:sz w:val="20"/>
          <w:szCs w:val="20"/>
        </w:rPr>
        <w:t xml:space="preserve">Loan against insurance policy — liquidity without surrender; introduces a multi-year EMI communication track.</w:t>
      </w:r>
    </w:p>
    <w:p>
      <w:pPr>
        <w:pStyle w:val="ListParagraph"/>
        <w:numPr>
          <w:ilvl w:val="0"/>
          <w:numId w:val="2"/>
        </w:numPr>
        <w:spacing w:after="80"/>
      </w:pPr>
      <w:r>
        <w:rPr>
          <w:rFonts w:ascii="Calibri" w:cs="Calibri" w:eastAsia="Calibri" w:hAnsi="Calibri"/>
          <w:color w:val="1A1A1A"/>
          <w:sz w:val="20"/>
          <w:szCs w:val="20"/>
        </w:rPr>
        <w:t xml:space="preserve">Maturity / claim coordination on assigned policies — TPE acts as agent between insurer and assignee investor.</w:t>
      </w:r>
    </w:p>
    <w:p>
      <w:pPr>
        <w:pStyle w:val="ListParagraph"/>
        <w:numPr>
          <w:ilvl w:val="0"/>
          <w:numId w:val="2"/>
        </w:numPr>
        <w:spacing w:after="80"/>
      </w:pPr>
      <w:r>
        <w:rPr>
          <w:rFonts w:ascii="Calibri" w:cs="Calibri" w:eastAsia="Calibri" w:hAnsi="Calibri"/>
          <w:color w:val="1A1A1A"/>
          <w:sz w:val="20"/>
          <w:szCs w:val="20"/>
        </w:rPr>
        <w:t xml:space="preserve">Future: re-investment products that roll matured policy proceeds into new assignments.</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Why this is different from generic insurance comms.</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Standard carriers communicate with one party (the policyholder). TPE communicates with up to five parties about the same policy (seller, buyer, carrier, internal ops, regulator), often simultaneously, and continues investor communication for the entire remaining term of the policy — which can exceed two decades. A copy-paste-from-Gmail approach does not scale past a few hundred active policies; the operational risk (missed premium → lapsed policy → litigation from investor) grows linearly with policy count.</w:t>
            </w:r>
          </w:p>
        </w:tc>
      </w:tr>
    </w:tbl>
    <w:p>
      <w:pPr>
        <w:pStyle w:val="Heading1"/>
        <w:pageBreakBefore/>
        <w:spacing w:after="240" w:before="0"/>
      </w:pPr>
      <w:r>
        <w:rPr>
          <w:rFonts w:ascii="Calibri" w:cs="Calibri" w:eastAsia="Calibri" w:hAnsi="Calibri"/>
          <w:b/>
          <w:bCs/>
          <w:color w:val="1F3864"/>
          <w:sz w:val="36"/>
          <w:szCs w:val="36"/>
        </w:rPr>
        <w:t xml:space="preserve">9. Problem Statement &amp; Current State</w:t>
      </w:r>
    </w:p>
    <w:p>
      <w:pPr>
        <w:spacing w:after="120" w:before="0"/>
      </w:pPr>
      <w:r>
        <w:rPr>
          <w:rFonts w:ascii="Calibri" w:cs="Calibri" w:eastAsia="Calibri" w:hAnsi="Calibri"/>
          <w:color w:val="1A1A1A"/>
          <w:sz w:val="20"/>
          <w:szCs w:val="20"/>
        </w:rPr>
        <w:t xml:space="preserve">The findings below were observed during scoping conversations with TPE Operations and CX leadership in April 2026. They constitute the baseline against which the v1 success criteria (Section 10) are measured.</w:t>
      </w:r>
    </w:p>
    <w:p>
      <w:pPr>
        <w:pStyle w:val="Heading3"/>
        <w:spacing w:after="100" w:before="200"/>
      </w:pPr>
      <w:r>
        <w:rPr>
          <w:rFonts w:ascii="Calibri" w:cs="Calibri" w:eastAsia="Calibri" w:hAnsi="Calibri"/>
          <w:b/>
          <w:bCs/>
          <w:color w:val="1A1A1A"/>
          <w:sz w:val="24"/>
          <w:szCs w:val="24"/>
        </w:rPr>
        <w:t xml:space="preserve">Observed today</w:t>
      </w:r>
    </w:p>
    <w:p>
      <w:pPr>
        <w:pStyle w:val="ListParagraph"/>
        <w:numPr>
          <w:ilvl w:val="0"/>
          <w:numId w:val="2"/>
        </w:numPr>
        <w:spacing w:after="80"/>
      </w:pPr>
      <w:r>
        <w:rPr>
          <w:rFonts w:ascii="Calibri" w:cs="Calibri" w:eastAsia="Calibri" w:hAnsi="Calibri"/>
          <w:color w:val="1A1A1A"/>
          <w:sz w:val="20"/>
          <w:szCs w:val="20"/>
        </w:rPr>
        <w:t xml:space="preserve">Communication content is maintained as informal spreadsheets and free-text drafts in individual inboxes; no canonical source of truth.</w:t>
      </w:r>
    </w:p>
    <w:p>
      <w:pPr>
        <w:pStyle w:val="ListParagraph"/>
        <w:numPr>
          <w:ilvl w:val="0"/>
          <w:numId w:val="2"/>
        </w:numPr>
        <w:spacing w:after="80"/>
      </w:pPr>
      <w:r>
        <w:rPr>
          <w:rFonts w:ascii="Calibri" w:cs="Calibri" w:eastAsia="Calibri" w:hAnsi="Calibri"/>
          <w:color w:val="1A1A1A"/>
          <w:sz w:val="20"/>
          <w:szCs w:val="20"/>
        </w:rPr>
        <w:t xml:space="preserve">No version history — when copy is updated, the prior version and the rationale for the change are lost.</w:t>
      </w:r>
    </w:p>
    <w:p>
      <w:pPr>
        <w:pStyle w:val="ListParagraph"/>
        <w:numPr>
          <w:ilvl w:val="0"/>
          <w:numId w:val="2"/>
        </w:numPr>
        <w:spacing w:after="80"/>
      </w:pPr>
      <w:r>
        <w:rPr>
          <w:rFonts w:ascii="Calibri" w:cs="Calibri" w:eastAsia="Calibri" w:hAnsi="Calibri"/>
          <w:color w:val="1A1A1A"/>
          <w:sz w:val="20"/>
          <w:szCs w:val="20"/>
        </w:rPr>
        <w:t xml:space="preserve">No compliance lint — DLT-template-id, IRDAI mandatory disclosures, WhatsApp BSP category and opt-out footers are checked manually, if at all.</w:t>
      </w:r>
    </w:p>
    <w:p>
      <w:pPr>
        <w:pStyle w:val="ListParagraph"/>
        <w:numPr>
          <w:ilvl w:val="0"/>
          <w:numId w:val="2"/>
        </w:numPr>
        <w:spacing w:after="80"/>
      </w:pPr>
      <w:r>
        <w:rPr>
          <w:rFonts w:ascii="Calibri" w:cs="Calibri" w:eastAsia="Calibri" w:hAnsi="Calibri"/>
          <w:color w:val="1A1A1A"/>
          <w:sz w:val="20"/>
          <w:szCs w:val="20"/>
        </w:rPr>
        <w:t xml:space="preserve">No reuse — a generic OTP message exists in three different forms across Registration, e-Sign and Login flows.</w:t>
      </w:r>
    </w:p>
    <w:p>
      <w:pPr>
        <w:pStyle w:val="ListParagraph"/>
        <w:numPr>
          <w:ilvl w:val="0"/>
          <w:numId w:val="2"/>
        </w:numPr>
        <w:spacing w:after="80"/>
      </w:pPr>
      <w:r>
        <w:rPr>
          <w:rFonts w:ascii="Calibri" w:cs="Calibri" w:eastAsia="Calibri" w:hAnsi="Calibri"/>
          <w:color w:val="1A1A1A"/>
          <w:sz w:val="20"/>
          <w:szCs w:val="20"/>
        </w:rPr>
        <w:t xml:space="preserve">No multi-channel parity — the same message intent rendered in Email and WhatsApp can drift in tone, factual content and disclaimers.</w:t>
      </w:r>
    </w:p>
    <w:p>
      <w:pPr>
        <w:pStyle w:val="ListParagraph"/>
        <w:numPr>
          <w:ilvl w:val="0"/>
          <w:numId w:val="2"/>
        </w:numPr>
        <w:spacing w:after="80"/>
      </w:pPr>
      <w:r>
        <w:rPr>
          <w:rFonts w:ascii="Calibri" w:cs="Calibri" w:eastAsia="Calibri" w:hAnsi="Calibri"/>
          <w:color w:val="1A1A1A"/>
          <w:sz w:val="20"/>
          <w:szCs w:val="20"/>
        </w:rPr>
        <w:t xml:space="preserve">No structured cadence model — escalation rules (e.g. KYC nudge weekly × 4 then monthly × 4 then close) live in operator memory.</w:t>
      </w:r>
    </w:p>
    <w:p>
      <w:pPr>
        <w:pStyle w:val="ListParagraph"/>
        <w:numPr>
          <w:ilvl w:val="0"/>
          <w:numId w:val="2"/>
        </w:numPr>
        <w:spacing w:after="80"/>
      </w:pPr>
      <w:r>
        <w:rPr>
          <w:rFonts w:ascii="Calibri" w:cs="Calibri" w:eastAsia="Calibri" w:hAnsi="Calibri"/>
          <w:color w:val="1A1A1A"/>
          <w:sz w:val="20"/>
          <w:szCs w:val="20"/>
        </w:rPr>
        <w:t xml:space="preserve">No translation pipeline — Hindi or regional-language variants are produced ad-hoc per campaign.</w:t>
      </w:r>
    </w:p>
    <w:p>
      <w:pPr>
        <w:pStyle w:val="ListParagraph"/>
        <w:numPr>
          <w:ilvl w:val="0"/>
          <w:numId w:val="2"/>
        </w:numPr>
        <w:spacing w:after="80"/>
      </w:pPr>
      <w:r>
        <w:rPr>
          <w:rFonts w:ascii="Calibri" w:cs="Calibri" w:eastAsia="Calibri" w:hAnsi="Calibri"/>
          <w:color w:val="1A1A1A"/>
          <w:sz w:val="20"/>
          <w:szCs w:val="20"/>
        </w:rPr>
        <w:t xml:space="preserve">Limited audit trail — when a regulator or investor questions a communication, reconstructing what was sent, when, and why is non-trivial.</w:t>
      </w:r>
    </w:p>
    <w:p>
      <w:pPr>
        <w:pStyle w:val="Heading3"/>
        <w:spacing w:after="100" w:before="200"/>
      </w:pPr>
      <w:r>
        <w:rPr>
          <w:rFonts w:ascii="Calibri" w:cs="Calibri" w:eastAsia="Calibri" w:hAnsi="Calibri"/>
          <w:b/>
          <w:bCs/>
          <w:color w:val="1A1A1A"/>
          <w:sz w:val="24"/>
          <w:szCs w:val="24"/>
        </w:rPr>
        <w:t xml:space="preserve">Cost of the status quo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74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Risk</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Likely</w:t>
            </w:r>
          </w:p>
        </w:tc>
        <w:tc>
          <w:tcPr>
            <w:tcW w:type="dxa" w:w="4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Indicative impact</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Missed investor premium reminder → policy lapse → investor loss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lawsuit + reputational harm + regulator scrutiny</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Non-DLT compliant SMS → DOT block of sender ID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transactional SMS halted across audiences for 24–72h</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template miscategorised (Promotional vs Utility)</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rejection, delivery delay, BSP fines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Missing IRDAI mandatory disclosure on promo material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Medium</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Show-cause notice, mandatory withdrawal of campaign</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Inconsistent tone across channels for same trigger</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4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Customer confusion, increased support load</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Lost institutional knowledge when ops staff change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w:t>
            </w:r>
          </w:p>
        </w:tc>
        <w:tc>
          <w:tcPr>
            <w:tcW w:type="dxa" w:w="4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Quality regression, longer ramp-up for new hires</w:t>
            </w:r>
          </w:p>
        </w:tc>
      </w:tr>
    </w:tbl>
    <w:p>
      <w:pPr>
        <w:pStyle w:val="Heading1"/>
        <w:pageBreakBefore/>
        <w:spacing w:after="240" w:before="0"/>
      </w:pPr>
      <w:r>
        <w:rPr>
          <w:rFonts w:ascii="Calibri" w:cs="Calibri" w:eastAsia="Calibri" w:hAnsi="Calibri"/>
          <w:b/>
          <w:bCs/>
          <w:color w:val="1F3864"/>
          <w:sz w:val="36"/>
          <w:szCs w:val="36"/>
        </w:rPr>
        <w:t xml:space="preserve">10. Project Vision, Objectives &amp; Success Metrics</w:t>
      </w:r>
    </w:p>
    <w:p>
      <w:pPr>
        <w:pStyle w:val="Heading3"/>
        <w:spacing w:after="100" w:before="200"/>
      </w:pPr>
      <w:r>
        <w:rPr>
          <w:rFonts w:ascii="Calibri" w:cs="Calibri" w:eastAsia="Calibri" w:hAnsi="Calibri"/>
          <w:b/>
          <w:bCs/>
          <w:color w:val="1A1A1A"/>
          <w:sz w:val="24"/>
          <w:szCs w:val="24"/>
        </w:rPr>
        <w:t xml:space="preserve">Vision</w:t>
      </w:r>
    </w:p>
    <w:p>
      <w:pPr>
        <w:spacing w:after="120" w:before="0"/>
      </w:pPr>
      <w:r>
        <w:rPr>
          <w:rFonts w:ascii="Calibri" w:cs="Calibri" w:eastAsia="Calibri" w:hAnsi="Calibri"/>
          <w:color w:val="1A1A1A"/>
          <w:sz w:val="20"/>
          <w:szCs w:val="20"/>
        </w:rPr>
        <w:t xml:space="preserve">Every TPE communication is authored once, approved once, rendered consistently across every channel and language, and shipped only after passing automated compliance checks — with full version history available for audit and continuous improvement.</w:t>
      </w:r>
    </w:p>
    <w:p>
      <w:pPr>
        <w:pStyle w:val="Heading3"/>
        <w:spacing w:after="100" w:before="200"/>
      </w:pPr>
      <w:r>
        <w:rPr>
          <w:rFonts w:ascii="Calibri" w:cs="Calibri" w:eastAsia="Calibri" w:hAnsi="Calibri"/>
          <w:b/>
          <w:bCs/>
          <w:color w:val="1A1A1A"/>
          <w:sz w:val="24"/>
          <w:szCs w:val="24"/>
        </w:rPr>
        <w:t xml:space="preserve">Measurable objectives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000"/>
        <w:gridCol w:w="26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Objective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 metric</w:t>
            </w:r>
          </w:p>
        </w:tc>
        <w:tc>
          <w:tcPr>
            <w:tcW w:type="dxa" w:w="2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Baseline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O1</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Centralise communication content into a single versioned library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of v1 triggers covered (49/49)</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O2</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Eliminate manual compliance review for routine messages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95% of templates pass auto-lint pre-review</w:t>
            </w:r>
          </w:p>
        </w:tc>
        <w:tc>
          <w:tcPr>
            <w:tcW w:type="dxa" w:w="2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Manual on every template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O3</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Reduce time to author and approve a new message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minutes from draft to approved</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 hours typical</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O4</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Enable safe multi-language expansion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Hindi variants for 100% of PH-facing templates</w:t>
            </w:r>
          </w:p>
        </w:tc>
        <w:tc>
          <w:tcPr>
            <w:tcW w:type="dxa" w:w="2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Ad-hoc, partial</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O5</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 audit-grade evidence of every dispatched message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messages traceable to a versioned template</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Reconstructed manually</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O6</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Reduce investor premium-default rate via reliable cadence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Default-rate decline of ≥ 20% within 6 months of go-live</w:t>
            </w:r>
          </w:p>
        </w:tc>
        <w:tc>
          <w:tcPr>
            <w:tcW w:type="dxa" w:w="2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Current internal benchmark</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O7</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Reduce ops-team time spent on routine drafting</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Save ≥ 20 person-hours / week within 90 days of go-live</w:t>
            </w:r>
          </w:p>
        </w:tc>
        <w:tc>
          <w:tcPr>
            <w:tcW w:type="dxa" w:w="2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How we measure value, not hype.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Each objective has a target and a baseline. If the improvement against baseline is not evident at the 6-month review, the corresponding capability is reconsidered or removed. Vanity metrics (template count, lines of code, slash commands shipped) are explicitly out of scope for success measurement.</w:t>
            </w:r>
          </w:p>
        </w:tc>
      </w:tr>
    </w:tbl>
    <w:p>
      <w:pPr>
        <w:pStyle w:val="Heading1"/>
        <w:pageBreakBefore/>
        <w:spacing w:after="240" w:before="0"/>
      </w:pPr>
      <w:r>
        <w:rPr>
          <w:rFonts w:ascii="Calibri" w:cs="Calibri" w:eastAsia="Calibri" w:hAnsi="Calibri"/>
          <w:b/>
          <w:bCs/>
          <w:color w:val="1F3864"/>
          <w:sz w:val="36"/>
          <w:szCs w:val="36"/>
        </w:rPr>
        <w:t xml:space="preserve">11. Scope</w:t>
      </w:r>
    </w:p>
    <w:p>
      <w:pPr>
        <w:pStyle w:val="Heading2"/>
        <w:spacing w:after="140" w:before="280"/>
      </w:pPr>
      <w:r>
        <w:rPr>
          <w:rFonts w:ascii="Calibri" w:cs="Calibri" w:eastAsia="Calibri" w:hAnsi="Calibri"/>
          <w:b/>
          <w:bCs/>
          <w:color w:val="1F3864"/>
          <w:sz w:val="28"/>
          <w:szCs w:val="28"/>
        </w:rPr>
        <w:t xml:space="preserve">11.1  In Scope</w:t>
      </w:r>
    </w:p>
    <w:p>
      <w:pPr>
        <w:pStyle w:val="ListParagraph"/>
        <w:numPr>
          <w:ilvl w:val="0"/>
          <w:numId w:val="2"/>
        </w:numPr>
        <w:spacing w:after="80"/>
      </w:pPr>
      <w:r>
        <w:rPr>
          <w:rFonts w:ascii="Calibri" w:cs="Calibri" w:eastAsia="Calibri" w:hAnsi="Calibri"/>
          <w:color w:val="1A1A1A"/>
          <w:sz w:val="20"/>
          <w:szCs w:val="20"/>
        </w:rPr>
        <w:t xml:space="preserve">Self-hosted Novu deployment on Client-controlled infrastructure in India (AWS Mumbai or equivalent), including Postgres, MongoDB, Redis, and Novu API + Worker + Web services.</w:t>
      </w:r>
    </w:p>
    <w:p>
      <w:pPr>
        <w:pStyle w:val="ListParagraph"/>
        <w:numPr>
          <w:ilvl w:val="0"/>
          <w:numId w:val="2"/>
        </w:numPr>
        <w:spacing w:after="80"/>
      </w:pPr>
      <w:r>
        <w:rPr>
          <w:rFonts w:ascii="Calibri" w:cs="Calibri" w:eastAsia="Calibri" w:hAnsi="Calibri"/>
          <w:color w:val="1A1A1A"/>
          <w:sz w:val="20"/>
          <w:szCs w:val="20"/>
        </w:rPr>
        <w:t xml:space="preserve">Forty-nine Novu workflows authored in TypeScript (Novu Framework), one per lifecycle trigger, covering PH (18), INV (16), INS (6), OPS (6) and REG (3).</w:t>
      </w:r>
    </w:p>
    <w:p>
      <w:pPr>
        <w:pStyle w:val="ListParagraph"/>
        <w:numPr>
          <w:ilvl w:val="0"/>
          <w:numId w:val="2"/>
        </w:numPr>
        <w:spacing w:after="80"/>
      </w:pPr>
      <w:r>
        <w:rPr>
          <w:rFonts w:ascii="Calibri" w:cs="Calibri" w:eastAsia="Calibri" w:hAnsi="Calibri"/>
          <w:color w:val="1A1A1A"/>
          <w:sz w:val="20"/>
          <w:szCs w:val="20"/>
        </w:rPr>
        <w:t xml:space="preserve">Novu template / content authoring for Email, SMS, WhatsApp and RCS channels, in EN and HI for v1, with subscriber-preference and digest support.</w:t>
      </w:r>
    </w:p>
    <w:p>
      <w:pPr>
        <w:pStyle w:val="ListParagraph"/>
        <w:numPr>
          <w:ilvl w:val="0"/>
          <w:numId w:val="2"/>
        </w:numPr>
        <w:spacing w:after="80"/>
      </w:pPr>
      <w:r>
        <w:rPr>
          <w:rFonts w:ascii="Calibri" w:cs="Calibri" w:eastAsia="Calibri" w:hAnsi="Calibri"/>
          <w:color w:val="1A1A1A"/>
          <w:sz w:val="20"/>
          <w:szCs w:val="20"/>
        </w:rPr>
        <w:t xml:space="preserve">Channel-provider integrations: Gupshup configured natively (Novu has first-class support for DLT Principal Entity ID and DLT Template ID overrides); MSG91 and Karix delivered as custom Novu provider plugins built and tested in this engagement.</w:t>
      </w:r>
    </w:p>
    <w:p>
      <w:pPr>
        <w:pStyle w:val="ListParagraph"/>
        <w:numPr>
          <w:ilvl w:val="0"/>
          <w:numId w:val="2"/>
        </w:numPr>
        <w:spacing w:after="80"/>
      </w:pPr>
      <w:r>
        <w:rPr>
          <w:rFonts w:ascii="Calibri" w:cs="Calibri" w:eastAsia="Calibri" w:hAnsi="Calibri"/>
          <w:color w:val="1A1A1A"/>
          <w:sz w:val="20"/>
          <w:szCs w:val="20"/>
        </w:rPr>
        <w:t xml:space="preserve">Custom compliance middleware (Novu Framework custom step) that enforces DLT, IRDAI, WhatsApp BSP and DPDPA rules at workflow execution time — prior to provider dispatch — with documented rule definitions.</w:t>
      </w:r>
    </w:p>
    <w:p>
      <w:pPr>
        <w:pStyle w:val="ListParagraph"/>
        <w:numPr>
          <w:ilvl w:val="0"/>
          <w:numId w:val="2"/>
        </w:numPr>
        <w:spacing w:after="80"/>
      </w:pPr>
      <w:r>
        <w:rPr>
          <w:rFonts w:ascii="Calibri" w:cs="Calibri" w:eastAsia="Calibri" w:hAnsi="Calibri"/>
          <w:color w:val="1A1A1A"/>
          <w:sz w:val="20"/>
          <w:szCs w:val="20"/>
        </w:rPr>
        <w:t xml:space="preserve">Multi-tenant insurer routing: eleven carrier-specific sender identities, MIS attachment rules, and escalation tracks recognised at the workflow layer.</w:t>
      </w:r>
    </w:p>
    <w:p>
      <w:pPr>
        <w:pStyle w:val="ListParagraph"/>
        <w:numPr>
          <w:ilvl w:val="0"/>
          <w:numId w:val="2"/>
        </w:numPr>
        <w:spacing w:after="80"/>
      </w:pPr>
      <w:r>
        <w:rPr>
          <w:rFonts w:ascii="Calibri" w:cs="Calibri" w:eastAsia="Calibri" w:hAnsi="Calibri"/>
          <w:color w:val="1A1A1A"/>
          <w:sz w:val="20"/>
          <w:szCs w:val="20"/>
        </w:rPr>
        <w:t xml:space="preserve">Observability stack: structured logs, dispatch metrics (success / failure / latency), per-workflow audit trail with PII masking, and a per-message audit-export endpoint.</w:t>
      </w:r>
    </w:p>
    <w:p>
      <w:pPr>
        <w:pStyle w:val="ListParagraph"/>
        <w:numPr>
          <w:ilvl w:val="0"/>
          <w:numId w:val="2"/>
        </w:numPr>
        <w:spacing w:after="80"/>
      </w:pPr>
      <w:r>
        <w:rPr>
          <w:rFonts w:ascii="Calibri" w:cs="Calibri" w:eastAsia="Calibri" w:hAnsi="Calibri"/>
          <w:color w:val="1A1A1A"/>
          <w:sz w:val="20"/>
          <w:szCs w:val="20"/>
        </w:rPr>
        <w:t xml:space="preserve">Subscriber data model and one-time sync from existing TPE customer-data store into Novu subscribers (with ongoing sync recommendations documented).</w:t>
      </w:r>
    </w:p>
    <w:p>
      <w:pPr>
        <w:pStyle w:val="ListParagraph"/>
        <w:numPr>
          <w:ilvl w:val="0"/>
          <w:numId w:val="2"/>
        </w:numPr>
        <w:spacing w:after="80"/>
      </w:pPr>
      <w:r>
        <w:rPr>
          <w:rFonts w:ascii="Calibri" w:cs="Calibri" w:eastAsia="Calibri" w:hAnsi="Calibri"/>
          <w:color w:val="1A1A1A"/>
          <w:sz w:val="20"/>
          <w:szCs w:val="20"/>
        </w:rPr>
        <w:t xml:space="preserve">Documentation: this SOW, infrastructure runbook, workflow-author guide, compliance reference card, custom-provider plugin docs, and ops runbook for self-hosted Novu.</w:t>
      </w:r>
    </w:p>
    <w:p>
      <w:pPr>
        <w:pStyle w:val="ListParagraph"/>
        <w:numPr>
          <w:ilvl w:val="0"/>
          <w:numId w:val="2"/>
        </w:numPr>
        <w:spacing w:after="80"/>
      </w:pPr>
      <w:r>
        <w:rPr>
          <w:rFonts w:ascii="Calibri" w:cs="Calibri" w:eastAsia="Calibri" w:hAnsi="Calibri"/>
          <w:color w:val="1A1A1A"/>
          <w:sz w:val="20"/>
          <w:szCs w:val="20"/>
        </w:rPr>
        <w:t xml:space="preserve">Test packs covering schema, lint middleware, render goldens, workflow execution and provider plugins.</w:t>
      </w:r>
    </w:p>
    <w:p>
      <w:pPr>
        <w:pStyle w:val="ListParagraph"/>
        <w:numPr>
          <w:ilvl w:val="0"/>
          <w:numId w:val="2"/>
        </w:numPr>
        <w:spacing w:after="80"/>
      </w:pPr>
      <w:r>
        <w:rPr>
          <w:rFonts w:ascii="Calibri" w:cs="Calibri" w:eastAsia="Calibri" w:hAnsi="Calibri"/>
          <w:color w:val="1A1A1A"/>
          <w:sz w:val="20"/>
          <w:szCs w:val="20"/>
        </w:rPr>
        <w:t xml:space="preserve">Production cutover and one-week hypercare at end of P5.</w:t>
      </w:r>
    </w:p>
    <w:p>
      <w:pPr>
        <w:pStyle w:val="Heading2"/>
        <w:spacing w:after="140" w:before="280"/>
      </w:pPr>
      <w:r>
        <w:rPr>
          <w:rFonts w:ascii="Calibri" w:cs="Calibri" w:eastAsia="Calibri" w:hAnsi="Calibri"/>
          <w:b/>
          <w:bCs/>
          <w:color w:val="1F3864"/>
          <w:sz w:val="28"/>
          <w:szCs w:val="28"/>
        </w:rPr>
        <w:t xml:space="preserve">11.2  Out of Scope (v1)</w:t>
      </w:r>
    </w:p>
    <w:p>
      <w:pPr>
        <w:pStyle w:val="ListParagraph"/>
        <w:numPr>
          <w:ilvl w:val="0"/>
          <w:numId w:val="2"/>
        </w:numPr>
        <w:spacing w:after="80"/>
      </w:pPr>
      <w:r>
        <w:rPr>
          <w:rFonts w:ascii="Calibri" w:cs="Calibri" w:eastAsia="Calibri" w:hAnsi="Calibri"/>
          <w:color w:val="1A1A1A"/>
          <w:sz w:val="20"/>
          <w:szCs w:val="20"/>
        </w:rPr>
        <w:t xml:space="preserve">Novu Cloud or any non-India-resident managed Novu offering.</w:t>
      </w:r>
    </w:p>
    <w:p>
      <w:pPr>
        <w:pStyle w:val="ListParagraph"/>
        <w:numPr>
          <w:ilvl w:val="0"/>
          <w:numId w:val="2"/>
        </w:numPr>
        <w:spacing w:after="80"/>
      </w:pPr>
      <w:r>
        <w:rPr>
          <w:rFonts w:ascii="Calibri" w:cs="Calibri" w:eastAsia="Calibri" w:hAnsi="Calibri"/>
          <w:color w:val="1A1A1A"/>
          <w:sz w:val="20"/>
          <w:szCs w:val="20"/>
        </w:rPr>
        <w:t xml:space="preserve">Customer-data store / CRM functionality. Novu consumes existing TPE data via subscribers; it is not a system of record for customer master data.</w:t>
      </w:r>
    </w:p>
    <w:p>
      <w:pPr>
        <w:pStyle w:val="ListParagraph"/>
        <w:numPr>
          <w:ilvl w:val="0"/>
          <w:numId w:val="2"/>
        </w:numPr>
        <w:spacing w:after="80"/>
      </w:pPr>
      <w:r>
        <w:rPr>
          <w:rFonts w:ascii="Calibri" w:cs="Calibri" w:eastAsia="Calibri" w:hAnsi="Calibri"/>
          <w:color w:val="1A1A1A"/>
          <w:sz w:val="20"/>
          <w:szCs w:val="20"/>
        </w:rPr>
        <w:t xml:space="preserve">Real-time analytics / BI dashboards on delivery rates beyond the engagement’s observability stack. Existing tools to be used.</w:t>
      </w:r>
    </w:p>
    <w:p>
      <w:pPr>
        <w:pStyle w:val="ListParagraph"/>
        <w:numPr>
          <w:ilvl w:val="0"/>
          <w:numId w:val="2"/>
        </w:numPr>
        <w:spacing w:after="80"/>
      </w:pPr>
      <w:r>
        <w:rPr>
          <w:rFonts w:ascii="Calibri" w:cs="Calibri" w:eastAsia="Calibri" w:hAnsi="Calibri"/>
          <w:color w:val="1A1A1A"/>
          <w:sz w:val="20"/>
          <w:szCs w:val="20"/>
        </w:rPr>
        <w:t xml:space="preserve">Voice / IVR scripting beyond brief reference notes within workflows.</w:t>
      </w:r>
    </w:p>
    <w:p>
      <w:pPr>
        <w:pStyle w:val="ListParagraph"/>
        <w:numPr>
          <w:ilvl w:val="0"/>
          <w:numId w:val="2"/>
        </w:numPr>
        <w:spacing w:after="80"/>
      </w:pPr>
      <w:r>
        <w:rPr>
          <w:rFonts w:ascii="Calibri" w:cs="Calibri" w:eastAsia="Calibri" w:hAnsi="Calibri"/>
          <w:color w:val="1A1A1A"/>
          <w:sz w:val="20"/>
          <w:szCs w:val="20"/>
        </w:rPr>
        <w:t xml:space="preserve">Sentiment analysis or NLP-based reply handling.</w:t>
      </w:r>
    </w:p>
    <w:p>
      <w:pPr>
        <w:pStyle w:val="ListParagraph"/>
        <w:numPr>
          <w:ilvl w:val="0"/>
          <w:numId w:val="2"/>
        </w:numPr>
        <w:spacing w:after="80"/>
      </w:pPr>
      <w:r>
        <w:rPr>
          <w:rFonts w:ascii="Calibri" w:cs="Calibri" w:eastAsia="Calibri" w:hAnsi="Calibri"/>
          <w:color w:val="1A1A1A"/>
          <w:sz w:val="20"/>
          <w:szCs w:val="20"/>
        </w:rPr>
        <w:t xml:space="preserve">AI-generated copy at runtime. All content is human-authored and approved; AI assists during authoring only.</w:t>
      </w:r>
    </w:p>
    <w:p>
      <w:pPr>
        <w:pStyle w:val="ListParagraph"/>
        <w:numPr>
          <w:ilvl w:val="0"/>
          <w:numId w:val="2"/>
        </w:numPr>
        <w:spacing w:after="80"/>
      </w:pPr>
      <w:r>
        <w:rPr>
          <w:rFonts w:ascii="Calibri" w:cs="Calibri" w:eastAsia="Calibri" w:hAnsi="Calibri"/>
          <w:color w:val="1A1A1A"/>
          <w:sz w:val="20"/>
          <w:szCs w:val="20"/>
        </w:rPr>
        <w:t xml:space="preserve">Replacement of the existing MIS Pipeline that serves INS-02 attachments — it remains; Novu workflows trigger and reference it.</w:t>
      </w:r>
    </w:p>
    <w:p>
      <w:pPr>
        <w:pStyle w:val="ListParagraph"/>
        <w:numPr>
          <w:ilvl w:val="0"/>
          <w:numId w:val="2"/>
        </w:numPr>
        <w:spacing w:after="80"/>
      </w:pPr>
      <w:r>
        <w:rPr>
          <w:rFonts w:ascii="Calibri" w:cs="Calibri" w:eastAsia="Calibri" w:hAnsi="Calibri"/>
          <w:color w:val="1A1A1A"/>
          <w:sz w:val="20"/>
          <w:szCs w:val="20"/>
        </w:rPr>
        <w:t xml:space="preserve">Hardening Novu itself beyond the supported configuration: forks, custom patches, or in-tree feature additions to the upstream Novu codebase.</w:t>
      </w:r>
    </w:p>
    <w:p>
      <w:pPr>
        <w:pStyle w:val="ListParagraph"/>
        <w:numPr>
          <w:ilvl w:val="0"/>
          <w:numId w:val="2"/>
        </w:numPr>
        <w:spacing w:after="80"/>
      </w:pPr>
      <w:r>
        <w:rPr>
          <w:rFonts w:ascii="Calibri" w:cs="Calibri" w:eastAsia="Calibri" w:hAnsi="Calibri"/>
          <w:color w:val="1A1A1A"/>
          <w:sz w:val="20"/>
          <w:szCs w:val="20"/>
        </w:rPr>
        <w:t xml:space="preserve">Channel-provider commercial contracts. The Client signs directly with Gupshup, MSG91 and Karix; the Consultant configures and integrates against Client-supplied credentials.</w:t>
      </w:r>
    </w:p>
    <w:p>
      <w:pPr>
        <w:pStyle w:val="ListParagraph"/>
        <w:numPr>
          <w:ilvl w:val="0"/>
          <w:numId w:val="2"/>
        </w:numPr>
        <w:spacing w:after="80"/>
      </w:pPr>
      <w:r>
        <w:rPr>
          <w:rFonts w:ascii="Calibri" w:cs="Calibri" w:eastAsia="Calibri" w:hAnsi="Calibri"/>
          <w:color w:val="1A1A1A"/>
          <w:sz w:val="20"/>
          <w:szCs w:val="20"/>
        </w:rPr>
        <w:t xml:space="preserve">DLT registration for sender IDs and template IDs is the Client’s responsibility; the Consultant provides templates and assists with format-correctness.</w:t>
      </w:r>
    </w:p>
    <w:p>
      <w:pPr>
        <w:pageBreakBefore/>
        <w:spacing w:after="200" w:before="4000"/>
        <w:jc w:val="center"/>
      </w:pPr>
      <w:r>
        <w:rPr>
          <w:rFonts w:ascii="Calibri" w:cs="Calibri" w:eastAsia="Calibri" w:hAnsi="Calibri"/>
          <w:b/>
          <w:bCs/>
          <w:caps/>
          <w:color w:val="808080"/>
          <w:sz w:val="22"/>
          <w:szCs w:val="22"/>
        </w:rPr>
        <w:t xml:space="preserve">Part III</w:t>
      </w:r>
    </w:p>
    <w:p>
      <w:pPr>
        <w:spacing w:after="1600" w:before="0"/>
        <w:jc w:val="center"/>
      </w:pPr>
      <w:r>
        <w:rPr>
          <w:rFonts w:ascii="Calibri" w:cs="Calibri" w:eastAsia="Calibri" w:hAnsi="Calibri"/>
          <w:b/>
          <w:bCs/>
          <w:color w:val="1F3864"/>
          <w:sz w:val="56"/>
          <w:szCs w:val="56"/>
        </w:rPr>
        <w:t xml:space="preserve">Stakeholders &amp; Audience</w:t>
      </w:r>
    </w:p>
    <w:p>
      <w:pPr>
        <w:pStyle w:val="Heading1"/>
        <w:pageBreakBefore/>
        <w:spacing w:after="240" w:before="0"/>
      </w:pPr>
      <w:r>
        <w:rPr>
          <w:rFonts w:ascii="Calibri" w:cs="Calibri" w:eastAsia="Calibri" w:hAnsi="Calibri"/>
          <w:b/>
          <w:bCs/>
          <w:color w:val="1F3864"/>
          <w:sz w:val="36"/>
          <w:szCs w:val="36"/>
        </w:rPr>
        <w:t xml:space="preserve">12. Stakeholder Register</w:t>
      </w:r>
    </w:p>
    <w:p>
      <w:pPr>
        <w:spacing w:after="120" w:before="0"/>
      </w:pPr>
      <w:r>
        <w:rPr>
          <w:rFonts w:ascii="Calibri" w:cs="Calibri" w:eastAsia="Calibri" w:hAnsi="Calibri"/>
          <w:color w:val="1A1A1A"/>
          <w:sz w:val="20"/>
          <w:szCs w:val="20"/>
        </w:rPr>
        <w:t xml:space="preserve">The RACI (Section 25) tells you who does what on a given activity. This register tells you who cares about the engagement, how much, and what they need to keep that interest constructive. Stakeholders are listed in priority order; engagement intensity is calibrated to influence × interest.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2700"/>
        <w:gridCol w:w="25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Stakeholder</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Influence</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Interest</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Concerns</w:t>
            </w:r>
          </w:p>
        </w:tc>
        <w:tc>
          <w:tcPr>
            <w:tcW w:type="dxa" w:w="2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Engagement</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Founders (Sponsors)</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Burn vs. impact; investor trust</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 weekly status</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integrations, tech-debt</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review; phase-gate sign-off</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Compliance</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 exposure; lint accuracy</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review queue</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CX</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 PH experience</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review queue</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Day-to-day workload; tooling</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working session</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Team</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clarity; standards</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standup; pair authoring</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(regulator)</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 compliance</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Indirect — via Compliance Lead</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 DLT operators</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template registration</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Indirect — via CTO at P5</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partners (11)</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 continuity; assignment SLA</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partner cadence; INS-02</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Investors (TPE customers)</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Reliable premium reminders</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Channelled via INV trigger flows</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Policyholders</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Empathetic, vernacular contact</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Channelled via PH trigger flows</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Audit</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Audit-trail quality</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Documented post-launch review</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Influence × Interest = engagement intensity.</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High-influence + high-interest stakeholders (founders, CTO, Compliance, CX) are managed closely with weekly contact and phase-gate sign-off. High-influence + low-interest stakeholders (IRDAI, TRAI) are kept satisfied via the Compliance Lead — they should not need to interact with this engagement directly. Low-influence + high-interest (PH, INV) are the reason the engagement exists — they are served via the trigger flows, not via direct project engagement.</w:t>
            </w:r>
          </w:p>
        </w:tc>
      </w:tr>
    </w:tbl>
    <w:p>
      <w:pPr>
        <w:pStyle w:val="Heading1"/>
        <w:pageBreakBefore/>
        <w:spacing w:after="240" w:before="0"/>
      </w:pPr>
      <w:r>
        <w:rPr>
          <w:rFonts w:ascii="Calibri" w:cs="Calibri" w:eastAsia="Calibri" w:hAnsi="Calibri"/>
          <w:b/>
          <w:bCs/>
          <w:color w:val="1F3864"/>
          <w:sz w:val="36"/>
          <w:szCs w:val="36"/>
        </w:rPr>
        <w:t xml:space="preserve">13. Audience Architecture</w:t>
      </w:r>
    </w:p>
    <w:p>
      <w:pPr>
        <w:spacing w:after="120" w:before="0"/>
      </w:pPr>
      <w:r>
        <w:rPr>
          <w:rFonts w:ascii="Calibri" w:cs="Calibri" w:eastAsia="Calibri" w:hAnsi="Calibri"/>
          <w:color w:val="1A1A1A"/>
          <w:sz w:val="20"/>
          <w:szCs w:val="20"/>
        </w:rPr>
        <w:t xml:space="preserve">Five audiences each with distinct voice, channel mix, compliance regime and sender identity. Treating them uniformly is the single largest source of avoidable error in insurance communication.</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2"/>
                <w:szCs w:val="22"/>
              </w:rPr>
              <w:t xml:space="preserve">Policyholder — Seller</w:t>
            </w:r>
          </w:p>
        </w:tc>
      </w:tr>
      <w:tr>
        <w:tc>
          <w:tcPr>
            <w:tcW w:type="dxa" w:w="9746"/>
            <w:tcBorders>
              <w:top w:val="single" w:color="BFBFBF" w:sz="4"/>
              <w:left w:val="single" w:color="BFBFBF" w:sz="4"/>
              <w:bottom w:val="single" w:color="BFBFBF" w:sz="4"/>
              <w:right w:val="single" w:color="BFBFBF"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1F3864"/>
                <w:sz w:val="18"/>
                <w:szCs w:val="18"/>
              </w:rPr>
              <w:t xml:space="preserve">Voice:  </w:t>
            </w:r>
            <w:r>
              <w:rPr>
                <w:rFonts w:ascii="Calibri" w:cs="Calibri" w:eastAsia="Calibri" w:hAnsi="Calibri"/>
                <w:color w:val="1A1A1A"/>
                <w:sz w:val="18"/>
                <w:szCs w:val="18"/>
              </w:rPr>
              <w:t xml:space="preserve">Empathetic, simple, reassuring; never urgency-marketing; vernacular-friendly</w:t>
            </w:r>
          </w:p>
          <w:p>
            <w:pPr>
              <w:spacing w:after="60"/>
            </w:pPr>
            <w:r>
              <w:rPr>
                <w:rFonts w:ascii="Calibri" w:cs="Calibri" w:eastAsia="Calibri" w:hAnsi="Calibri"/>
                <w:b/>
                <w:bCs/>
                <w:color w:val="1F3864"/>
                <w:sz w:val="18"/>
                <w:szCs w:val="18"/>
              </w:rPr>
              <w:t xml:space="preserve">Primary channels:  </w:t>
            </w:r>
            <w:r>
              <w:rPr>
                <w:rFonts w:ascii="Calibri" w:cs="Calibri" w:eastAsia="Calibri" w:hAnsi="Calibri"/>
                <w:color w:val="1A1A1A"/>
                <w:sz w:val="18"/>
                <w:szCs w:val="18"/>
              </w:rPr>
              <w:t xml:space="preserve">WhatsApp (primary), SMS, Email</w:t>
            </w:r>
          </w:p>
          <w:p>
            <w:pPr>
              <w:spacing w:after="60"/>
            </w:pPr>
            <w:r>
              <w:rPr>
                <w:rFonts w:ascii="Calibri" w:cs="Calibri" w:eastAsia="Calibri" w:hAnsi="Calibri"/>
                <w:b/>
                <w:bCs/>
                <w:color w:val="1F3864"/>
                <w:sz w:val="18"/>
                <w:szCs w:val="18"/>
              </w:rPr>
              <w:t xml:space="preserve">Compliance regime:  </w:t>
            </w:r>
            <w:r>
              <w:rPr>
                <w:rFonts w:ascii="Calibri" w:cs="Calibri" w:eastAsia="Calibri" w:hAnsi="Calibri"/>
                <w:color w:val="1A1A1A"/>
                <w:sz w:val="18"/>
                <w:szCs w:val="18"/>
              </w:rPr>
              <w:t xml:space="preserve">DLT-Service / DLT-Promo, IRDAI disclosures, opt-out (DPDPA)</w:t>
            </w:r>
          </w:p>
          <w:p>
            <w:pPr>
              <w:spacing w:after="0"/>
            </w:pPr>
            <w:r>
              <w:rPr>
                <w:rFonts w:ascii="Calibri" w:cs="Calibri" w:eastAsia="Calibri" w:hAnsi="Calibri"/>
                <w:b/>
                <w:bCs/>
                <w:color w:val="1F3864"/>
                <w:sz w:val="18"/>
                <w:szCs w:val="18"/>
              </w:rPr>
              <w:t xml:space="preserve">Sender identity:  </w:t>
            </w:r>
            <w:r>
              <w:rPr>
                <w:rFonts w:ascii="Calibri" w:cs="Calibri" w:eastAsia="Calibri" w:hAnsi="Calibri"/>
                <w:color w:val="1A1A1A"/>
                <w:sz w:val="18"/>
                <w:szCs w:val="18"/>
              </w:rPr>
              <w:t xml:space="preserve">TPE Customer Care</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2"/>
                <w:szCs w:val="22"/>
              </w:rPr>
              <w:t xml:space="preserve">Investor — Buyer (10–25 year relationship)</w:t>
            </w:r>
          </w:p>
        </w:tc>
      </w:tr>
      <w:tr>
        <w:tc>
          <w:tcPr>
            <w:tcW w:type="dxa" w:w="9746"/>
            <w:tcBorders>
              <w:top w:val="single" w:color="BFBFBF" w:sz="4"/>
              <w:left w:val="single" w:color="BFBFBF" w:sz="4"/>
              <w:bottom w:val="single" w:color="BFBFBF" w:sz="4"/>
              <w:right w:val="single" w:color="BFBFBF"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1F3864"/>
                <w:sz w:val="18"/>
                <w:szCs w:val="18"/>
              </w:rPr>
              <w:t xml:space="preserve">Voice:  </w:t>
            </w:r>
            <w:r>
              <w:rPr>
                <w:rFonts w:ascii="Calibri" w:cs="Calibri" w:eastAsia="Calibri" w:hAnsi="Calibri"/>
                <w:color w:val="1A1A1A"/>
                <w:sz w:val="18"/>
                <w:szCs w:val="18"/>
              </w:rPr>
              <w:t xml:space="preserve">Professional, data-led, returns-framed, long-time-horizon</w:t>
            </w:r>
          </w:p>
          <w:p>
            <w:pPr>
              <w:spacing w:after="60"/>
            </w:pPr>
            <w:r>
              <w:rPr>
                <w:rFonts w:ascii="Calibri" w:cs="Calibri" w:eastAsia="Calibri" w:hAnsi="Calibri"/>
                <w:b/>
                <w:bCs/>
                <w:color w:val="1F3864"/>
                <w:sz w:val="18"/>
                <w:szCs w:val="18"/>
              </w:rPr>
              <w:t xml:space="preserve">Primary channels:  </w:t>
            </w:r>
            <w:r>
              <w:rPr>
                <w:rFonts w:ascii="Calibri" w:cs="Calibri" w:eastAsia="Calibri" w:hAnsi="Calibri"/>
                <w:color w:val="1A1A1A"/>
                <w:sz w:val="18"/>
                <w:szCs w:val="18"/>
              </w:rPr>
              <w:t xml:space="preserve">Email (primary), WhatsApp, RCS, SMS for OTP and dues</w:t>
            </w:r>
          </w:p>
          <w:p>
            <w:pPr>
              <w:spacing w:after="60"/>
            </w:pPr>
            <w:r>
              <w:rPr>
                <w:rFonts w:ascii="Calibri" w:cs="Calibri" w:eastAsia="Calibri" w:hAnsi="Calibri"/>
                <w:b/>
                <w:bCs/>
                <w:color w:val="1F3864"/>
                <w:sz w:val="18"/>
                <w:szCs w:val="18"/>
              </w:rPr>
              <w:t xml:space="preserve">Compliance regime:  </w:t>
            </w:r>
            <w:r>
              <w:rPr>
                <w:rFonts w:ascii="Calibri" w:cs="Calibri" w:eastAsia="Calibri" w:hAnsi="Calibri"/>
                <w:color w:val="1A1A1A"/>
                <w:sz w:val="18"/>
                <w:szCs w:val="18"/>
              </w:rPr>
              <w:t xml:space="preserve">DLT-Service, IRDAI 'subject of solicitation', FATCA references</w:t>
            </w:r>
          </w:p>
          <w:p>
            <w:pPr>
              <w:spacing w:after="0"/>
            </w:pPr>
            <w:r>
              <w:rPr>
                <w:rFonts w:ascii="Calibri" w:cs="Calibri" w:eastAsia="Calibri" w:hAnsi="Calibri"/>
                <w:b/>
                <w:bCs/>
                <w:color w:val="1F3864"/>
                <w:sz w:val="18"/>
                <w:szCs w:val="18"/>
              </w:rPr>
              <w:t xml:space="preserve">Sender identity:  </w:t>
            </w:r>
            <w:r>
              <w:rPr>
                <w:rFonts w:ascii="Calibri" w:cs="Calibri" w:eastAsia="Calibri" w:hAnsi="Calibri"/>
                <w:color w:val="1A1A1A"/>
                <w:sz w:val="18"/>
                <w:szCs w:val="18"/>
              </w:rPr>
              <w:t xml:space="preserve">TPE Investments</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2"/>
                <w:szCs w:val="22"/>
              </w:rPr>
              <w:t xml:space="preserve">Insurance Partner — B2B (11 carriers)</w:t>
            </w:r>
          </w:p>
        </w:tc>
      </w:tr>
      <w:tr>
        <w:tc>
          <w:tcPr>
            <w:tcW w:type="dxa" w:w="9746"/>
            <w:tcBorders>
              <w:top w:val="single" w:color="BFBFBF" w:sz="4"/>
              <w:left w:val="single" w:color="BFBFBF" w:sz="4"/>
              <w:bottom w:val="single" w:color="BFBFBF" w:sz="4"/>
              <w:right w:val="single" w:color="BFBFBF"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1F3864"/>
                <w:sz w:val="18"/>
                <w:szCs w:val="18"/>
              </w:rPr>
              <w:t xml:space="preserve">Voice:  </w:t>
            </w:r>
            <w:r>
              <w:rPr>
                <w:rFonts w:ascii="Calibri" w:cs="Calibri" w:eastAsia="Calibri" w:hAnsi="Calibri"/>
                <w:color w:val="1A1A1A"/>
                <w:sz w:val="18"/>
                <w:szCs w:val="18"/>
              </w:rPr>
              <w:t xml:space="preserve">Formal, structured, evidence-attached, traceable</w:t>
            </w:r>
          </w:p>
          <w:p>
            <w:pPr>
              <w:spacing w:after="60"/>
            </w:pPr>
            <w:r>
              <w:rPr>
                <w:rFonts w:ascii="Calibri" w:cs="Calibri" w:eastAsia="Calibri" w:hAnsi="Calibri"/>
                <w:b/>
                <w:bCs/>
                <w:color w:val="1F3864"/>
                <w:sz w:val="18"/>
                <w:szCs w:val="18"/>
              </w:rPr>
              <w:t xml:space="preserve">Primary channels:  </w:t>
            </w:r>
            <w:r>
              <w:rPr>
                <w:rFonts w:ascii="Calibri" w:cs="Calibri" w:eastAsia="Calibri" w:hAnsi="Calibri"/>
                <w:color w:val="1A1A1A"/>
                <w:sz w:val="18"/>
                <w:szCs w:val="18"/>
              </w:rPr>
              <w:t xml:space="preserve">Email + carrier-portal upload (Excel attachments via MIS Pipeline)</w:t>
            </w:r>
          </w:p>
          <w:p>
            <w:pPr>
              <w:spacing w:after="60"/>
            </w:pPr>
            <w:r>
              <w:rPr>
                <w:rFonts w:ascii="Calibri" w:cs="Calibri" w:eastAsia="Calibri" w:hAnsi="Calibri"/>
                <w:b/>
                <w:bCs/>
                <w:color w:val="1F3864"/>
                <w:sz w:val="18"/>
                <w:szCs w:val="18"/>
              </w:rPr>
              <w:t xml:space="preserve">Compliance regime:  </w:t>
            </w:r>
            <w:r>
              <w:rPr>
                <w:rFonts w:ascii="Calibri" w:cs="Calibri" w:eastAsia="Calibri" w:hAnsi="Calibri"/>
                <w:color w:val="1A1A1A"/>
                <w:sz w:val="18"/>
                <w:szCs w:val="18"/>
              </w:rPr>
              <w:t xml:space="preserve">Bilateral SLA, audit log</w:t>
            </w:r>
          </w:p>
          <w:p>
            <w:pPr>
              <w:spacing w:after="0"/>
            </w:pPr>
            <w:r>
              <w:rPr>
                <w:rFonts w:ascii="Calibri" w:cs="Calibri" w:eastAsia="Calibri" w:hAnsi="Calibri"/>
                <w:b/>
                <w:bCs/>
                <w:color w:val="1F3864"/>
                <w:sz w:val="18"/>
                <w:szCs w:val="18"/>
              </w:rPr>
              <w:t xml:space="preserve">Sender identity:  </w:t>
            </w:r>
            <w:r>
              <w:rPr>
                <w:rFonts w:ascii="Calibri" w:cs="Calibri" w:eastAsia="Calibri" w:hAnsi="Calibri"/>
                <w:color w:val="1A1A1A"/>
                <w:sz w:val="18"/>
                <w:szCs w:val="18"/>
              </w:rPr>
              <w:t xml:space="preserve">TPE Operations</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2"/>
                <w:szCs w:val="22"/>
              </w:rPr>
              <w:t xml:space="preserve">Internal Ops / Sales / Agents</w:t>
            </w:r>
          </w:p>
        </w:tc>
      </w:tr>
      <w:tr>
        <w:tc>
          <w:tcPr>
            <w:tcW w:type="dxa" w:w="9746"/>
            <w:tcBorders>
              <w:top w:val="single" w:color="BFBFBF" w:sz="4"/>
              <w:left w:val="single" w:color="BFBFBF" w:sz="4"/>
              <w:bottom w:val="single" w:color="BFBFBF" w:sz="4"/>
              <w:right w:val="single" w:color="BFBFBF"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1F3864"/>
                <w:sz w:val="18"/>
                <w:szCs w:val="18"/>
              </w:rPr>
              <w:t xml:space="preserve">Voice:  </w:t>
            </w:r>
            <w:r>
              <w:rPr>
                <w:rFonts w:ascii="Calibri" w:cs="Calibri" w:eastAsia="Calibri" w:hAnsi="Calibri"/>
                <w:color w:val="1A1A1A"/>
                <w:sz w:val="18"/>
                <w:szCs w:val="18"/>
              </w:rPr>
              <w:t xml:space="preserve">Concise, action-oriented; surface decisions and exceptions</w:t>
            </w:r>
          </w:p>
          <w:p>
            <w:pPr>
              <w:spacing w:after="60"/>
            </w:pPr>
            <w:r>
              <w:rPr>
                <w:rFonts w:ascii="Calibri" w:cs="Calibri" w:eastAsia="Calibri" w:hAnsi="Calibri"/>
                <w:b/>
                <w:bCs/>
                <w:color w:val="1F3864"/>
                <w:sz w:val="18"/>
                <w:szCs w:val="18"/>
              </w:rPr>
              <w:t xml:space="preserve">Primary channels:  </w:t>
            </w:r>
            <w:r>
              <w:rPr>
                <w:rFonts w:ascii="Calibri" w:cs="Calibri" w:eastAsia="Calibri" w:hAnsi="Calibri"/>
                <w:color w:val="1A1A1A"/>
                <w:sz w:val="18"/>
                <w:szCs w:val="18"/>
              </w:rPr>
              <w:t xml:space="preserve">Slack / Teams, Email</w:t>
            </w:r>
          </w:p>
          <w:p>
            <w:pPr>
              <w:spacing w:after="60"/>
            </w:pPr>
            <w:r>
              <w:rPr>
                <w:rFonts w:ascii="Calibri" w:cs="Calibri" w:eastAsia="Calibri" w:hAnsi="Calibri"/>
                <w:b/>
                <w:bCs/>
                <w:color w:val="1F3864"/>
                <w:sz w:val="18"/>
                <w:szCs w:val="18"/>
              </w:rPr>
              <w:t xml:space="preserve">Compliance regime:  </w:t>
            </w:r>
            <w:r>
              <w:rPr>
                <w:rFonts w:ascii="Calibri" w:cs="Calibri" w:eastAsia="Calibri" w:hAnsi="Calibri"/>
                <w:color w:val="1A1A1A"/>
                <w:sz w:val="18"/>
                <w:szCs w:val="18"/>
              </w:rPr>
              <w:t xml:space="preserve">Internal information-classification policy</w:t>
            </w:r>
          </w:p>
          <w:p>
            <w:pPr>
              <w:spacing w:after="0"/>
            </w:pPr>
            <w:r>
              <w:rPr>
                <w:rFonts w:ascii="Calibri" w:cs="Calibri" w:eastAsia="Calibri" w:hAnsi="Calibri"/>
                <w:b/>
                <w:bCs/>
                <w:color w:val="1F3864"/>
                <w:sz w:val="18"/>
                <w:szCs w:val="18"/>
              </w:rPr>
              <w:t xml:space="preserve">Sender identity:  </w:t>
            </w:r>
            <w:r>
              <w:rPr>
                <w:rFonts w:ascii="Calibri" w:cs="Calibri" w:eastAsia="Calibri" w:hAnsi="Calibri"/>
                <w:color w:val="1A1A1A"/>
                <w:sz w:val="18"/>
                <w:szCs w:val="18"/>
              </w:rPr>
              <w:t xml:space="preserve">TPE System Bot</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2"/>
                <w:szCs w:val="22"/>
              </w:rPr>
              <w:t xml:space="preserve">Regulator / Statutory</w:t>
            </w:r>
          </w:p>
        </w:tc>
      </w:tr>
      <w:tr>
        <w:tc>
          <w:tcPr>
            <w:tcW w:type="dxa" w:w="9746"/>
            <w:tcBorders>
              <w:top w:val="single" w:color="BFBFBF" w:sz="4"/>
              <w:left w:val="single" w:color="BFBFBF" w:sz="4"/>
              <w:bottom w:val="single" w:color="BFBFBF" w:sz="4"/>
              <w:right w:val="single" w:color="BFBFBF" w:sz="4"/>
            </w:tcBorders>
            <w:shd w:fill="F2F2F2" w:color="auto" w:val="clear"/>
            <w:tcMar>
              <w:top w:type="dxa" w:w="140"/>
              <w:left w:type="dxa" w:w="200"/>
              <w:bottom w:type="dxa" w:w="140"/>
              <w:right w:type="dxa" w:w="200"/>
            </w:tcMar>
          </w:tcPr>
          <w:p>
            <w:pPr>
              <w:spacing w:after="60"/>
            </w:pPr>
            <w:r>
              <w:rPr>
                <w:rFonts w:ascii="Calibri" w:cs="Calibri" w:eastAsia="Calibri" w:hAnsi="Calibri"/>
                <w:b/>
                <w:bCs/>
                <w:color w:val="1F3864"/>
                <w:sz w:val="18"/>
                <w:szCs w:val="18"/>
              </w:rPr>
              <w:t xml:space="preserve">Voice:  </w:t>
            </w:r>
            <w:r>
              <w:rPr>
                <w:rFonts w:ascii="Calibri" w:cs="Calibri" w:eastAsia="Calibri" w:hAnsi="Calibri"/>
                <w:color w:val="1A1A1A"/>
                <w:sz w:val="18"/>
                <w:szCs w:val="18"/>
              </w:rPr>
              <w:t xml:space="preserve">Statutory, audit-grade, version-stamped</w:t>
            </w:r>
          </w:p>
          <w:p>
            <w:pPr>
              <w:spacing w:after="60"/>
            </w:pPr>
            <w:r>
              <w:rPr>
                <w:rFonts w:ascii="Calibri" w:cs="Calibri" w:eastAsia="Calibri" w:hAnsi="Calibri"/>
                <w:b/>
                <w:bCs/>
                <w:color w:val="1F3864"/>
                <w:sz w:val="18"/>
                <w:szCs w:val="18"/>
              </w:rPr>
              <w:t xml:space="preserve">Primary channels:  </w:t>
            </w:r>
            <w:r>
              <w:rPr>
                <w:rFonts w:ascii="Calibri" w:cs="Calibri" w:eastAsia="Calibri" w:hAnsi="Calibri"/>
                <w:color w:val="1A1A1A"/>
                <w:sz w:val="18"/>
                <w:szCs w:val="18"/>
              </w:rPr>
              <w:t xml:space="preserve">Portal upload, secure email</w:t>
            </w:r>
          </w:p>
          <w:p>
            <w:pPr>
              <w:spacing w:after="60"/>
            </w:pPr>
            <w:r>
              <w:rPr>
                <w:rFonts w:ascii="Calibri" w:cs="Calibri" w:eastAsia="Calibri" w:hAnsi="Calibri"/>
                <w:b/>
                <w:bCs/>
                <w:color w:val="1F3864"/>
                <w:sz w:val="18"/>
                <w:szCs w:val="18"/>
              </w:rPr>
              <w:t xml:space="preserve">Compliance regime:  </w:t>
            </w:r>
            <w:r>
              <w:rPr>
                <w:rFonts w:ascii="Calibri" w:cs="Calibri" w:eastAsia="Calibri" w:hAnsi="Calibri"/>
                <w:color w:val="1A1A1A"/>
                <w:sz w:val="18"/>
                <w:szCs w:val="18"/>
              </w:rPr>
              <w:t xml:space="preserve">IRDAI, GST, Income Tax (TDS), DPDPA</w:t>
            </w:r>
          </w:p>
          <w:p>
            <w:pPr>
              <w:spacing w:after="0"/>
            </w:pPr>
            <w:r>
              <w:rPr>
                <w:rFonts w:ascii="Calibri" w:cs="Calibri" w:eastAsia="Calibri" w:hAnsi="Calibri"/>
                <w:b/>
                <w:bCs/>
                <w:color w:val="1F3864"/>
                <w:sz w:val="18"/>
                <w:szCs w:val="18"/>
              </w:rPr>
              <w:t xml:space="preserve">Sender identity:  </w:t>
            </w:r>
            <w:r>
              <w:rPr>
                <w:rFonts w:ascii="Calibri" w:cs="Calibri" w:eastAsia="Calibri" w:hAnsi="Calibri"/>
                <w:color w:val="1A1A1A"/>
                <w:sz w:val="18"/>
                <w:szCs w:val="18"/>
              </w:rPr>
              <w:t xml:space="preserve">TPE Compliance</w:t>
            </w:r>
          </w:p>
        </w:tc>
      </w:tr>
    </w:tbl>
    <w:p>
      <w:pPr>
        <w:pageBreakBefore/>
        <w:spacing w:after="200" w:before="4000"/>
        <w:jc w:val="center"/>
      </w:pPr>
      <w:r>
        <w:rPr>
          <w:rFonts w:ascii="Calibri" w:cs="Calibri" w:eastAsia="Calibri" w:hAnsi="Calibri"/>
          <w:b/>
          <w:bCs/>
          <w:caps/>
          <w:color w:val="808080"/>
          <w:sz w:val="22"/>
          <w:szCs w:val="22"/>
        </w:rPr>
        <w:t xml:space="preserve">Part IV</w:t>
      </w:r>
    </w:p>
    <w:p>
      <w:pPr>
        <w:spacing w:after="1600" w:before="0"/>
        <w:jc w:val="center"/>
      </w:pPr>
      <w:r>
        <w:rPr>
          <w:rFonts w:ascii="Calibri" w:cs="Calibri" w:eastAsia="Calibri" w:hAnsi="Calibri"/>
          <w:b/>
          <w:bCs/>
          <w:color w:val="1F3864"/>
          <w:sz w:val="56"/>
          <w:szCs w:val="56"/>
        </w:rPr>
        <w:t xml:space="preserve">Domain Model</w:t>
      </w:r>
    </w:p>
    <w:p>
      <w:pPr>
        <w:pStyle w:val="Heading1"/>
        <w:pageBreakBefore/>
        <w:spacing w:after="240" w:before="0"/>
      </w:pPr>
      <w:r>
        <w:rPr>
          <w:rFonts w:ascii="Calibri" w:cs="Calibri" w:eastAsia="Calibri" w:hAnsi="Calibri"/>
          <w:b/>
          <w:bCs/>
          <w:color w:val="1F3864"/>
          <w:sz w:val="36"/>
          <w:szCs w:val="36"/>
        </w:rPr>
        <w:t xml:space="preserve">14. Trigger Catalogue (49 triggers)</w:t>
      </w:r>
    </w:p>
    <w:p>
      <w:pPr>
        <w:spacing w:after="120" w:before="0"/>
      </w:pPr>
      <w:r>
        <w:rPr>
          <w:rFonts w:ascii="Calibri" w:cs="Calibri" w:eastAsia="Calibri" w:hAnsi="Calibri"/>
          <w:color w:val="1A1A1A"/>
          <w:sz w:val="20"/>
          <w:szCs w:val="20"/>
        </w:rPr>
        <w:t xml:space="preserve">The trigger catalogue is the system’s map of every moment we communicate. Forty-nine triggers are organised into five audience streams; each stream is presented as a single table for at-a-glance comparison across statuses, channels and cadence rules.</w:t>
      </w:r>
    </w:p>
    <w:p>
      <w:pPr>
        <w:spacing w:after="120" w:before="0"/>
      </w:pPr>
      <w:r>
        <w:rPr>
          <w:rFonts w:ascii="Calibri" w:cs="Calibri" w:eastAsia="Calibri" w:hAnsi="Calibri"/>
          <w:color w:val="1A1A1A"/>
          <w:sz w:val="20"/>
          <w:szCs w:val="20"/>
        </w:rPr>
        <w:t xml:space="preserve">Each trigger has a stable identifier, one or more statuses, a channel mix and a cadence rule. Identifiers are immutable; titles may be revised in minor versions.</w:t>
      </w:r>
    </w:p>
    <w:p>
      <w:pPr>
        <w:pStyle w:val="Heading2"/>
        <w:spacing w:after="140" w:before="280"/>
      </w:pPr>
      <w:r>
        <w:rPr>
          <w:rFonts w:ascii="Calibri" w:cs="Calibri" w:eastAsia="Calibri" w:hAnsi="Calibri"/>
          <w:b/>
          <w:bCs/>
          <w:color w:val="1F3864"/>
          <w:sz w:val="28"/>
          <w:szCs w:val="28"/>
        </w:rPr>
        <w:t xml:space="preserve">14.1  A. Policyholder Lifecycle (18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1500"/>
        <w:gridCol w:w="214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Statuses</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21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PH-01</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Captured</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 Contacted / Qualified / Disqualified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T+0,1,3,7 drip</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PH-02</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Registration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Started / OTP Sent / Verified / Abandoned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WA, Email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Abandoned: 1h, 24h, 72h</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PH-03</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KYC</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Done / In-progress / Failed / Pending</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Pending: 1/wk x4, 1/mo x4, close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PH-04</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 Doc Upload</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Uploaded / Reviewing / Verified / Rejected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state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PH-05</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 Verification</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In-progress / Verified / Discrepancy / Insurer non-response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 Email</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Update every 48h</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PH-06</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Surrender Value Quote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Generated / Sent / Viewed / Expired (7d) / Counter-offer</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 T+2, T+5, T-1 pre-expiry</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PH-07</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Offer Decision</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Accepted / Rejected / Negotiating / Silent</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Silent: 3d, 7d</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PH-08</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Assignment Paperwork</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Form Gen / e-Sign Initiated / e-Sign Done / Physical / NOC</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 SMS</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e-Sign: T+1, T+3</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PH-09</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Matched</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Found / Confirmed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 Email</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PH-10</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Disbursement</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Initiated / In-process / Success / Failed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WA, Email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state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PH-11</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Post-Assignment Welcome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Recorded / Welcome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quarterly newsletter</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PH-12</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Application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Started / Docs pending / Submitted / Under review</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PH-13</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Approval</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Approved / Conditional / Rejected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 SMS</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PH-14</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Disbursement</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Initiated / Disbursed / Failed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WA</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PH-15</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EMI</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T-7, T-3, T-day, +1, +7, +15, +30</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WA, Email</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schedule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PH-16</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Loan Closure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Pre-close quote / Foreclosed / Paid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event</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PH-17</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Re-engagement</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30d / 90d / 6m / 1y silent</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Decay drip</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PH-18</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Referral Program</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Earned / Credited / Expiring</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 Email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event</w:t>
            </w:r>
          </w:p>
        </w:tc>
      </w:tr>
    </w:tbl>
    <w:p>
      <w:pPr>
        <w:pStyle w:val="Heading2"/>
        <w:spacing w:after="140" w:before="280"/>
      </w:pPr>
      <w:r>
        <w:rPr>
          <w:rFonts w:ascii="Calibri" w:cs="Calibri" w:eastAsia="Calibri" w:hAnsi="Calibri"/>
          <w:b/>
          <w:bCs/>
          <w:color w:val="1F3864"/>
          <w:sz w:val="28"/>
          <w:szCs w:val="28"/>
        </w:rPr>
        <w:t xml:space="preserve">14.2  B. Investor Lifecycle (16 triggers, highest message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1500"/>
        <w:gridCol w:w="214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Statuses</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21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INV-01</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Captured</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 Webinar reg / Webinar attended / Brochure DL</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T+0,1,3,7,14 drip</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INV-02</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Registration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Started / Verified / KYC Pending / Active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SMS, WA</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INV-03</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KYC + Risk Profile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CKYC / FATCA / Risk profile / Bank verified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INV-04</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Investment Opportunity Push</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match / Weekly curated / Premium yield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 RCS</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digest + alerts</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INV-05</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Investment Soft-Commit</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Interest / Doc review / Clarifications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INV-06</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Funds Collection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Pay link / Received / Failed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Email, WA</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Pending: 24h, 48h</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INV-07</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Investment Confirmed</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Assignment in progress / Confirmed / Cert issued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INV-08</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Due (10–25 yr stream)</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T-30, T-15, T-7, T-3, T-day, +1, +7, +15</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HIGHEST VOLUME trigger</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INV-09</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Payment Confirmation</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Paid to insurer / Receipt available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INV-10</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Default → Lapse Risk</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Grace started / Lapse warning / Lapsed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 call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Aggressive escalation</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INV-11</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 Approaching</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T-12mo, T-6mo, T-3mo, T-1mo, T-7d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schedule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INV-12</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 Received</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paid TPE / Settled to investor</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Email, WA</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Immediate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INV-13</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Portfolio Statement</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 Quarterly / Annual</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Cadence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INV-14</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Tax Documents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 Q1-Q4 / 80C-D / Annual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INV-15</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Re-investment Opportunity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Maturity-to-reinvest / New high-yield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WA, RCS</w:t>
            </w:r>
          </w:p>
        </w:tc>
        <w:tc>
          <w:tcPr>
            <w:tcW w:type="dxa" w:w="2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Triggered</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INV-16</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Account Notices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 T&amp;C changes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w:t>
            </w:r>
          </w:p>
        </w:tc>
      </w:tr>
    </w:tbl>
    <w:p>
      <w:pPr>
        <w:pStyle w:val="Heading2"/>
        <w:spacing w:after="140" w:before="280"/>
      </w:pPr>
      <w:r>
        <w:rPr>
          <w:rFonts w:ascii="Calibri" w:cs="Calibri" w:eastAsia="Calibri" w:hAnsi="Calibri"/>
          <w:b/>
          <w:bCs/>
          <w:color w:val="1F3864"/>
          <w:sz w:val="28"/>
          <w:szCs w:val="28"/>
        </w:rPr>
        <w:t xml:space="preserve">14.3  C. Insurance Partner — B2B (6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1500"/>
        <w:gridCol w:w="194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Statuses</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Assignment Intimation</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Submitted / Acknowledged / Approved / Rejected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Portal</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case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INS-02</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Remittance + Allocation MIS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Paid / MIS attached / Confirmed / Discrepancy</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Excel</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 batch — reuses existing MIS Pipeline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INS-03</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 Reconciliation</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Sent / Confirmed / Variance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Excel</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INS-04</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Query Resolution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Raised / Response / Closed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case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Maturity / Claim Coordination</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Initiated / Docs / Approved / Settled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case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Regulatory / KYC Refresh</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shared / KYC refresh</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cadence</w:t>
            </w:r>
          </w:p>
        </w:tc>
      </w:tr>
    </w:tbl>
    <w:p>
      <w:pPr>
        <w:pStyle w:val="Heading2"/>
        <w:spacing w:after="140" w:before="280"/>
      </w:pPr>
      <w:r>
        <w:rPr>
          <w:rFonts w:ascii="Calibri" w:cs="Calibri" w:eastAsia="Calibri" w:hAnsi="Calibri"/>
          <w:b/>
          <w:bCs/>
          <w:color w:val="1F3864"/>
          <w:sz w:val="28"/>
          <w:szCs w:val="28"/>
        </w:rPr>
        <w:t xml:space="preserve">14.4  D. Internal Ops / Sales / Agents (6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1500"/>
        <w:gridCol w:w="194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When fires</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Lead Allocated</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Lead created → assigned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Slack/Teams + Email</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OPS-02</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Standup Briefing</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Pipeline + stuck + KPIs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Email</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9am IST</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OPS-03</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High-Value Escalation</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Deal ≥ ₹50L stuck / VIP query</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SMS</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OPS-04</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 Default Alert</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non-pay → lapse risk</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Email</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Real-time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KYC Stuck</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&gt;7 days in KYC</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digest</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OPS-06</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Deadline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 GST / TDS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Calendar</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Pre-deadline</w:t>
            </w:r>
          </w:p>
        </w:tc>
      </w:tr>
    </w:tbl>
    <w:p>
      <w:pPr>
        <w:pStyle w:val="Heading2"/>
        <w:spacing w:after="140" w:before="280"/>
      </w:pPr>
      <w:r>
        <w:rPr>
          <w:rFonts w:ascii="Calibri" w:cs="Calibri" w:eastAsia="Calibri" w:hAnsi="Calibri"/>
          <w:b/>
          <w:bCs/>
          <w:color w:val="1F3864"/>
          <w:sz w:val="28"/>
          <w:szCs w:val="28"/>
        </w:rPr>
        <w:t xml:space="preserve">14.5  E. Regulatory / Statutory (3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44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5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3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Cadence</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REG-01</w:t>
            </w:r>
          </w:p>
        </w:tc>
        <w:tc>
          <w:tcPr>
            <w:tcW w:type="dxa" w:w="5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 Filing — quarterly + annual</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regulator schedule</w:t>
            </w:r>
          </w:p>
        </w:tc>
      </w:tr>
      <w:tr>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REG-02</w:t>
            </w:r>
          </w:p>
        </w:tc>
        <w:tc>
          <w:tcPr>
            <w:tcW w:type="dxa" w:w="5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 certificates to investors</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REG-03</w:t>
            </w:r>
          </w:p>
        </w:tc>
        <w:tc>
          <w:tcPr>
            <w:tcW w:type="dxa" w:w="5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GST invoices</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transaction</w:t>
            </w:r>
          </w:p>
        </w:tc>
      </w:tr>
    </w:tbl>
    <w:p>
      <w:pPr>
        <w:pStyle w:val="Heading1"/>
        <w:pageBreakBefore/>
        <w:spacing w:after="240" w:before="0"/>
      </w:pPr>
      <w:r>
        <w:rPr>
          <w:rFonts w:ascii="Calibri" w:cs="Calibri" w:eastAsia="Calibri" w:hAnsi="Calibri"/>
          <w:b/>
          <w:bCs/>
          <w:color w:val="1F3864"/>
          <w:sz w:val="36"/>
          <w:szCs w:val="36"/>
        </w:rPr>
        <w:t xml:space="preserve">15. Channel Strategy</w:t>
      </w:r>
    </w:p>
    <w:p>
      <w:pPr>
        <w:spacing w:after="120" w:before="0"/>
      </w:pPr>
      <w:r>
        <w:rPr>
          <w:rFonts w:ascii="Calibri" w:cs="Calibri" w:eastAsia="Calibri" w:hAnsi="Calibri"/>
          <w:color w:val="1A1A1A"/>
          <w:sz w:val="20"/>
          <w:szCs w:val="20"/>
        </w:rPr>
        <w:t xml:space="preserve">Channel selection is derived from audience, message intent and compliance class — never from preference.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400"/>
        <w:gridCol w:w="314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Best for</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Avoid for</w:t>
            </w:r>
          </w:p>
        </w:tc>
        <w:tc>
          <w:tcPr>
            <w:tcW w:type="dxa" w:w="31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Indian compliance gate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Long-form, attachments (statements, certificates), legal copy</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Time-critical alerts (open-rate too low)</w:t>
            </w:r>
          </w:p>
        </w:tc>
        <w:tc>
          <w:tcPr>
            <w:tcW w:type="dxa" w:w="3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consent, IT Act 2000</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transactional confirmations, due-day urgent reminders</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Promotional content to opted-out users; long messages</w:t>
            </w:r>
          </w:p>
        </w:tc>
        <w:tc>
          <w:tcPr>
            <w:tcW w:type="dxa" w:w="3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registration (PE, Header, Template, Entity ID); TRAI</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Conversational service messages, multilingual, rich media</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Bulk promotional without opt-in; promotional outside template categories</w:t>
            </w:r>
          </w:p>
        </w:tc>
        <w:tc>
          <w:tcPr>
            <w:tcW w:type="dxa" w:w="3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Meta BSP template approval; correct category (Marketing / Utility / Authentication); 24h session window</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Carrier-rich interactions: pay-now buttons, carousels for opportunity push</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Audiences whose handsets / carriers do not yet support RCS</w:t>
            </w:r>
          </w:p>
        </w:tc>
        <w:tc>
          <w:tcPr>
            <w:tcW w:type="dxa" w:w="3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DLT regime as SMS in India</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Slack/Teams</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alerts, allocations, escalations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Anything customer-facing</w:t>
            </w:r>
          </w:p>
        </w:tc>
        <w:tc>
          <w:tcPr>
            <w:tcW w:type="dxa" w:w="31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information classification only</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Voice/IVR</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Premium-default last-mile call (Phase 5+)</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First-touch unknown audience</w:t>
            </w:r>
          </w:p>
        </w:tc>
        <w:tc>
          <w:tcPr>
            <w:tcW w:type="dxa" w:w="31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commercial-comms regulations + DND</w:t>
            </w:r>
          </w:p>
        </w:tc>
      </w:tr>
    </w:tbl>
    <w:p>
      <w:pPr>
        <w:pageBreakBefore/>
        <w:spacing w:after="200" w:before="4000"/>
        <w:jc w:val="center"/>
      </w:pPr>
      <w:r>
        <w:rPr>
          <w:rFonts w:ascii="Calibri" w:cs="Calibri" w:eastAsia="Calibri" w:hAnsi="Calibri"/>
          <w:b/>
          <w:bCs/>
          <w:caps/>
          <w:color w:val="808080"/>
          <w:sz w:val="22"/>
          <w:szCs w:val="22"/>
        </w:rPr>
        <w:t xml:space="preserve">Part V</w:t>
      </w:r>
    </w:p>
    <w:p>
      <w:pPr>
        <w:spacing w:after="1600" w:before="0"/>
        <w:jc w:val="center"/>
      </w:pPr>
      <w:r>
        <w:rPr>
          <w:rFonts w:ascii="Calibri" w:cs="Calibri" w:eastAsia="Calibri" w:hAnsi="Calibri"/>
          <w:b/>
          <w:bCs/>
          <w:color w:val="1F3864"/>
          <w:sz w:val="56"/>
          <w:szCs w:val="56"/>
        </w:rPr>
        <w:t xml:space="preserve">Solution</w:t>
      </w:r>
    </w:p>
    <w:p>
      <w:pPr>
        <w:pStyle w:val="Heading1"/>
        <w:pageBreakBefore/>
        <w:spacing w:after="240" w:before="0"/>
      </w:pPr>
      <w:r>
        <w:rPr>
          <w:rFonts w:ascii="Calibri" w:cs="Calibri" w:eastAsia="Calibri" w:hAnsi="Calibri"/>
          <w:b/>
          <w:bCs/>
          <w:color w:val="1F3864"/>
          <w:sz w:val="36"/>
          <w:szCs w:val="36"/>
        </w:rPr>
        <w:t xml:space="preserve">16. Workflows-as-Code on Novu</w:t>
      </w:r>
    </w:p>
    <w:p>
      <w:pPr>
        <w:spacing w:after="120" w:before="0"/>
      </w:pPr>
      <w:r>
        <w:rPr>
          <w:rFonts w:ascii="Calibri" w:cs="Calibri" w:eastAsia="Calibri" w:hAnsi="Calibri"/>
          <w:color w:val="1A1A1A"/>
          <w:sz w:val="20"/>
          <w:szCs w:val="20"/>
        </w:rPr>
        <w:t xml:space="preserve">Each of the 49 lifecycle triggers in Section 14 is realised as a Novu workflow defined in TypeScript using Novu Framework. A workflow declares its trigger payload, subscriber preferences, the channels and steps it executes, the cadence rules it follows, and the templates it renders. Workflows live in the Client repository, are version-controlled, and are deployed to the self-hosted Novu instance via Novu Bridge — there is no separate database of “templates” as in v3.0; content lives inside the workflow definition or in workflow-referenced step content.</w:t>
      </w:r>
    </w:p>
    <w:p>
      <w:pPr>
        <w:pStyle w:val="Heading2"/>
        <w:spacing w:after="140" w:before="280"/>
      </w:pPr>
      <w:r>
        <w:rPr>
          <w:rFonts w:ascii="Calibri" w:cs="Calibri" w:eastAsia="Calibri" w:hAnsi="Calibri"/>
          <w:b/>
          <w:bCs/>
          <w:color w:val="1F3864"/>
          <w:sz w:val="28"/>
          <w:szCs w:val="28"/>
        </w:rPr>
        <w:t xml:space="preserve">16.1  Why Workflows, not the v3.0 YAML library</w:t>
      </w:r>
    </w:p>
    <w:p>
      <w:pPr>
        <w:spacing w:after="120" w:before="0"/>
      </w:pPr>
      <w:r>
        <w:rPr>
          <w:rFonts w:ascii="Calibri" w:cs="Calibri" w:eastAsia="Calibri" w:hAnsi="Calibri"/>
          <w:color w:val="1A1A1A"/>
          <w:sz w:val="20"/>
          <w:szCs w:val="20"/>
        </w:rPr>
        <w:t xml:space="preserve">The v3.0 design (Section 16 of v3.0) treated templates as first-class file-system entities with their own state machine. Novu collapses that abstraction: a workflow encapsulates the trigger, the routing logic, the channel-specific content, the variables, the cadence, and the subscriber-preference handling in a single typed unit. The state machine for templates is replaced by Git history on the workflow definition plus Novu’s built-in dev/staging/production environment promotion. Operationally cleaner; eliminates an entire class of “which version of the template was sent” questions because the answer is the deployed workflow revision.</w:t>
      </w:r>
    </w:p>
    <w:p>
      <w:pPr>
        <w:pStyle w:val="Heading2"/>
        <w:spacing w:after="140" w:before="280"/>
      </w:pPr>
      <w:r>
        <w:rPr>
          <w:rFonts w:ascii="Calibri" w:cs="Calibri" w:eastAsia="Calibri" w:hAnsi="Calibri"/>
          <w:b/>
          <w:bCs/>
          <w:color w:val="1F3864"/>
          <w:sz w:val="28"/>
          <w:szCs w:val="28"/>
        </w:rPr>
        <w:t xml:space="preserve">16.2  Workflow lifecycle (replaces v3.0 template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30"/>
        <w:gridCol w:w="200"/>
        <w:gridCol w:w="1430"/>
        <w:gridCol w:w="200"/>
        <w:gridCol w:w="1430"/>
        <w:gridCol w:w="200"/>
        <w:gridCol w:w="1430"/>
        <w:gridCol w:w="200"/>
        <w:gridCol w:w="1430"/>
        <w:gridCol w:w="200"/>
        <w:gridCol w:w="1596"/>
      </w:tblGrid>
      <w:tr>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8"/>
                <w:szCs w:val="18"/>
              </w:rPr>
              <w:t xml:space="preserve">DRAFT</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8"/>
                <w:szCs w:val="18"/>
              </w:rPr>
              <w:t xml:space="preserve">REVIEW</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8"/>
                <w:szCs w:val="18"/>
              </w:rPr>
              <w:t xml:space="preserve">DEV</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8"/>
                <w:szCs w:val="18"/>
              </w:rPr>
              <w:t xml:space="preserve">STAGING</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8"/>
                <w:szCs w:val="18"/>
              </w:rPr>
              <w:t xml:space="preserve">PROD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8"/>
                <w:szCs w:val="18"/>
              </w:rPr>
              <w:t xml:space="preserve">DEPRECATED</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5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State</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Meaning</w:t>
            </w:r>
          </w:p>
        </w:tc>
        <w:tc>
          <w:tcPr>
            <w:tcW w:type="dxa" w:w="3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Mechanism</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draft</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 iterating on workflow code locally</w:t>
            </w:r>
          </w:p>
        </w:tc>
        <w:tc>
          <w:tcPr>
            <w:tcW w:type="dxa" w:w="3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Feature branch on workflow repo</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 open; Compliance + Brand reviewing rendered samples</w:t>
            </w:r>
          </w:p>
        </w:tc>
        <w:tc>
          <w:tcPr>
            <w:tcW w:type="dxa" w:w="3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Pull-request review queue with bot-rendered preview</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dev</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Merged to main; deployed to dev Novu instance</w:t>
            </w:r>
          </w:p>
        </w:tc>
        <w:tc>
          <w:tcPr>
            <w:tcW w:type="dxa" w:w="3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Bridge syncs workflows from main</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staging</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Promoted to staging environment for stakeholder verification</w:t>
            </w:r>
          </w:p>
        </w:tc>
        <w:tc>
          <w:tcPr>
            <w:tcW w:type="dxa" w:w="3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environment promotion</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in production; serving real subscribers</w:t>
            </w:r>
          </w:p>
        </w:tc>
        <w:tc>
          <w:tcPr>
            <w:tcW w:type="dxa" w:w="3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environment promotion + production deployment</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deprecated</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Superseded; remains in repo with deprecated tag for audit</w:t>
            </w:r>
          </w:p>
        </w:tc>
        <w:tc>
          <w:tcPr>
            <w:tcW w:type="dxa" w:w="3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flag + non-routing in trigger map</w:t>
            </w:r>
          </w:p>
        </w:tc>
      </w:tr>
    </w:tbl>
    <w:p>
      <w:pPr>
        <w:pStyle w:val="Heading2"/>
        <w:spacing w:after="140" w:before="280"/>
      </w:pPr>
      <w:r>
        <w:rPr>
          <w:rFonts w:ascii="Calibri" w:cs="Calibri" w:eastAsia="Calibri" w:hAnsi="Calibri"/>
          <w:b/>
          <w:bCs/>
          <w:color w:val="1F3864"/>
          <w:sz w:val="28"/>
          <w:szCs w:val="28"/>
        </w:rPr>
        <w:t xml:space="preserve">16.3  Workflow definition example</w:t>
      </w:r>
    </w:p>
    <w:p>
      <w:pPr>
        <w:spacing w:after="120" w:before="0"/>
      </w:pPr>
      <w:r>
        <w:rPr>
          <w:rFonts w:ascii="Calibri" w:cs="Calibri" w:eastAsia="Calibri" w:hAnsi="Calibri"/>
          <w:color w:val="1A1A1A"/>
          <w:sz w:val="20"/>
          <w:szCs w:val="20"/>
        </w:rPr>
        <w:t xml:space="preserve">Illustrative Novu Framework workflow for trigger PH-03 (KYC pending), policyholder audience, WhatsApp + SMS escalation cadence: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import { workflow } from '@novu/framework';</w:t>
            </w:r>
          </w:p>
          <w:p>
            <w:pPr>
              <w:spacing w:after="0"/>
            </w:pPr>
            <w:r>
              <w:rPr>
                <w:rFonts w:ascii="Consolas" w:cs="Consolas" w:eastAsia="Consolas" w:hAnsi="Consolas"/>
                <w:color w:val="1A1A1A"/>
                <w:sz w:val="16"/>
                <w:szCs w:val="16"/>
              </w:rPr>
              <w:t xml:space="preserve">import { z } from 'zod';</w:t>
            </w:r>
          </w:p>
          <w:p>
            <w:pPr>
              <w:spacing w:after="0"/>
            </w:pPr>
            <w:r>
              <w:rPr>
                <w:rFonts w:ascii="Consolas" w:cs="Consolas" w:eastAsia="Consolas" w:hAnsi="Consolas"/>
                <w:color w:val="1A1A1A"/>
                <w:sz w:val="16"/>
                <w:szCs w:val="16"/>
              </w:rPr>
              <w:t xml:space="preserve">import { complianceCheck } from '../middleware/compliance';   // custom Novu Framework step</w:t>
            </w:r>
          </w:p>
          <w:p>
            <w:pPr>
              <w:spacing w:after="0"/>
            </w:pPr>
            <w:r>
              <w:rPr>
                <w:rFonts w:ascii="Consolas" w:cs="Consolas" w:eastAsia="Consolas" w:hAnsi="Consolas"/>
                <w:color w:val="1A1A1A"/>
                <w:sz w:val="16"/>
                <w:szCs w:val="16"/>
              </w:rPr>
              <w:t xml:space="preserve">import { auditEmit }       from '../middleware/audit';        // custom Novu Framework step</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export const phKycPending = workflow(</w:t>
            </w:r>
          </w:p>
          <w:p>
            <w:pPr>
              <w:spacing w:after="0"/>
            </w:pPr>
            <w:r>
              <w:rPr>
                <w:rFonts w:ascii="Consolas" w:cs="Consolas" w:eastAsia="Consolas" w:hAnsi="Consolas"/>
                <w:color w:val="1A1A1A"/>
                <w:sz w:val="16"/>
                <w:szCs w:val="16"/>
              </w:rPr>
              <w:t xml:space="preserve">  'ph-03-kyc-pending',</w:t>
            </w:r>
          </w:p>
          <w:p>
            <w:pPr>
              <w:spacing w:after="0"/>
            </w:pPr>
            <w:r>
              <w:rPr>
                <w:rFonts w:ascii="Consolas" w:cs="Consolas" w:eastAsia="Consolas" w:hAnsi="Consolas"/>
                <w:color w:val="1A1A1A"/>
                <w:sz w:val="16"/>
                <w:szCs w:val="16"/>
              </w:rPr>
              <w:t xml:space="preserve">  async ({ payload, subscriber, step }) =&gt; {</w:t>
            </w:r>
          </w:p>
          <w:p>
            <w:pPr>
              <w:spacing w:after="0"/>
            </w:pPr>
            <w:r>
              <w:rPr>
                <w:rFonts w:ascii="Consolas" w:cs="Consolas" w:eastAsia="Consolas" w:hAnsi="Consolas"/>
                <w:color w:val="1A1A1A"/>
                <w:sz w:val="16"/>
                <w:szCs w:val="16"/>
              </w:rPr>
              <w:t xml:space="preserve">    // pre-dispatch compliance lint (DLT + IRDAI + WA-BSP + DPDPA + brand-voice)</w:t>
            </w:r>
          </w:p>
          <w:p>
            <w:pPr>
              <w:spacing w:after="0"/>
            </w:pPr>
            <w:r>
              <w:rPr>
                <w:rFonts w:ascii="Consolas" w:cs="Consolas" w:eastAsia="Consolas" w:hAnsi="Consolas"/>
                <w:color w:val="1A1A1A"/>
                <w:sz w:val="16"/>
                <w:szCs w:val="16"/>
              </w:rPr>
              <w:t xml:space="preserve">    await step.custom('compliance-check', complianceCheck, {</w:t>
            </w:r>
          </w:p>
          <w:p>
            <w:pPr>
              <w:spacing w:after="0"/>
            </w:pPr>
            <w:r>
              <w:rPr>
                <w:rFonts w:ascii="Consolas" w:cs="Consolas" w:eastAsia="Consolas" w:hAnsi="Consolas"/>
                <w:color w:val="1A1A1A"/>
                <w:sz w:val="16"/>
                <w:szCs w:val="16"/>
              </w:rPr>
              <w:t xml:space="preserve">      audience: 'policyholder',</w:t>
            </w:r>
          </w:p>
          <w:p>
            <w:pPr>
              <w:spacing w:after="0"/>
            </w:pPr>
            <w:r>
              <w:rPr>
                <w:rFonts w:ascii="Consolas" w:cs="Consolas" w:eastAsia="Consolas" w:hAnsi="Consolas"/>
                <w:color w:val="1A1A1A"/>
                <w:sz w:val="16"/>
                <w:szCs w:val="16"/>
              </w:rPr>
              <w:t xml:space="preserve">      complianceClass: 'service',</w:t>
            </w:r>
          </w:p>
          <w:p>
            <w:pPr>
              <w:spacing w:after="0"/>
            </w:pPr>
            <w:r>
              <w:rPr>
                <w:rFonts w:ascii="Consolas" w:cs="Consolas" w:eastAsia="Consolas" w:hAnsi="Consolas"/>
                <w:color w:val="1A1A1A"/>
                <w:sz w:val="16"/>
                <w:szCs w:val="16"/>
              </w:rPr>
              <w:t xml:space="preserve">      language: payload.language ?? 'en',</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Week 1: WhatsApp nudge (utility category, BSP-approved template)</w:t>
            </w:r>
          </w:p>
          <w:p>
            <w:pPr>
              <w:spacing w:after="0"/>
            </w:pPr>
            <w:r>
              <w:rPr>
                <w:rFonts w:ascii="Consolas" w:cs="Consolas" w:eastAsia="Consolas" w:hAnsi="Consolas"/>
                <w:color w:val="1A1A1A"/>
                <w:sz w:val="16"/>
                <w:szCs w:val="16"/>
              </w:rPr>
              <w:t xml:space="preserve">    await step.chat('wa-nudge-w1', async () =&gt; ({</w:t>
            </w:r>
          </w:p>
          <w:p>
            <w:pPr>
              <w:spacing w:after="0"/>
            </w:pPr>
            <w:r>
              <w:rPr>
                <w:rFonts w:ascii="Consolas" w:cs="Consolas" w:eastAsia="Consolas" w:hAnsi="Consolas"/>
                <w:color w:val="1A1A1A"/>
                <w:sz w:val="16"/>
                <w:szCs w:val="16"/>
              </w:rPr>
              <w:t xml:space="preserve">      body: payload.language === 'hi'</w:t>
            </w:r>
          </w:p>
          <w:p>
            <w:pPr>
              <w:spacing w:after="0"/>
            </w:pPr>
            <w:r>
              <w:rPr>
                <w:rFonts w:ascii="Consolas" w:cs="Consolas" w:eastAsia="Consolas" w:hAnsi="Consolas"/>
                <w:color w:val="1A1A1A"/>
                <w:sz w:val="16"/>
                <w:szCs w:val="16"/>
              </w:rPr>
              <w:t xml:space="preserve">        ? 'नमस्ते {{ph_name}}, आपकी KYC अभी अधूरी है। यहाँ पूरा करें: {{kyc_link}}'</w:t>
            </w:r>
          </w:p>
          <w:p>
            <w:pPr>
              <w:spacing w:after="0"/>
            </w:pPr>
            <w:r>
              <w:rPr>
                <w:rFonts w:ascii="Consolas" w:cs="Consolas" w:eastAsia="Consolas" w:hAnsi="Consolas"/>
                <w:color w:val="1A1A1A"/>
                <w:sz w:val="16"/>
                <w:szCs w:val="16"/>
              </w:rPr>
              <w:t xml:space="preserve">        : 'Hello {{ph_name}}, your KYC is still pending. Complete it here: {{kyc_link}}',</w:t>
            </w:r>
          </w:p>
          <w:p>
            <w:pPr>
              <w:spacing w:after="0"/>
            </w:pPr>
            <w:r>
              <w:rPr>
                <w:rFonts w:ascii="Consolas" w:cs="Consolas" w:eastAsia="Consolas" w:hAnsi="Consolas"/>
                <w:color w:val="1A1A1A"/>
                <w:sz w:val="16"/>
                <w:szCs w:val="16"/>
              </w:rPr>
              <w:t xml:space="preserve">      providers: {</w:t>
            </w:r>
          </w:p>
          <w:p>
            <w:pPr>
              <w:spacing w:after="0"/>
            </w:pPr>
            <w:r>
              <w:rPr>
                <w:rFonts w:ascii="Consolas" w:cs="Consolas" w:eastAsia="Consolas" w:hAnsi="Consolas"/>
                <w:color w:val="1A1A1A"/>
                <w:sz w:val="16"/>
                <w:szCs w:val="16"/>
              </w:rPr>
              <w:t xml:space="preserve">        'gupshup-whatsapp': {</w:t>
            </w:r>
          </w:p>
          <w:p>
            <w:pPr>
              <w:spacing w:after="0"/>
            </w:pPr>
            <w:r>
              <w:rPr>
                <w:rFonts w:ascii="Consolas" w:cs="Consolas" w:eastAsia="Consolas" w:hAnsi="Consolas"/>
                <w:color w:val="1A1A1A"/>
                <w:sz w:val="16"/>
                <w:szCs w:val="16"/>
              </w:rPr>
              <w:t xml:space="preserve">          dltTemplateId: 'WA-PH-KYC-W1-001',</w:t>
            </w:r>
          </w:p>
          <w:p>
            <w:pPr>
              <w:spacing w:after="0"/>
            </w:pPr>
            <w:r>
              <w:rPr>
                <w:rFonts w:ascii="Consolas" w:cs="Consolas" w:eastAsia="Consolas" w:hAnsi="Consolas"/>
                <w:color w:val="1A1A1A"/>
                <w:sz w:val="16"/>
                <w:szCs w:val="16"/>
              </w:rPr>
              <w:t xml:space="preserve">          principalEntityId: process.env.DLT_PE_ID,</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w:t>
            </w:r>
          </w:p>
          <w:p>
            <w:pPr>
              <w:spacing w:after="0"/>
            </w:pPr>
            <w:r>
              <w:rPr>
                <w:rFonts w:ascii="Consolas" w:cs="Consolas" w:eastAsia="Consolas" w:hAnsi="Consolas"/>
                <w:color w:val="1A1A1A"/>
                <w:sz w:val="16"/>
                <w:szCs w:val="16"/>
              </w:rPr>
              <w:t xml:space="preserve">      providers: ['gupshup-whatsapp', 'msg91-whatsapp', 'karix-whatsapp'],   // failover</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7 day delay then SMS reminder</w:t>
            </w:r>
          </w:p>
          <w:p>
            <w:pPr>
              <w:spacing w:after="0"/>
            </w:pPr>
            <w:r>
              <w:rPr>
                <w:rFonts w:ascii="Consolas" w:cs="Consolas" w:eastAsia="Consolas" w:hAnsi="Consolas"/>
                <w:color w:val="1A1A1A"/>
                <w:sz w:val="16"/>
                <w:szCs w:val="16"/>
              </w:rPr>
              <w:t xml:space="preserve">    await step.delay('w2-delay', { type: 'regular', amount: 7, unit: 'days'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await step.sms('sms-reminder-w2', async () =&gt; ({</w:t>
            </w:r>
          </w:p>
          <w:p>
            <w:pPr>
              <w:spacing w:after="0"/>
            </w:pPr>
            <w:r>
              <w:rPr>
                <w:rFonts w:ascii="Consolas" w:cs="Consolas" w:eastAsia="Consolas" w:hAnsi="Consolas"/>
                <w:color w:val="1A1A1A"/>
                <w:sz w:val="16"/>
                <w:szCs w:val="16"/>
              </w:rPr>
              <w:t xml:space="preserve">      body: 'Hi {{ph_name}}, KYC pending. Pls complete at {{kyc_link}}. Reply STOP to opt out. - TPE',</w:t>
            </w:r>
          </w:p>
          <w:p>
            <w:pPr>
              <w:spacing w:after="0"/>
            </w:pPr>
            <w:r>
              <w:rPr>
                <w:rFonts w:ascii="Consolas" w:cs="Consolas" w:eastAsia="Consolas" w:hAnsi="Consolas"/>
                <w:color w:val="1A1A1A"/>
                <w:sz w:val="16"/>
                <w:szCs w:val="16"/>
              </w:rPr>
              <w:t xml:space="preserve">      providers: {</w:t>
            </w:r>
          </w:p>
          <w:p>
            <w:pPr>
              <w:spacing w:after="0"/>
            </w:pPr>
            <w:r>
              <w:rPr>
                <w:rFonts w:ascii="Consolas" w:cs="Consolas" w:eastAsia="Consolas" w:hAnsi="Consolas"/>
                <w:color w:val="1A1A1A"/>
                <w:sz w:val="16"/>
                <w:szCs w:val="16"/>
              </w:rPr>
              <w:t xml:space="preserve">        gupshup: {</w:t>
            </w:r>
          </w:p>
          <w:p>
            <w:pPr>
              <w:spacing w:after="0"/>
            </w:pPr>
            <w:r>
              <w:rPr>
                <w:rFonts w:ascii="Consolas" w:cs="Consolas" w:eastAsia="Consolas" w:hAnsi="Consolas"/>
                <w:color w:val="1A1A1A"/>
                <w:sz w:val="16"/>
                <w:szCs w:val="16"/>
              </w:rPr>
              <w:t xml:space="preserve">          dltTemplateId: 'SMS-PH-KYC-W2-001',</w:t>
            </w:r>
          </w:p>
          <w:p>
            <w:pPr>
              <w:spacing w:after="0"/>
            </w:pPr>
            <w:r>
              <w:rPr>
                <w:rFonts w:ascii="Consolas" w:cs="Consolas" w:eastAsia="Consolas" w:hAnsi="Consolas"/>
                <w:color w:val="1A1A1A"/>
                <w:sz w:val="16"/>
                <w:szCs w:val="16"/>
              </w:rPr>
              <w:t xml:space="preserve">          principalEntityId: process.env.DLT_PE_ID,</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w:t>
            </w:r>
          </w:p>
          <w:p>
            <w:pPr>
              <w:spacing w:after="0"/>
            </w:pPr>
            <w:r>
              <w:rPr>
                <w:rFonts w:ascii="Consolas" w:cs="Consolas" w:eastAsia="Consolas" w:hAnsi="Consolas"/>
                <w:color w:val="1A1A1A"/>
                <w:sz w:val="16"/>
                <w:szCs w:val="16"/>
              </w:rPr>
              <w:t xml:space="preserve">      providers: ['gupshup', 'msg91', 'karix'],</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audit log post-dispatch</w:t>
            </w:r>
          </w:p>
          <w:p>
            <w:pPr>
              <w:spacing w:after="0"/>
            </w:pPr>
            <w:r>
              <w:rPr>
                <w:rFonts w:ascii="Consolas" w:cs="Consolas" w:eastAsia="Consolas" w:hAnsi="Consolas"/>
                <w:color w:val="1A1A1A"/>
                <w:sz w:val="16"/>
                <w:szCs w:val="16"/>
              </w:rPr>
              <w:t xml:space="preserve">    await step.custom('audit-emit', auditEmit, {</w:t>
            </w:r>
          </w:p>
          <w:p>
            <w:pPr>
              <w:spacing w:after="0"/>
            </w:pPr>
            <w:r>
              <w:rPr>
                <w:rFonts w:ascii="Consolas" w:cs="Consolas" w:eastAsia="Consolas" w:hAnsi="Consolas"/>
                <w:color w:val="1A1A1A"/>
                <w:sz w:val="16"/>
                <w:szCs w:val="16"/>
              </w:rPr>
              <w:t xml:space="preserve">      workflowId: 'ph-03-kyc-pending',</w:t>
            </w:r>
          </w:p>
          <w:p>
            <w:pPr>
              <w:spacing w:after="0"/>
            </w:pPr>
            <w:r>
              <w:rPr>
                <w:rFonts w:ascii="Consolas" w:cs="Consolas" w:eastAsia="Consolas" w:hAnsi="Consolas"/>
                <w:color w:val="1A1A1A"/>
                <w:sz w:val="16"/>
                <w:szCs w:val="16"/>
              </w:rPr>
              <w:t xml:space="preserve">      version: process.env.GIT_SHA,</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payloadSchema: z.object({</w:t>
            </w:r>
          </w:p>
          <w:p>
            <w:pPr>
              <w:spacing w:after="0"/>
            </w:pPr>
            <w:r>
              <w:rPr>
                <w:rFonts w:ascii="Consolas" w:cs="Consolas" w:eastAsia="Consolas" w:hAnsi="Consolas"/>
                <w:color w:val="1A1A1A"/>
                <w:sz w:val="16"/>
                <w:szCs w:val="16"/>
              </w:rPr>
              <w:t xml:space="preserve">      ph_name:  z.string(),</w:t>
            </w:r>
          </w:p>
          <w:p>
            <w:pPr>
              <w:spacing w:after="0"/>
            </w:pPr>
            <w:r>
              <w:rPr>
                <w:rFonts w:ascii="Consolas" w:cs="Consolas" w:eastAsia="Consolas" w:hAnsi="Consolas"/>
                <w:color w:val="1A1A1A"/>
                <w:sz w:val="16"/>
                <w:szCs w:val="16"/>
              </w:rPr>
              <w:t xml:space="preserve">      kyc_link: z.string().url(),</w:t>
            </w:r>
          </w:p>
          <w:p>
            <w:pPr>
              <w:spacing w:after="0"/>
            </w:pPr>
            <w:r>
              <w:rPr>
                <w:rFonts w:ascii="Consolas" w:cs="Consolas" w:eastAsia="Consolas" w:hAnsi="Consolas"/>
                <w:color w:val="1A1A1A"/>
                <w:sz w:val="16"/>
                <w:szCs w:val="16"/>
              </w:rPr>
              <w:t xml:space="preserve">      language: z.enum(['en', 'hi']).optional(),</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tags: ['policyholder', 'kyc', 'service'],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pStyle w:val="Heading2"/>
        <w:spacing w:after="140" w:before="280"/>
      </w:pPr>
      <w:r>
        <w:rPr>
          <w:rFonts w:ascii="Calibri" w:cs="Calibri" w:eastAsia="Calibri" w:hAnsi="Calibri"/>
          <w:b/>
          <w:bCs/>
          <w:color w:val="1F3864"/>
          <w:sz w:val="28"/>
          <w:szCs w:val="28"/>
        </w:rPr>
        <w:t xml:space="preserve">16.4  Workflow capabilities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Capability</w:t>
            </w:r>
          </w:p>
        </w:tc>
        <w:tc>
          <w:tcPr>
            <w:tcW w:type="dxa" w:w="3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How Novu provides it</w:t>
            </w:r>
          </w:p>
        </w:tc>
        <w:tc>
          <w:tcPr>
            <w:tcW w:type="dxa" w:w="3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Custom work in this engagement</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Versioning</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Git history on workflow definition + Novu environment promotion</w:t>
            </w:r>
          </w:p>
        </w:tc>
        <w:tc>
          <w:tcPr>
            <w:tcW w:type="dxa" w:w="3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None — adopted as-is</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Approval workflow</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 review with bot-rendered preview attached to PR</w:t>
            </w:r>
          </w:p>
        </w:tc>
        <w:tc>
          <w:tcPr>
            <w:tcW w:type="dxa" w:w="3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GitHub Action that renders workflow output for Compliance + Brand reviewers</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Multi-language</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body conditional on payload.language; locale subscriber preference</w:t>
            </w:r>
          </w:p>
        </w:tc>
        <w:tc>
          <w:tcPr>
            <w:tcW w:type="dxa" w:w="3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Convention + linter; translation queue dashboard</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 rendering</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Novu per-channel render (Email, SMS, WA, RCS)</w:t>
            </w:r>
          </w:p>
        </w:tc>
        <w:tc>
          <w:tcPr>
            <w:tcW w:type="dxa" w:w="3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None for native channels</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NOT native — Novu does not encode Indian DLT/IRDAI/WA-BSP/DPDPA rules</w:t>
            </w:r>
          </w:p>
        </w:tc>
        <w:tc>
          <w:tcPr>
            <w:tcW w:type="dxa" w:w="3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Built in this engagement (Section 18.2)</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preferences</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Subscribers + Preferences (per-channel, per-workflow)</w:t>
            </w:r>
          </w:p>
        </w:tc>
        <w:tc>
          <w:tcPr>
            <w:tcW w:type="dxa" w:w="3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One-time sync from TPE customer-data store</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Cadence</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step.delay + workflow re-trigger on status change</w:t>
            </w:r>
          </w:p>
        </w:tc>
        <w:tc>
          <w:tcPr>
            <w:tcW w:type="dxa" w:w="3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Convention layer for escalation patterns (1×4, 1×4, close)</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Reuse</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Workflows can call sub-workflows; shared content modules</w:t>
            </w:r>
          </w:p>
        </w:tc>
        <w:tc>
          <w:tcPr>
            <w:tcW w:type="dxa" w:w="3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Convention layer (shared disclaimers, footers as TS modules)</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Variants / A/B</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via subscriber.data attributes routing inside workflow</w:t>
            </w:r>
          </w:p>
        </w:tc>
        <w:tc>
          <w:tcPr>
            <w:tcW w:type="dxa" w:w="3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Convention; documented in workflow author guide</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trail</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emits execution events; we extend with custom audit step</w:t>
            </w:r>
          </w:p>
        </w:tc>
        <w:tc>
          <w:tcPr>
            <w:tcW w:type="dxa" w:w="3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 18.3 — audit dashboard</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Reuse tracking</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Static analysis on TS imports</w:t>
            </w:r>
          </w:p>
        </w:tc>
        <w:tc>
          <w:tcPr>
            <w:tcW w:type="dxa" w:w="3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Lint script in CI</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Authoring authority did not change.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Workflows live in code, but content authority did not move from CX and Compliance to Engineering. The PR-review pipeline renders the workflow output for the relevant channel and language, and the Compliance Lead and Brand Lead review that rendered output — not the TypeScript. The merge-to-main approval is the equivalent of the v3.0 ‘review → approved’ transition, with the same human-in-the-loop guarantees.</w:t>
            </w:r>
          </w:p>
        </w:tc>
      </w:tr>
    </w:tbl>
    <w:p>
      <w:pPr>
        <w:pStyle w:val="Heading1"/>
        <w:pageBreakBefore/>
        <w:spacing w:after="240" w:before="0"/>
      </w:pPr>
      <w:r>
        <w:rPr>
          <w:rFonts w:ascii="Calibri" w:cs="Calibri" w:eastAsia="Calibri" w:hAnsi="Calibri"/>
          <w:b/>
          <w:bCs/>
          <w:color w:val="1F3864"/>
          <w:sz w:val="36"/>
          <w:szCs w:val="36"/>
        </w:rPr>
        <w:t xml:space="preserve">17. Solution Architecture — Self-hosted Novu Stack</w:t>
      </w:r>
    </w:p>
    <w:p>
      <w:pPr>
        <w:spacing w:after="120" w:before="0"/>
      </w:pPr>
      <w:r>
        <w:rPr>
          <w:rFonts w:ascii="Calibri" w:cs="Calibri" w:eastAsia="Calibri" w:hAnsi="Calibri"/>
          <w:color w:val="1A1A1A"/>
          <w:sz w:val="20"/>
          <w:szCs w:val="20"/>
        </w:rPr>
        <w:t xml:space="preserve">Novu deployed on Client-controlled infrastructure in India (AWS Mumbai region or equivalent), behind the Client’s VPC and under the Client’s identity provider. Components are the upstream open-source Novu services plus three datastores plus the Consultant’s engagement-specific code (workflows, providers, middleware, observability). Data residency is end-to-end Indian; no PII leaves the Client’s VPC at any point in normal operation.</w:t>
      </w:r>
    </w:p>
    <w:p>
      <w:pPr>
        <w:pStyle w:val="Heading2"/>
        <w:spacing w:after="140" w:before="280"/>
      </w:pPr>
      <w:r>
        <w:rPr>
          <w:rFonts w:ascii="Calibri" w:cs="Calibri" w:eastAsia="Calibri" w:hAnsi="Calibri"/>
          <w:b/>
          <w:bCs/>
          <w:color w:val="1F3864"/>
          <w:sz w:val="28"/>
          <w:szCs w:val="28"/>
        </w:rPr>
        <w:t xml:space="preserve">17.1  Component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74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Layer</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Component</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Provenance</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Hosting</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code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@novu/framework workflows (49)</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This engagement</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GitHub → Novu Bridge</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providers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 Karix Novu provider plugins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This engagement</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repo as workflows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Middleware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 + audit emit (Novu Framework custom steps)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This engagement</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repo as workflows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API</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trigger + subscriber + preferences APIs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 (Apache-2.0 / source-available)</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on AWS Mumbai (or equivalent)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Worker</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execution, retries, scheduled jobs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on AWS Mumbai</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Web</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dashboard (subscribers, workflows, integrations)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access-controlled to Client SSO</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Bridge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Sync workflow code to Novu instance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to Client VPC</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Postgres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Primary relational store (subscribers, workflows, integrations)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managed Postgres (RDS or equivalent)</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Mumbai</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MongoDB</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Notification execution data + jobs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managed Mongo (Atlas Mumbai or self-managed)</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Mumbai</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Redis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Queue + cache + rate-limiting</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ElastiCache or self-managed</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Mumbai</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Observability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Logs, metrics, audit dashboard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This engagement (CloudWatch / Loki / Grafana per Client preference)</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VPC</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endpoints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 MSG91, Karix APIs (egress only)</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Third-party SaaS</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External; egress over HTTPS</w:t>
            </w:r>
          </w:p>
        </w:tc>
      </w:tr>
    </w:tbl>
    <w:p>
      <w:pPr>
        <w:pStyle w:val="Heading2"/>
        <w:spacing w:after="140" w:before="280"/>
      </w:pPr>
      <w:r>
        <w:rPr>
          <w:rFonts w:ascii="Calibri" w:cs="Calibri" w:eastAsia="Calibri" w:hAnsi="Calibri"/>
          <w:b/>
          <w:bCs/>
          <w:color w:val="1F3864"/>
          <w:sz w:val="28"/>
          <w:szCs w:val="28"/>
        </w:rPr>
        <w:t xml:space="preserve">17.2  Deployment topology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Client VPC (AWS ap-south-1 / Mumbai)</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Public subnet</w:t>
            </w:r>
          </w:p>
          <w:p>
            <w:pPr>
              <w:spacing w:after="0"/>
            </w:pPr>
            <w:r>
              <w:rPr>
                <w:rFonts w:ascii="Consolas" w:cs="Consolas" w:eastAsia="Consolas" w:hAnsi="Consolas"/>
                <w:color w:val="1A1A1A"/>
                <w:sz w:val="16"/>
                <w:szCs w:val="16"/>
              </w:rPr>
              <w:t xml:space="preserve">│   └── ALB / API Gateway  ── TLS termination ── Client SSO</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Private subnet (app tier)</w:t>
            </w:r>
          </w:p>
          <w:p>
            <w:pPr>
              <w:spacing w:after="0"/>
            </w:pPr>
            <w:r>
              <w:rPr>
                <w:rFonts w:ascii="Consolas" w:cs="Consolas" w:eastAsia="Consolas" w:hAnsi="Consolas"/>
                <w:color w:val="1A1A1A"/>
                <w:sz w:val="16"/>
                <w:szCs w:val="16"/>
              </w:rPr>
              <w:t xml:space="preserve">│   ├── Novu API           (containers / ECS / EKS / Fargate)</w:t>
            </w:r>
          </w:p>
          <w:p>
            <w:pPr>
              <w:spacing w:after="0"/>
            </w:pPr>
            <w:r>
              <w:rPr>
                <w:rFonts w:ascii="Consolas" w:cs="Consolas" w:eastAsia="Consolas" w:hAnsi="Consolas"/>
                <w:color w:val="1A1A1A"/>
                <w:sz w:val="16"/>
                <w:szCs w:val="16"/>
              </w:rPr>
              <w:t xml:space="preserve">│   ├── Novu Worker        (containers; horizontally scaled)</w:t>
            </w:r>
          </w:p>
          <w:p>
            <w:pPr>
              <w:spacing w:after="0"/>
            </w:pPr>
            <w:r>
              <w:rPr>
                <w:rFonts w:ascii="Consolas" w:cs="Consolas" w:eastAsia="Consolas" w:hAnsi="Consolas"/>
                <w:color w:val="1A1A1A"/>
                <w:sz w:val="16"/>
                <w:szCs w:val="16"/>
              </w:rPr>
              <w:t xml:space="preserve">│   ├── Novu Web           (containers; behind SSO)</w:t>
            </w:r>
          </w:p>
          <w:p>
            <w:pPr>
              <w:spacing w:after="0"/>
            </w:pPr>
            <w:r>
              <w:rPr>
                <w:rFonts w:ascii="Consolas" w:cs="Consolas" w:eastAsia="Consolas" w:hAnsi="Consolas"/>
                <w:color w:val="1A1A1A"/>
                <w:sz w:val="16"/>
                <w:szCs w:val="16"/>
              </w:rPr>
              <w:t xml:space="preserve">│   └── Novu Bridge        (workflow sync target)</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Private subnet (data tier)</w:t>
            </w:r>
          </w:p>
          <w:p>
            <w:pPr>
              <w:spacing w:after="0"/>
            </w:pPr>
            <w:r>
              <w:rPr>
                <w:rFonts w:ascii="Consolas" w:cs="Consolas" w:eastAsia="Consolas" w:hAnsi="Consolas"/>
                <w:color w:val="1A1A1A"/>
                <w:sz w:val="16"/>
                <w:szCs w:val="16"/>
              </w:rPr>
              <w:t xml:space="preserve">│   ├── Postgres (RDS Multi-AZ, ap-south-1a/1b)</w:t>
            </w:r>
          </w:p>
          <w:p>
            <w:pPr>
              <w:spacing w:after="0"/>
            </w:pPr>
            <w:r>
              <w:rPr>
                <w:rFonts w:ascii="Consolas" w:cs="Consolas" w:eastAsia="Consolas" w:hAnsi="Consolas"/>
                <w:color w:val="1A1A1A"/>
                <w:sz w:val="16"/>
                <w:szCs w:val="16"/>
              </w:rPr>
              <w:t xml:space="preserve">│   ├── MongoDB  (Atlas Mumbai or DocumentDB Multi-AZ)</w:t>
            </w:r>
          </w:p>
          <w:p>
            <w:pPr>
              <w:spacing w:after="0"/>
            </w:pPr>
            <w:r>
              <w:rPr>
                <w:rFonts w:ascii="Consolas" w:cs="Consolas" w:eastAsia="Consolas" w:hAnsi="Consolas"/>
                <w:color w:val="1A1A1A"/>
                <w:sz w:val="16"/>
                <w:szCs w:val="16"/>
              </w:rPr>
              <w:t xml:space="preserve">│   └── Redis    (ElastiCache Multi-AZ)</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Secrets</w:t>
            </w:r>
          </w:p>
          <w:p>
            <w:pPr>
              <w:spacing w:after="0"/>
            </w:pPr>
            <w:r>
              <w:rPr>
                <w:rFonts w:ascii="Consolas" w:cs="Consolas" w:eastAsia="Consolas" w:hAnsi="Consolas"/>
                <w:color w:val="1A1A1A"/>
                <w:sz w:val="16"/>
                <w:szCs w:val="16"/>
              </w:rPr>
              <w:t xml:space="preserve">│   └── AWS Secrets Manager</w:t>
            </w:r>
          </w:p>
          <w:p>
            <w:pPr>
              <w:spacing w:after="0"/>
            </w:pPr>
            <w:r>
              <w:rPr>
                <w:rFonts w:ascii="Consolas" w:cs="Consolas" w:eastAsia="Consolas" w:hAnsi="Consolas"/>
                <w:color w:val="1A1A1A"/>
                <w:sz w:val="16"/>
                <w:szCs w:val="16"/>
              </w:rPr>
              <w:t xml:space="preserve">│        - DLT_PE_ID</w:t>
            </w:r>
          </w:p>
          <w:p>
            <w:pPr>
              <w:spacing w:after="0"/>
            </w:pPr>
            <w:r>
              <w:rPr>
                <w:rFonts w:ascii="Consolas" w:cs="Consolas" w:eastAsia="Consolas" w:hAnsi="Consolas"/>
                <w:color w:val="1A1A1A"/>
                <w:sz w:val="16"/>
                <w:szCs w:val="16"/>
              </w:rPr>
              <w:t xml:space="preserve">│        - GUPSHUP_API_KEY</w:t>
            </w:r>
          </w:p>
          <w:p>
            <w:pPr>
              <w:spacing w:after="0"/>
            </w:pPr>
            <w:r>
              <w:rPr>
                <w:rFonts w:ascii="Consolas" w:cs="Consolas" w:eastAsia="Consolas" w:hAnsi="Consolas"/>
                <w:color w:val="1A1A1A"/>
                <w:sz w:val="16"/>
                <w:szCs w:val="16"/>
              </w:rPr>
              <w:t xml:space="preserve">│        - MSG91_AUTH_KEY</w:t>
            </w:r>
          </w:p>
          <w:p>
            <w:pPr>
              <w:spacing w:after="0"/>
            </w:pPr>
            <w:r>
              <w:rPr>
                <w:rFonts w:ascii="Consolas" w:cs="Consolas" w:eastAsia="Consolas" w:hAnsi="Consolas"/>
                <w:color w:val="1A1A1A"/>
                <w:sz w:val="16"/>
                <w:szCs w:val="16"/>
              </w:rPr>
              <w:t xml:space="preserve">│        - KARIX_USERNAME / PASSWORD</w:t>
            </w:r>
          </w:p>
          <w:p>
            <w:pPr>
              <w:spacing w:after="0"/>
            </w:pPr>
            <w:r>
              <w:rPr>
                <w:rFonts w:ascii="Consolas" w:cs="Consolas" w:eastAsia="Consolas" w:hAnsi="Consolas"/>
                <w:color w:val="1A1A1A"/>
                <w:sz w:val="16"/>
                <w:szCs w:val="16"/>
              </w:rPr>
              <w:t xml:space="preserve">│        - SMTP credentials (if any)</w:t>
            </w:r>
          </w:p>
          <w:p>
            <w:pPr>
              <w:spacing w:after="0"/>
            </w:pPr>
            <w:r>
              <w:rPr>
                <w:rFonts w:ascii="Consolas" w:cs="Consolas" w:eastAsia="Consolas" w:hAnsi="Consolas"/>
                <w:color w:val="1A1A1A"/>
                <w:sz w:val="16"/>
                <w:szCs w:val="16"/>
              </w:rPr>
              <w:t xml:space="preserve">│        - Database connection strings</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Egress (NAT)</w:t>
            </w:r>
          </w:p>
          <w:p>
            <w:pPr>
              <w:spacing w:after="0"/>
            </w:pPr>
            <w:r>
              <w:rPr>
                <w:rFonts w:ascii="Consolas" w:cs="Consolas" w:eastAsia="Consolas" w:hAnsi="Consolas"/>
                <w:color w:val="1A1A1A"/>
                <w:sz w:val="16"/>
                <w:szCs w:val="16"/>
              </w:rPr>
              <w:t xml:space="preserve">     └── HTTPS to Gupshup / MSG91 / Karix / Meta WA Cloud API</w:t>
            </w:r>
          </w:p>
          <w:p>
            <w:pPr>
              <w:spacing w:after="0"/>
            </w:pPr>
            <w:r>
              <w:rPr>
                <w:rFonts w:ascii="Consolas" w:cs="Consolas" w:eastAsia="Consolas" w:hAnsi="Consolas"/>
                <w:color w:val="1A1A1A"/>
                <w:sz w:val="16"/>
                <w:szCs w:val="16"/>
              </w:rPr>
              <w:t xml:space="preserve">          (no inbound from these providers; webhooks via API Gateway only)</w:t>
            </w:r>
          </w:p>
        </w:tc>
      </w:tr>
    </w:tbl>
    <w:p>
      <w:pPr>
        <w:pStyle w:val="Heading2"/>
        <w:spacing w:after="140" w:before="280"/>
      </w:pPr>
      <w:r>
        <w:rPr>
          <w:rFonts w:ascii="Calibri" w:cs="Calibri" w:eastAsia="Calibri" w:hAnsi="Calibri"/>
          <w:b/>
          <w:bCs/>
          <w:color w:val="1F3864"/>
          <w:sz w:val="28"/>
          <w:szCs w:val="28"/>
        </w:rPr>
        <w:t xml:space="preserve">17.3  Sizing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9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Component</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v1 sizing</w:t>
            </w:r>
          </w:p>
        </w:tc>
        <w:tc>
          <w:tcPr>
            <w:tcW w:type="dxa" w:w="3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Rationale</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API</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 t3.medium (or 0.5 vCPU / 1 GB equivalent), behind ALB</w:t>
            </w:r>
          </w:p>
        </w:tc>
        <w:tc>
          <w:tcPr>
            <w:tcW w:type="dxa" w:w="3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volume in v1 estimated &lt; 50k/day; comfortably handled</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Worker</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 × t3.large (1 vCPU / 4 GB), auto-scaling on queue depth</w:t>
            </w:r>
          </w:p>
        </w:tc>
        <w:tc>
          <w:tcPr>
            <w:tcW w:type="dxa" w:w="3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execution + scheduled jobs; INV-08 cadence is the heaviest</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Web</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 t3.small, internal-only</w:t>
            </w:r>
          </w:p>
        </w:tc>
        <w:tc>
          <w:tcPr>
            <w:tcW w:type="dxa" w:w="3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dashboard, low-traffic</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Postgres</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RDS db.t3.medium Multi-AZ, 50 GB GP3, daily snapshots</w:t>
            </w:r>
          </w:p>
        </w:tc>
        <w:tc>
          <w:tcPr>
            <w:tcW w:type="dxa" w:w="3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Subscribers + workflow definitions</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MongoDB</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Atlas M10 (or DocumentDB equivalent) Multi-AZ</w:t>
            </w:r>
          </w:p>
        </w:tc>
        <w:tc>
          <w:tcPr>
            <w:tcW w:type="dxa" w:w="3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Notification execution data; growth bounded by retention policy</w:t>
            </w:r>
          </w:p>
        </w:tc>
      </w:tr>
      <w:tr>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Redis</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ElastiCache cache.t3.small Multi-AZ</w:t>
            </w:r>
          </w:p>
        </w:tc>
        <w:tc>
          <w:tcPr>
            <w:tcW w:type="dxa" w:w="3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Queue + cache; rarely a bottleneck at this volume</w:t>
            </w:r>
          </w:p>
        </w:tc>
      </w:tr>
      <w:tr>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Observability</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CloudWatch (default) or Loki + Grafana on a single t3.small</w:t>
            </w:r>
          </w:p>
        </w:tc>
        <w:tc>
          <w:tcPr>
            <w:tcW w:type="dxa" w:w="3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Client preference; documented runbook</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Sizing is v1 conservative.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These figures support a multi-decade investor-premium-reminder workload at TPE’s current and near-term scale. Auto-scaling is configured on Worker tier. The single biggest scale lever is INV-08 (Investor premium-due cadence): once the investor base scales past low six figures, the Worker tier auto-scales accordingly. Postgres and MongoDB sizing should be reviewed annually — see the post-go-live cadence in Section 29.</w:t>
            </w:r>
          </w:p>
        </w:tc>
      </w:tr>
    </w:tbl>
    <w:p>
      <w:pPr>
        <w:pStyle w:val="Heading2"/>
        <w:spacing w:after="140" w:before="280"/>
      </w:pPr>
      <w:r>
        <w:rPr>
          <w:rFonts w:ascii="Calibri" w:cs="Calibri" w:eastAsia="Calibri" w:hAnsi="Calibri"/>
          <w:b/>
          <w:bCs/>
          <w:color w:val="1F3864"/>
          <w:sz w:val="28"/>
          <w:szCs w:val="28"/>
        </w:rPr>
        <w:t xml:space="preserve">17.4  Repository layout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tpe-novu/</w:t>
            </w:r>
          </w:p>
          <w:p>
            <w:pPr>
              <w:spacing w:after="0"/>
            </w:pPr>
            <w:r>
              <w:rPr>
                <w:rFonts w:ascii="Consolas" w:cs="Consolas" w:eastAsia="Consolas" w:hAnsi="Consolas"/>
                <w:color w:val="1A1A1A"/>
                <w:sz w:val="16"/>
                <w:szCs w:val="16"/>
              </w:rPr>
              <w:t xml:space="preserve">├── docs/</w:t>
            </w:r>
          </w:p>
          <w:p>
            <w:pPr>
              <w:spacing w:after="0"/>
            </w:pPr>
            <w:r>
              <w:rPr>
                <w:rFonts w:ascii="Consolas" w:cs="Consolas" w:eastAsia="Consolas" w:hAnsi="Consolas"/>
                <w:color w:val="1A1A1A"/>
                <w:sz w:val="16"/>
                <w:szCs w:val="16"/>
              </w:rPr>
              <w:t xml:space="preserve">│   ├── TPE_Communication_System_SOW_v4.0.docx     (this document)</w:t>
            </w:r>
          </w:p>
          <w:p>
            <w:pPr>
              <w:spacing w:after="0"/>
            </w:pPr>
            <w:r>
              <w:rPr>
                <w:rFonts w:ascii="Consolas" w:cs="Consolas" w:eastAsia="Consolas" w:hAnsi="Consolas"/>
                <w:color w:val="1A1A1A"/>
                <w:sz w:val="16"/>
                <w:szCs w:val="16"/>
              </w:rPr>
              <w:t xml:space="preserve">│   ├── infrastructure-runbook.md</w:t>
            </w:r>
          </w:p>
          <w:p>
            <w:pPr>
              <w:spacing w:after="0"/>
            </w:pPr>
            <w:r>
              <w:rPr>
                <w:rFonts w:ascii="Consolas" w:cs="Consolas" w:eastAsia="Consolas" w:hAnsi="Consolas"/>
                <w:color w:val="1A1A1A"/>
                <w:sz w:val="16"/>
                <w:szCs w:val="16"/>
              </w:rPr>
              <w:t xml:space="preserve">│   ├── workflow-author-guide.md</w:t>
            </w:r>
          </w:p>
          <w:p>
            <w:pPr>
              <w:spacing w:after="0"/>
            </w:pPr>
            <w:r>
              <w:rPr>
                <w:rFonts w:ascii="Consolas" w:cs="Consolas" w:eastAsia="Consolas" w:hAnsi="Consolas"/>
                <w:color w:val="1A1A1A"/>
                <w:sz w:val="16"/>
                <w:szCs w:val="16"/>
              </w:rPr>
              <w:t xml:space="preserve">│   ├── compliance-reference.md</w:t>
            </w:r>
          </w:p>
          <w:p>
            <w:pPr>
              <w:spacing w:after="0"/>
            </w:pPr>
            <w:r>
              <w:rPr>
                <w:rFonts w:ascii="Consolas" w:cs="Consolas" w:eastAsia="Consolas" w:hAnsi="Consolas"/>
                <w:color w:val="1A1A1A"/>
                <w:sz w:val="16"/>
                <w:szCs w:val="16"/>
              </w:rPr>
              <w:t xml:space="preserve">│   ├── provider-plugins.md</w:t>
            </w:r>
          </w:p>
          <w:p>
            <w:pPr>
              <w:spacing w:after="0"/>
            </w:pPr>
            <w:r>
              <w:rPr>
                <w:rFonts w:ascii="Consolas" w:cs="Consolas" w:eastAsia="Consolas" w:hAnsi="Consolas"/>
                <w:color w:val="1A1A1A"/>
                <w:sz w:val="16"/>
                <w:szCs w:val="16"/>
              </w:rPr>
              <w:t xml:space="preserve">│   └── ops-runbook.md</w:t>
            </w:r>
          </w:p>
          <w:p>
            <w:pPr>
              <w:spacing w:after="0"/>
            </w:pPr>
            <w:r>
              <w:rPr>
                <w:rFonts w:ascii="Consolas" w:cs="Consolas" w:eastAsia="Consolas" w:hAnsi="Consolas"/>
                <w:color w:val="1A1A1A"/>
                <w:sz w:val="16"/>
                <w:szCs w:val="16"/>
              </w:rPr>
              <w:t xml:space="preserve">├── workflows/</w:t>
            </w:r>
          </w:p>
          <w:p>
            <w:pPr>
              <w:spacing w:after="0"/>
            </w:pPr>
            <w:r>
              <w:rPr>
                <w:rFonts w:ascii="Consolas" w:cs="Consolas" w:eastAsia="Consolas" w:hAnsi="Consolas"/>
                <w:color w:val="1A1A1A"/>
                <w:sz w:val="16"/>
                <w:szCs w:val="16"/>
              </w:rPr>
              <w:t xml:space="preserve">│   ├── policyholder/    (18 workflow.ts files)</w:t>
            </w:r>
          </w:p>
          <w:p>
            <w:pPr>
              <w:spacing w:after="0"/>
            </w:pPr>
            <w:r>
              <w:rPr>
                <w:rFonts w:ascii="Consolas" w:cs="Consolas" w:eastAsia="Consolas" w:hAnsi="Consolas"/>
                <w:color w:val="1A1A1A"/>
                <w:sz w:val="16"/>
                <w:szCs w:val="16"/>
              </w:rPr>
              <w:t xml:space="preserve">│   ├── investor/        (16 workflow.ts files)</w:t>
            </w:r>
          </w:p>
          <w:p>
            <w:pPr>
              <w:spacing w:after="0"/>
            </w:pPr>
            <w:r>
              <w:rPr>
                <w:rFonts w:ascii="Consolas" w:cs="Consolas" w:eastAsia="Consolas" w:hAnsi="Consolas"/>
                <w:color w:val="1A1A1A"/>
                <w:sz w:val="16"/>
                <w:szCs w:val="16"/>
              </w:rPr>
              <w:t xml:space="preserve">│   ├── insurer/         ( 6 workflow.ts files)</w:t>
            </w:r>
          </w:p>
          <w:p>
            <w:pPr>
              <w:spacing w:after="0"/>
            </w:pPr>
            <w:r>
              <w:rPr>
                <w:rFonts w:ascii="Consolas" w:cs="Consolas" w:eastAsia="Consolas" w:hAnsi="Consolas"/>
                <w:color w:val="1A1A1A"/>
                <w:sz w:val="16"/>
                <w:szCs w:val="16"/>
              </w:rPr>
              <w:t xml:space="preserve">│   ├── internal/        ( 6 workflow.ts files)</w:t>
            </w:r>
          </w:p>
          <w:p>
            <w:pPr>
              <w:spacing w:after="0"/>
            </w:pPr>
            <w:r>
              <w:rPr>
                <w:rFonts w:ascii="Consolas" w:cs="Consolas" w:eastAsia="Consolas" w:hAnsi="Consolas"/>
                <w:color w:val="1A1A1A"/>
                <w:sz w:val="16"/>
                <w:szCs w:val="16"/>
              </w:rPr>
              <w:t xml:space="preserve">│   └── regulatory/      ( 3 workflow.ts files)</w:t>
            </w:r>
          </w:p>
          <w:p>
            <w:pPr>
              <w:spacing w:after="0"/>
            </w:pPr>
            <w:r>
              <w:rPr>
                <w:rFonts w:ascii="Consolas" w:cs="Consolas" w:eastAsia="Consolas" w:hAnsi="Consolas"/>
                <w:color w:val="1A1A1A"/>
                <w:sz w:val="16"/>
                <w:szCs w:val="16"/>
              </w:rPr>
              <w:t xml:space="preserve">├── providers/                   (custom Novu provider plugins)</w:t>
            </w:r>
          </w:p>
          <w:p>
            <w:pPr>
              <w:spacing w:after="0"/>
            </w:pPr>
            <w:r>
              <w:rPr>
                <w:rFonts w:ascii="Consolas" w:cs="Consolas" w:eastAsia="Consolas" w:hAnsi="Consolas"/>
                <w:color w:val="1A1A1A"/>
                <w:sz w:val="16"/>
                <w:szCs w:val="16"/>
              </w:rPr>
              <w:t xml:space="preserve">│   ├── msg91/                   (sms, whatsapp, email)</w:t>
            </w:r>
          </w:p>
          <w:p>
            <w:pPr>
              <w:spacing w:after="0"/>
            </w:pPr>
            <w:r>
              <w:rPr>
                <w:rFonts w:ascii="Consolas" w:cs="Consolas" w:eastAsia="Consolas" w:hAnsi="Consolas"/>
                <w:color w:val="1A1A1A"/>
                <w:sz w:val="16"/>
                <w:szCs w:val="16"/>
              </w:rPr>
              <w:t xml:space="preserve">│   └── karix/                   (sms, whatsapp)</w:t>
            </w:r>
          </w:p>
          <w:p>
            <w:pPr>
              <w:spacing w:after="0"/>
            </w:pPr>
            <w:r>
              <w:rPr>
                <w:rFonts w:ascii="Consolas" w:cs="Consolas" w:eastAsia="Consolas" w:hAnsi="Consolas"/>
                <w:color w:val="1A1A1A"/>
                <w:sz w:val="16"/>
                <w:szCs w:val="16"/>
              </w:rPr>
              <w:t xml:space="preserve">├── middleware/                  (Novu Framework custom steps)</w:t>
            </w:r>
          </w:p>
          <w:p>
            <w:pPr>
              <w:spacing w:after="0"/>
            </w:pPr>
            <w:r>
              <w:rPr>
                <w:rFonts w:ascii="Consolas" w:cs="Consolas" w:eastAsia="Consolas" w:hAnsi="Consolas"/>
                <w:color w:val="1A1A1A"/>
                <w:sz w:val="16"/>
                <w:szCs w:val="16"/>
              </w:rPr>
              <w:t xml:space="preserve">│   ├── compliance/              (DLT, IRDAI, WA-BSP, DPDPA, brand-voice rules)</w:t>
            </w:r>
          </w:p>
          <w:p>
            <w:pPr>
              <w:spacing w:after="0"/>
            </w:pPr>
            <w:r>
              <w:rPr>
                <w:rFonts w:ascii="Consolas" w:cs="Consolas" w:eastAsia="Consolas" w:hAnsi="Consolas"/>
                <w:color w:val="1A1A1A"/>
                <w:sz w:val="16"/>
                <w:szCs w:val="16"/>
              </w:rPr>
              <w:t xml:space="preserve">│   ├── audit/                   (audit-trail emit)</w:t>
            </w:r>
          </w:p>
          <w:p>
            <w:pPr>
              <w:spacing w:after="0"/>
            </w:pPr>
            <w:r>
              <w:rPr>
                <w:rFonts w:ascii="Consolas" w:cs="Consolas" w:eastAsia="Consolas" w:hAnsi="Consolas"/>
                <w:color w:val="1A1A1A"/>
                <w:sz w:val="16"/>
                <w:szCs w:val="16"/>
              </w:rPr>
              <w:t xml:space="preserve">│   └── tenancy/                 (insurer-aware sender-identity routing)</w:t>
            </w:r>
          </w:p>
          <w:p>
            <w:pPr>
              <w:spacing w:after="0"/>
            </w:pPr>
            <w:r>
              <w:rPr>
                <w:rFonts w:ascii="Consolas" w:cs="Consolas" w:eastAsia="Consolas" w:hAnsi="Consolas"/>
                <w:color w:val="1A1A1A"/>
                <w:sz w:val="16"/>
                <w:szCs w:val="16"/>
              </w:rPr>
              <w:t xml:space="preserve">├── content/                     (shared content modules)</w:t>
            </w:r>
          </w:p>
          <w:p>
            <w:pPr>
              <w:spacing w:after="0"/>
            </w:pPr>
            <w:r>
              <w:rPr>
                <w:rFonts w:ascii="Consolas" w:cs="Consolas" w:eastAsia="Consolas" w:hAnsi="Consolas"/>
                <w:color w:val="1A1A1A"/>
                <w:sz w:val="16"/>
                <w:szCs w:val="16"/>
              </w:rPr>
              <w:t xml:space="preserve">│   ├── disclaimers/             (IRDAI, FATCA, TDS — TS modules)</w:t>
            </w:r>
          </w:p>
          <w:p>
            <w:pPr>
              <w:spacing w:after="0"/>
            </w:pPr>
            <w:r>
              <w:rPr>
                <w:rFonts w:ascii="Consolas" w:cs="Consolas" w:eastAsia="Consolas" w:hAnsi="Consolas"/>
                <w:color w:val="1A1A1A"/>
                <w:sz w:val="16"/>
                <w:szCs w:val="16"/>
              </w:rPr>
              <w:t xml:space="preserve">│   ├── footers/                 (opt-out, grievance — TS modules)</w:t>
            </w:r>
          </w:p>
          <w:p>
            <w:pPr>
              <w:spacing w:after="0"/>
            </w:pPr>
            <w:r>
              <w:rPr>
                <w:rFonts w:ascii="Consolas" w:cs="Consolas" w:eastAsia="Consolas" w:hAnsi="Consolas"/>
                <w:color w:val="1A1A1A"/>
                <w:sz w:val="16"/>
                <w:szCs w:val="16"/>
              </w:rPr>
              <w:t xml:space="preserve">│   ├── voices/                  (audience-specific tone helpers)</w:t>
            </w:r>
          </w:p>
          <w:p>
            <w:pPr>
              <w:spacing w:after="0"/>
            </w:pPr>
            <w:r>
              <w:rPr>
                <w:rFonts w:ascii="Consolas" w:cs="Consolas" w:eastAsia="Consolas" w:hAnsi="Consolas"/>
                <w:color w:val="1A1A1A"/>
                <w:sz w:val="16"/>
                <w:szCs w:val="16"/>
              </w:rPr>
              <w:t xml:space="preserve">│   └── senders/                 (TPE_CARE, TPE_INVEST, TPE_OPS, plus 11 carrier-specific)</w:t>
            </w:r>
          </w:p>
          <w:p>
            <w:pPr>
              <w:spacing w:after="0"/>
            </w:pPr>
            <w:r>
              <w:rPr>
                <w:rFonts w:ascii="Consolas" w:cs="Consolas" w:eastAsia="Consolas" w:hAnsi="Consolas"/>
                <w:color w:val="1A1A1A"/>
                <w:sz w:val="16"/>
                <w:szCs w:val="16"/>
              </w:rPr>
              <w:t xml:space="preserve">├── infra/                       (IaC for self-hosted Novu)</w:t>
            </w:r>
          </w:p>
          <w:p>
            <w:pPr>
              <w:spacing w:after="0"/>
            </w:pPr>
            <w:r>
              <w:rPr>
                <w:rFonts w:ascii="Consolas" w:cs="Consolas" w:eastAsia="Consolas" w:hAnsi="Consolas"/>
                <w:color w:val="1A1A1A"/>
                <w:sz w:val="16"/>
                <w:szCs w:val="16"/>
              </w:rPr>
              <w:t xml:space="preserve">│   ├── terraform/               (VPC, ECS/EKS, RDS, Mongo, Redis, ALB, IAM)</w:t>
            </w:r>
          </w:p>
          <w:p>
            <w:pPr>
              <w:spacing w:after="0"/>
            </w:pPr>
            <w:r>
              <w:rPr>
                <w:rFonts w:ascii="Consolas" w:cs="Consolas" w:eastAsia="Consolas" w:hAnsi="Consolas"/>
                <w:color w:val="1A1A1A"/>
                <w:sz w:val="16"/>
                <w:szCs w:val="16"/>
              </w:rPr>
              <w:t xml:space="preserve">│   └── helm/                    (if Kubernetes route chosen)</w:t>
            </w:r>
          </w:p>
          <w:p>
            <w:pPr>
              <w:spacing w:after="0"/>
            </w:pPr>
            <w:r>
              <w:rPr>
                <w:rFonts w:ascii="Consolas" w:cs="Consolas" w:eastAsia="Consolas" w:hAnsi="Consolas"/>
                <w:color w:val="1A1A1A"/>
                <w:sz w:val="16"/>
                <w:szCs w:val="16"/>
              </w:rPr>
              <w:t xml:space="preserve">├── observability/</w:t>
            </w:r>
          </w:p>
          <w:p>
            <w:pPr>
              <w:spacing w:after="0"/>
            </w:pPr>
            <w:r>
              <w:rPr>
                <w:rFonts w:ascii="Consolas" w:cs="Consolas" w:eastAsia="Consolas" w:hAnsi="Consolas"/>
                <w:color w:val="1A1A1A"/>
                <w:sz w:val="16"/>
                <w:szCs w:val="16"/>
              </w:rPr>
              <w:t xml:space="preserve">│   ├── dashboards/              (Grafana / CloudWatch dashboard JSON)</w:t>
            </w:r>
          </w:p>
          <w:p>
            <w:pPr>
              <w:spacing w:after="0"/>
            </w:pPr>
            <w:r>
              <w:rPr>
                <w:rFonts w:ascii="Consolas" w:cs="Consolas" w:eastAsia="Consolas" w:hAnsi="Consolas"/>
                <w:color w:val="1A1A1A"/>
                <w:sz w:val="16"/>
                <w:szCs w:val="16"/>
              </w:rPr>
              <w:t xml:space="preserve">│   └── alerts/                  (alerting rule definitions)</w:t>
            </w:r>
          </w:p>
          <w:p>
            <w:pPr>
              <w:spacing w:after="0"/>
            </w:pPr>
            <w:r>
              <w:rPr>
                <w:rFonts w:ascii="Consolas" w:cs="Consolas" w:eastAsia="Consolas" w:hAnsi="Consolas"/>
                <w:color w:val="1A1A1A"/>
                <w:sz w:val="16"/>
                <w:szCs w:val="16"/>
              </w:rPr>
              <w:t xml:space="preserve">└── tests/</w:t>
            </w:r>
          </w:p>
          <w:p>
            <w:pPr>
              <w:spacing w:after="0"/>
            </w:pPr>
            <w:r>
              <w:rPr>
                <w:rFonts w:ascii="Consolas" w:cs="Consolas" w:eastAsia="Consolas" w:hAnsi="Consolas"/>
                <w:color w:val="1A1A1A"/>
                <w:sz w:val="16"/>
                <w:szCs w:val="16"/>
              </w:rPr>
              <w:t xml:space="preserve">    ├── compliance/              (lint middleware test pack)</w:t>
            </w:r>
          </w:p>
          <w:p>
            <w:pPr>
              <w:spacing w:after="0"/>
            </w:pPr>
            <w:r>
              <w:rPr>
                <w:rFonts w:ascii="Consolas" w:cs="Consolas" w:eastAsia="Consolas" w:hAnsi="Consolas"/>
                <w:color w:val="1A1A1A"/>
                <w:sz w:val="16"/>
                <w:szCs w:val="16"/>
              </w:rPr>
              <w:t xml:space="preserve">    ├── workflows/               (workflow execution + render goldens)</w:t>
            </w:r>
          </w:p>
          <w:p>
            <w:pPr>
              <w:spacing w:after="0"/>
            </w:pPr>
            <w:r>
              <w:rPr>
                <w:rFonts w:ascii="Consolas" w:cs="Consolas" w:eastAsia="Consolas" w:hAnsi="Consolas"/>
                <w:color w:val="1A1A1A"/>
                <w:sz w:val="16"/>
                <w:szCs w:val="16"/>
              </w:rPr>
              <w:t xml:space="preserve">    ├── providers/               (custom provider unit + integration tests)</w:t>
            </w:r>
          </w:p>
          <w:p>
            <w:pPr>
              <w:spacing w:after="0"/>
            </w:pPr>
            <w:r>
              <w:rPr>
                <w:rFonts w:ascii="Consolas" w:cs="Consolas" w:eastAsia="Consolas" w:hAnsi="Consolas"/>
                <w:color w:val="1A1A1A"/>
                <w:sz w:val="16"/>
                <w:szCs w:val="16"/>
              </w:rPr>
              <w:t xml:space="preserve">    └── e2e/                     (sandbox end-to-end against Gupshup test account)</w:t>
            </w:r>
          </w:p>
        </w:tc>
      </w:tr>
    </w:tbl>
    <w:p>
      <w:pPr>
        <w:pStyle w:val="Heading1"/>
        <w:pageBreakBefore/>
        <w:spacing w:after="240" w:before="0"/>
      </w:pPr>
      <w:r>
        <w:rPr>
          <w:rFonts w:ascii="Calibri" w:cs="Calibri" w:eastAsia="Calibri" w:hAnsi="Calibri"/>
          <w:b/>
          <w:bCs/>
          <w:color w:val="1F3864"/>
          <w:sz w:val="36"/>
          <w:szCs w:val="36"/>
        </w:rPr>
        <w:t xml:space="preserve">18. Operational Engineering — Custom Providers, Compliance Middleware, Observability &amp; Multi-tenancy</w:t>
      </w:r>
    </w:p>
    <w:p>
      <w:pPr>
        <w:spacing w:after="120" w:before="0"/>
      </w:pPr>
      <w:r>
        <w:rPr>
          <w:rFonts w:ascii="Calibri" w:cs="Calibri" w:eastAsia="Calibri" w:hAnsi="Calibri"/>
          <w:color w:val="1A1A1A"/>
          <w:sz w:val="20"/>
          <w:szCs w:val="20"/>
        </w:rPr>
        <w:t xml:space="preserve">Section 18 is the technical heart of v4.0. Novu provides the workflow engine; this section covers everything the Consultant builds on top of it that is unique to TPE’s requirements. Four sub-systems: custom channel providers; compliance middleware; observability and audit; multi-tenant insurer routing. Each is delivered, tested and documented in this engagement.</w:t>
      </w:r>
    </w:p>
    <w:p>
      <w:pPr>
        <w:pStyle w:val="Heading2"/>
        <w:spacing w:after="140" w:before="280"/>
      </w:pPr>
      <w:r>
        <w:rPr>
          <w:rFonts w:ascii="Calibri" w:cs="Calibri" w:eastAsia="Calibri" w:hAnsi="Calibri"/>
          <w:b/>
          <w:bCs/>
          <w:color w:val="1F3864"/>
          <w:sz w:val="28"/>
          <w:szCs w:val="28"/>
        </w:rPr>
        <w:t xml:space="preserve">18.1  Custom Channel Provider Plugins</w:t>
      </w:r>
    </w:p>
    <w:p>
      <w:pPr>
        <w:spacing w:after="120" w:before="0"/>
      </w:pPr>
      <w:r>
        <w:rPr>
          <w:rFonts w:ascii="Calibri" w:cs="Calibri" w:eastAsia="Calibri" w:hAnsi="Calibri"/>
          <w:color w:val="1A1A1A"/>
          <w:sz w:val="20"/>
          <w:szCs w:val="20"/>
        </w:rPr>
        <w:t xml:space="preserve">Novu ships Gupshup as a native provider with first-class DLT support — dltTemplateId and principalEntityId are accepted via per-trigger overrides. MSG91 and Karix do not have native Novu providers in this profile. The Consultant builds them as Novu provider plugins, conforming to Novu’s ISmsProvider / IChatProvider / IEmailProvider interfaces, deployed alongside the upstream Novu services.</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400"/>
        <w:gridCol w:w="1300"/>
        <w:gridCol w:w="284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Provider</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Novu support</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Effort</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DLT pass-through</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(upstream Novu)</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RCS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Configuration only (≤ 0.5 day)</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via overrides.providers.gupshup.{principalEntityId, dltTemplateId}</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plugin (this engagement)</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Email (via SMTP layer)</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1.5 days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Plugin maps payload.providers.msg91.{template_id, dlt_te_id} to MSG91 send API</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Karix</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plugin (this engagement)</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1.5 days</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Plugin maps payload.providers.karix.{templateId, peId} to Karix transactional API</w:t>
            </w:r>
          </w:p>
        </w:tc>
      </w:tr>
    </w:tbl>
    <w:p>
      <w:pPr>
        <w:pStyle w:val="Heading3"/>
        <w:spacing w:after="100" w:before="200"/>
      </w:pPr>
      <w:r>
        <w:rPr>
          <w:rFonts w:ascii="Calibri" w:cs="Calibri" w:eastAsia="Calibri" w:hAnsi="Calibri"/>
          <w:b/>
          <w:bCs/>
          <w:color w:val="1A1A1A"/>
          <w:sz w:val="24"/>
          <w:szCs w:val="24"/>
        </w:rPr>
        <w:t xml:space="preserve">18.1.1  Plugin contract (illustrative)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 providers/msg91/sms.provider.ts</w:t>
            </w:r>
          </w:p>
          <w:p>
            <w:pPr>
              <w:spacing w:after="0"/>
            </w:pPr>
            <w:r>
              <w:rPr>
                <w:rFonts w:ascii="Consolas" w:cs="Consolas" w:eastAsia="Consolas" w:hAnsi="Consolas"/>
                <w:color w:val="1A1A1A"/>
                <w:sz w:val="16"/>
                <w:szCs w:val="16"/>
              </w:rPr>
              <w:t xml:space="preserve">import {</w:t>
            </w:r>
          </w:p>
          <w:p>
            <w:pPr>
              <w:spacing w:after="0"/>
            </w:pPr>
            <w:r>
              <w:rPr>
                <w:rFonts w:ascii="Consolas" w:cs="Consolas" w:eastAsia="Consolas" w:hAnsi="Consolas"/>
                <w:color w:val="1A1A1A"/>
                <w:sz w:val="16"/>
                <w:szCs w:val="16"/>
              </w:rPr>
              <w:t xml:space="preserve">  ChannelTypeEnum,</w:t>
            </w:r>
          </w:p>
          <w:p>
            <w:pPr>
              <w:spacing w:after="0"/>
            </w:pPr>
            <w:r>
              <w:rPr>
                <w:rFonts w:ascii="Consolas" w:cs="Consolas" w:eastAsia="Consolas" w:hAnsi="Consolas"/>
                <w:color w:val="1A1A1A"/>
                <w:sz w:val="16"/>
                <w:szCs w:val="16"/>
              </w:rPr>
              <w:t xml:space="preserve">  ICheckIntegrationResponse,</w:t>
            </w:r>
          </w:p>
          <w:p>
            <w:pPr>
              <w:spacing w:after="0"/>
            </w:pPr>
            <w:r>
              <w:rPr>
                <w:rFonts w:ascii="Consolas" w:cs="Consolas" w:eastAsia="Consolas" w:hAnsi="Consolas"/>
                <w:color w:val="1A1A1A"/>
                <w:sz w:val="16"/>
                <w:szCs w:val="16"/>
              </w:rPr>
              <w:t xml:space="preserve">  ISendMessageSuccessResponse,</w:t>
            </w:r>
          </w:p>
          <w:p>
            <w:pPr>
              <w:spacing w:after="0"/>
            </w:pPr>
            <w:r>
              <w:rPr>
                <w:rFonts w:ascii="Consolas" w:cs="Consolas" w:eastAsia="Consolas" w:hAnsi="Consolas"/>
                <w:color w:val="1A1A1A"/>
                <w:sz w:val="16"/>
                <w:szCs w:val="16"/>
              </w:rPr>
              <w:t xml:space="preserve">  ISmsOptions,</w:t>
            </w:r>
          </w:p>
          <w:p>
            <w:pPr>
              <w:spacing w:after="0"/>
            </w:pPr>
            <w:r>
              <w:rPr>
                <w:rFonts w:ascii="Consolas" w:cs="Consolas" w:eastAsia="Consolas" w:hAnsi="Consolas"/>
                <w:color w:val="1A1A1A"/>
                <w:sz w:val="16"/>
                <w:szCs w:val="16"/>
              </w:rPr>
              <w:t xml:space="preserve">  ISmsProvider,</w:t>
            </w:r>
          </w:p>
          <w:p>
            <w:pPr>
              <w:spacing w:after="0"/>
            </w:pPr>
            <w:r>
              <w:rPr>
                <w:rFonts w:ascii="Consolas" w:cs="Consolas" w:eastAsia="Consolas" w:hAnsi="Consolas"/>
                <w:color w:val="1A1A1A"/>
                <w:sz w:val="16"/>
                <w:szCs w:val="16"/>
              </w:rPr>
              <w:t xml:space="preserve">} from '@novu/stateless';</w:t>
            </w:r>
          </w:p>
          <w:p>
            <w:pPr>
              <w:spacing w:after="0"/>
            </w:pPr>
            <w:r>
              <w:rPr>
                <w:rFonts w:ascii="Consolas" w:cs="Consolas" w:eastAsia="Consolas" w:hAnsi="Consolas"/>
                <w:color w:val="1A1A1A"/>
                <w:sz w:val="16"/>
                <w:szCs w:val="16"/>
              </w:rPr>
              <w:t xml:space="preserve">import axios from 'axios';</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export class Msg91SmsProvider implements ISmsProvider {</w:t>
            </w:r>
          </w:p>
          <w:p>
            <w:pPr>
              <w:spacing w:after="0"/>
            </w:pPr>
            <w:r>
              <w:rPr>
                <w:rFonts w:ascii="Consolas" w:cs="Consolas" w:eastAsia="Consolas" w:hAnsi="Consolas"/>
                <w:color w:val="1A1A1A"/>
                <w:sz w:val="16"/>
                <w:szCs w:val="16"/>
              </w:rPr>
              <w:t xml:space="preserve">  id = 'msg91';</w:t>
            </w:r>
          </w:p>
          <w:p>
            <w:pPr>
              <w:spacing w:after="0"/>
            </w:pPr>
            <w:r>
              <w:rPr>
                <w:rFonts w:ascii="Consolas" w:cs="Consolas" w:eastAsia="Consolas" w:hAnsi="Consolas"/>
                <w:color w:val="1A1A1A"/>
                <w:sz w:val="16"/>
                <w:szCs w:val="16"/>
              </w:rPr>
              <w:t xml:space="preserve">  channelType = ChannelTypeEnum.SMS;</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constructor(</w:t>
            </w:r>
          </w:p>
          <w:p>
            <w:pPr>
              <w:spacing w:after="0"/>
            </w:pPr>
            <w:r>
              <w:rPr>
                <w:rFonts w:ascii="Consolas" w:cs="Consolas" w:eastAsia="Consolas" w:hAnsi="Consolas"/>
                <w:color w:val="1A1A1A"/>
                <w:sz w:val="16"/>
                <w:szCs w:val="16"/>
              </w:rPr>
              <w:t xml:space="preserve">    private config: {</w:t>
            </w:r>
          </w:p>
          <w:p>
            <w:pPr>
              <w:spacing w:after="0"/>
            </w:pPr>
            <w:r>
              <w:rPr>
                <w:rFonts w:ascii="Consolas" w:cs="Consolas" w:eastAsia="Consolas" w:hAnsi="Consolas"/>
                <w:color w:val="1A1A1A"/>
                <w:sz w:val="16"/>
                <w:szCs w:val="16"/>
              </w:rPr>
              <w:t xml:space="preserve">      authKey: string;</w:t>
            </w:r>
          </w:p>
          <w:p>
            <w:pPr>
              <w:spacing w:after="0"/>
            </w:pPr>
            <w:r>
              <w:rPr>
                <w:rFonts w:ascii="Consolas" w:cs="Consolas" w:eastAsia="Consolas" w:hAnsi="Consolas"/>
                <w:color w:val="1A1A1A"/>
                <w:sz w:val="16"/>
                <w:szCs w:val="16"/>
              </w:rPr>
              <w:t xml:space="preserve">      senderId: string;</w:t>
            </w:r>
          </w:p>
          <w:p>
            <w:pPr>
              <w:spacing w:after="0"/>
            </w:pPr>
            <w:r>
              <w:rPr>
                <w:rFonts w:ascii="Consolas" w:cs="Consolas" w:eastAsia="Consolas" w:hAnsi="Consolas"/>
                <w:color w:val="1A1A1A"/>
                <w:sz w:val="16"/>
                <w:szCs w:val="16"/>
              </w:rPr>
              <w:t xml:space="preserve">      route: 'transactional' | 'promotional';</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async sendMessage(options: ISmsOptions): Promise&lt;ISendMessageSuccessResponse&gt; {</w:t>
            </w:r>
          </w:p>
          <w:p>
            <w:pPr>
              <w:spacing w:after="0"/>
            </w:pPr>
            <w:r>
              <w:rPr>
                <w:rFonts w:ascii="Consolas" w:cs="Consolas" w:eastAsia="Consolas" w:hAnsi="Consolas"/>
                <w:color w:val="1A1A1A"/>
                <w:sz w:val="16"/>
                <w:szCs w:val="16"/>
              </w:rPr>
              <w:t xml:space="preserve">    const dlt = options.customData ?? {};   // { template_id, dlt_te_id }</w:t>
            </w:r>
          </w:p>
          <w:p>
            <w:pPr>
              <w:spacing w:after="0"/>
            </w:pPr>
            <w:r>
              <w:rPr>
                <w:rFonts w:ascii="Consolas" w:cs="Consolas" w:eastAsia="Consolas" w:hAnsi="Consolas"/>
                <w:color w:val="1A1A1A"/>
                <w:sz w:val="16"/>
                <w:szCs w:val="16"/>
              </w:rPr>
              <w:t xml:space="preserve">    const res = await axios.post(</w:t>
            </w:r>
          </w:p>
          <w:p>
            <w:pPr>
              <w:spacing w:after="0"/>
            </w:pPr>
            <w:r>
              <w:rPr>
                <w:rFonts w:ascii="Consolas" w:cs="Consolas" w:eastAsia="Consolas" w:hAnsi="Consolas"/>
                <w:color w:val="1A1A1A"/>
                <w:sz w:val="16"/>
                <w:szCs w:val="16"/>
              </w:rPr>
              <w:t xml:space="preserve">      'https://control.msg91.com/api/v5/flow/',</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flow_id:        dlt.template_id,    // MSG91 flow / template id</w:t>
            </w:r>
          </w:p>
          <w:p>
            <w:pPr>
              <w:spacing w:after="0"/>
            </w:pPr>
            <w:r>
              <w:rPr>
                <w:rFonts w:ascii="Consolas" w:cs="Consolas" w:eastAsia="Consolas" w:hAnsi="Consolas"/>
                <w:color w:val="1A1A1A"/>
                <w:sz w:val="16"/>
                <w:szCs w:val="16"/>
              </w:rPr>
              <w:t xml:space="preserve">        sender:         this.config.senderId,</w:t>
            </w:r>
          </w:p>
          <w:p>
            <w:pPr>
              <w:spacing w:after="0"/>
            </w:pPr>
            <w:r>
              <w:rPr>
                <w:rFonts w:ascii="Consolas" w:cs="Consolas" w:eastAsia="Consolas" w:hAnsi="Consolas"/>
                <w:color w:val="1A1A1A"/>
                <w:sz w:val="16"/>
                <w:szCs w:val="16"/>
              </w:rPr>
              <w:t xml:space="preserve">        mobiles:        options.to,</w:t>
            </w:r>
          </w:p>
          <w:p>
            <w:pPr>
              <w:spacing w:after="0"/>
            </w:pPr>
            <w:r>
              <w:rPr>
                <w:rFonts w:ascii="Consolas" w:cs="Consolas" w:eastAsia="Consolas" w:hAnsi="Consolas"/>
                <w:color w:val="1A1A1A"/>
                <w:sz w:val="16"/>
                <w:szCs w:val="16"/>
              </w:rPr>
              <w:t xml:space="preserve">        DLT_TE_ID:      dlt.dlt_te_id,</w:t>
            </w:r>
          </w:p>
          <w:p>
            <w:pPr>
              <w:spacing w:after="0"/>
            </w:pPr>
            <w:r>
              <w:rPr>
                <w:rFonts w:ascii="Consolas" w:cs="Consolas" w:eastAsia="Consolas" w:hAnsi="Consolas"/>
                <w:color w:val="1A1A1A"/>
                <w:sz w:val="16"/>
                <w:szCs w:val="16"/>
              </w:rPr>
              <w:t xml:space="preserve">        VAR1:           options.content,    // or full variable map</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 headers: { authkey: this.config.authKey }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return { id: res.data.request_id, date: new Date().toISOString()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async checkIntegration(): Promise&lt;ICheckIntegrationResponse&gt; {</w:t>
            </w:r>
          </w:p>
          <w:p>
            <w:pPr>
              <w:spacing w:after="0"/>
            </w:pPr>
            <w:r>
              <w:rPr>
                <w:rFonts w:ascii="Consolas" w:cs="Consolas" w:eastAsia="Consolas" w:hAnsi="Consolas"/>
                <w:color w:val="1A1A1A"/>
                <w:sz w:val="16"/>
                <w:szCs w:val="16"/>
              </w:rPr>
              <w:t xml:space="preserve">    // ping a balance / status endpoint</w:t>
            </w:r>
          </w:p>
          <w:p>
            <w:pPr>
              <w:spacing w:after="0"/>
            </w:pPr>
            <w:r>
              <w:rPr>
                <w:rFonts w:ascii="Consolas" w:cs="Consolas" w:eastAsia="Consolas" w:hAnsi="Consolas"/>
                <w:color w:val="1A1A1A"/>
                <w:sz w:val="16"/>
                <w:szCs w:val="16"/>
              </w:rPr>
              <w:t xml:space="preserve">    return { success: true, message: 'ok', code: 200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pStyle w:val="Heading3"/>
        <w:spacing w:after="100" w:before="200"/>
      </w:pPr>
      <w:r>
        <w:rPr>
          <w:rFonts w:ascii="Calibri" w:cs="Calibri" w:eastAsia="Calibri" w:hAnsi="Calibri"/>
          <w:b/>
          <w:bCs/>
          <w:color w:val="1A1A1A"/>
          <w:sz w:val="24"/>
          <w:szCs w:val="24"/>
        </w:rPr>
        <w:t xml:space="preserve">18.1.2  Failover behaviour</w:t>
      </w:r>
    </w:p>
    <w:p>
      <w:pPr>
        <w:spacing w:after="120" w:before="0"/>
      </w:pPr>
      <w:r>
        <w:rPr>
          <w:rFonts w:ascii="Calibri" w:cs="Calibri" w:eastAsia="Calibri" w:hAnsi="Calibri"/>
          <w:color w:val="1A1A1A"/>
          <w:sz w:val="20"/>
          <w:szCs w:val="20"/>
        </w:rPr>
        <w:t xml:space="preserve">Each channel in a workflow may declare an ordered list of providers. On dispatch failure (HTTP 5xx, timeout, or a documented provider-specific transient error), the Worker retries against the next provider in the list. Failures are emitted to the audit stream (Section 18.3). The order is configurable per workflow; default for India SMS is Gupshup → MSG91 → Karix. The order for WhatsApp is Gupshup → Karix → MSG91 (Karix has stronger WA template throughput in the Consultant’s experience; revisable at runtime).</w:t>
      </w:r>
    </w:p>
    <w:p>
      <w:pPr>
        <w:pStyle w:val="Heading2"/>
        <w:spacing w:after="140" w:before="280"/>
      </w:pPr>
      <w:r>
        <w:rPr>
          <w:rFonts w:ascii="Calibri" w:cs="Calibri" w:eastAsia="Calibri" w:hAnsi="Calibri"/>
          <w:b/>
          <w:bCs/>
          <w:color w:val="1F3864"/>
          <w:sz w:val="28"/>
          <w:szCs w:val="28"/>
        </w:rPr>
        <w:t xml:space="preserve">18.2  Compliance Middleware</w:t>
      </w:r>
    </w:p>
    <w:p>
      <w:pPr>
        <w:spacing w:after="120" w:before="0"/>
      </w:pPr>
      <w:r>
        <w:rPr>
          <w:rFonts w:ascii="Calibri" w:cs="Calibri" w:eastAsia="Calibri" w:hAnsi="Calibri"/>
          <w:color w:val="1A1A1A"/>
          <w:sz w:val="20"/>
          <w:szCs w:val="20"/>
        </w:rPr>
        <w:t xml:space="preserve">Novu does not encode Indian regulatory rules. The Consultant builds a Novu Framework custom step — step.custom('compliance-check', complianceCheck, opts) — invoked at the head of every workflow, before any channel step. Failure causes the workflow to abort and emit a structured violation to the audit stream. This is the single most important piece of Consultant-built code in this engagement; it is what stops a non-compliant message from leaving the Client’s VPC.</w:t>
      </w:r>
    </w:p>
    <w:p>
      <w:pPr>
        <w:pStyle w:val="Heading3"/>
        <w:spacing w:after="100" w:before="200"/>
      </w:pPr>
      <w:r>
        <w:rPr>
          <w:rFonts w:ascii="Calibri" w:cs="Calibri" w:eastAsia="Calibri" w:hAnsi="Calibri"/>
          <w:b/>
          <w:bCs/>
          <w:color w:val="1A1A1A"/>
          <w:sz w:val="24"/>
          <w:szCs w:val="24"/>
        </w:rPr>
        <w:t xml:space="preserve">18.2.1  Rule families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2200"/>
        <w:gridCol w:w="18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Family</w:t>
            </w:r>
          </w:p>
        </w:tc>
        <w:tc>
          <w:tcPr>
            <w:tcW w:type="dxa" w:w="4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 of rules</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Source of truth</w:t>
            </w:r>
          </w:p>
        </w:tc>
        <w:tc>
          <w:tcPr>
            <w:tcW w:type="dxa" w:w="1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Approx. rule count v1</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(TRAI / SMS)</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Header registered; Template ID present; Entity (PE) ID present; route matches sender (transactional / promotional); time-of-day window for promo</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library/dlt-rules.ts</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is the subject matter of solicitation’ disclaimer in promo; returns disclaimer in INV; grievance contact; IRDAI registration on annual statements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library/irdai-rules.ts</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category matches content (Marketing / Utility / Authentication); variable count and order matches BSP-approved template; media size; 24h session window for free-text</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library/wa-bsp-rules.ts</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Opt-out present in promotional channels; consent reference for marketing categories; PII masking in audit</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library/dpdpa-rules.ts</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 / KYC</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onboarding references FATCA self-declaration; CKYC; risk-profile reference on opportunity push</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library/kyc-rules.ts</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Income Tax / TDS</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 / rate references in TDS certificate workflows; PAN-format validation; FY references machine-derived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library/tds-rules.ts</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PH-facing avoids urgency-marketing stop-list; investor-facing avoids return promises; tone matches audience profile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library/brand-rules.ts</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r>
    </w:tbl>
    <w:p>
      <w:pPr>
        <w:pStyle w:val="Heading3"/>
        <w:spacing w:after="100" w:before="200"/>
      </w:pPr>
      <w:r>
        <w:rPr>
          <w:rFonts w:ascii="Calibri" w:cs="Calibri" w:eastAsia="Calibri" w:hAnsi="Calibri"/>
          <w:b/>
          <w:bCs/>
          <w:color w:val="1A1A1A"/>
          <w:sz w:val="24"/>
          <w:szCs w:val="24"/>
        </w:rPr>
        <w:t xml:space="preserve">18.2.2  Rule enforcement points</w:t>
      </w:r>
    </w:p>
    <w:p>
      <w:pPr>
        <w:pStyle w:val="ListParagraph"/>
        <w:numPr>
          <w:ilvl w:val="0"/>
          <w:numId w:val="2"/>
        </w:numPr>
        <w:spacing w:after="80"/>
      </w:pPr>
      <w:r>
        <w:rPr>
          <w:rFonts w:ascii="Calibri" w:cs="Calibri" w:eastAsia="Calibri" w:hAnsi="Calibri"/>
          <w:color w:val="1A1A1A"/>
          <w:sz w:val="20"/>
          <w:szCs w:val="20"/>
        </w:rPr>
        <w:t xml:space="preserve">CI-time. Workflows run the lint against rendered samples on every PR. Failure blocks merge. This is the primary line of defence.</w:t>
      </w:r>
    </w:p>
    <w:p>
      <w:pPr>
        <w:pStyle w:val="ListParagraph"/>
        <w:numPr>
          <w:ilvl w:val="0"/>
          <w:numId w:val="2"/>
        </w:numPr>
        <w:spacing w:after="80"/>
      </w:pPr>
      <w:r>
        <w:rPr>
          <w:rFonts w:ascii="Calibri" w:cs="Calibri" w:eastAsia="Calibri" w:hAnsi="Calibri"/>
          <w:color w:val="1A1A1A"/>
          <w:sz w:val="20"/>
          <w:szCs w:val="20"/>
        </w:rPr>
        <w:t xml:space="preserve">Pre-execution. The compliance-check step at workflow head re-runs the relevant rules against the actual rendered content with bound variables. Failure aborts the workflow and emits a violation event. This catches drift between sample and runtime.</w:t>
      </w:r>
    </w:p>
    <w:p>
      <w:pPr>
        <w:pStyle w:val="ListParagraph"/>
        <w:numPr>
          <w:ilvl w:val="0"/>
          <w:numId w:val="2"/>
        </w:numPr>
        <w:spacing w:after="80"/>
      </w:pPr>
      <w:r>
        <w:rPr>
          <w:rFonts w:ascii="Calibri" w:cs="Calibri" w:eastAsia="Calibri" w:hAnsi="Calibri"/>
          <w:color w:val="1A1A1A"/>
          <w:sz w:val="20"/>
          <w:szCs w:val="20"/>
        </w:rPr>
        <w:t xml:space="preserve">Provider boundary. Where a provider (e.g. native Gupshup) accepts DLT IDs, the IDs are validated for shape and resolved against the registered set before pass-through.</w:t>
      </w:r>
    </w:p>
    <w:p>
      <w:pPr>
        <w:pStyle w:val="ListParagraph"/>
        <w:numPr>
          <w:ilvl w:val="0"/>
          <w:numId w:val="2"/>
        </w:numPr>
        <w:spacing w:after="80"/>
      </w:pPr>
      <w:r>
        <w:rPr>
          <w:rFonts w:ascii="Calibri" w:cs="Calibri" w:eastAsia="Calibri" w:hAnsi="Calibri"/>
          <w:color w:val="1A1A1A"/>
          <w:sz w:val="20"/>
          <w:szCs w:val="20"/>
        </w:rPr>
        <w:t xml:space="preserve">Override path. A signed override (Compliance Lead approval) can permit a workflow to dispatch despite a non-fatal rule failure; overrides are logged and reviewed at the next phase gate.</w:t>
      </w:r>
    </w:p>
    <w:p>
      <w:pPr>
        <w:pStyle w:val="Heading2"/>
        <w:spacing w:after="140" w:before="280"/>
      </w:pPr>
      <w:r>
        <w:rPr>
          <w:rFonts w:ascii="Calibri" w:cs="Calibri" w:eastAsia="Calibri" w:hAnsi="Calibri"/>
          <w:b/>
          <w:bCs/>
          <w:color w:val="1F3864"/>
          <w:sz w:val="28"/>
          <w:szCs w:val="28"/>
        </w:rPr>
        <w:t xml:space="preserve">18.3  Observability &amp; Audit</w:t>
      </w:r>
    </w:p>
    <w:p>
      <w:pPr>
        <w:spacing w:after="120" w:before="0"/>
      </w:pPr>
      <w:r>
        <w:rPr>
          <w:rFonts w:ascii="Calibri" w:cs="Calibri" w:eastAsia="Calibri" w:hAnsi="Calibri"/>
          <w:color w:val="1A1A1A"/>
          <w:sz w:val="20"/>
          <w:szCs w:val="20"/>
        </w:rPr>
        <w:t xml:space="preserve">Three layers of observability, each serving a different audience: operators (logs and metrics for runtime debugging); auditors (tamper-evident, append-only, PII-masked record per dispatched message); business stakeholders (a dashboard on workflow performance and channel-provider health).</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34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Layer</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Purpose</w:t>
            </w:r>
          </w:p>
        </w:tc>
        <w:tc>
          <w:tcPr>
            <w:tcW w:type="dxa" w:w="4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Implementation</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Structured logs</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Runtime debugging and incident triage</w:t>
            </w:r>
          </w:p>
        </w:tc>
        <w:tc>
          <w:tcPr>
            <w:tcW w:type="dxa" w:w="4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Pino-format JSON logs from Worker + API; shipped to CloudWatch (or Loki) within Client VPC</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Metrics</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Throughput, error-rate, p95 latency per channel, per provider</w:t>
            </w:r>
          </w:p>
        </w:tc>
        <w:tc>
          <w:tcPr>
            <w:tcW w:type="dxa" w:w="4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Prometheus scrape from Worker + API; visualised in Grafana / CloudWatch dashboards</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stream</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Per-dispatched-message record: workflow id, version (Git SHA), subscriber id (tokenised), channel, provider, send timestamp, provider message id, status, lint result</w:t>
            </w:r>
          </w:p>
        </w:tc>
        <w:tc>
          <w:tcPr>
            <w:tcW w:type="dxa" w:w="4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Framework step (audit-emit) writes to append-only Postgres table audit_events with daily Parquet export to Client S3 bucket</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dashboard</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Per-template / per-workflow audit view with filters</w:t>
            </w:r>
          </w:p>
        </w:tc>
        <w:tc>
          <w:tcPr>
            <w:tcW w:type="dxa" w:w="4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Lightweight read-only dashboard (this engagement) over audit_events; PII redacted by default; full-PII view requires Compliance role</w:t>
            </w:r>
          </w:p>
        </w:tc>
      </w:tr>
    </w:tbl>
    <w:p>
      <w:pPr>
        <w:pStyle w:val="Heading3"/>
        <w:spacing w:after="100" w:before="200"/>
      </w:pPr>
      <w:r>
        <w:rPr>
          <w:rFonts w:ascii="Calibri" w:cs="Calibri" w:eastAsia="Calibri" w:hAnsi="Calibri"/>
          <w:b/>
          <w:bCs/>
          <w:color w:val="1A1A1A"/>
          <w:sz w:val="24"/>
          <w:szCs w:val="24"/>
        </w:rPr>
        <w:t xml:space="preserve">18.3.1  Audit event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"event_id":         "uuid",</w:t>
            </w:r>
          </w:p>
          <w:p>
            <w:pPr>
              <w:spacing w:after="0"/>
            </w:pPr>
            <w:r>
              <w:rPr>
                <w:rFonts w:ascii="Consolas" w:cs="Consolas" w:eastAsia="Consolas" w:hAnsi="Consolas"/>
                <w:color w:val="1A1A1A"/>
                <w:sz w:val="16"/>
                <w:szCs w:val="16"/>
              </w:rPr>
              <w:t xml:space="preserve">  "workflow_id":      "ph-03-kyc-pending",</w:t>
            </w:r>
          </w:p>
          <w:p>
            <w:pPr>
              <w:spacing w:after="0"/>
            </w:pPr>
            <w:r>
              <w:rPr>
                <w:rFonts w:ascii="Consolas" w:cs="Consolas" w:eastAsia="Consolas" w:hAnsi="Consolas"/>
                <w:color w:val="1A1A1A"/>
                <w:sz w:val="16"/>
                <w:szCs w:val="16"/>
              </w:rPr>
              <w:t xml:space="preserve">  "workflow_version": "git_sha:7c2f8a1",</w:t>
            </w:r>
          </w:p>
          <w:p>
            <w:pPr>
              <w:spacing w:after="0"/>
            </w:pPr>
            <w:r>
              <w:rPr>
                <w:rFonts w:ascii="Consolas" w:cs="Consolas" w:eastAsia="Consolas" w:hAnsi="Consolas"/>
                <w:color w:val="1A1A1A"/>
                <w:sz w:val="16"/>
                <w:szCs w:val="16"/>
              </w:rPr>
              <w:t xml:space="preserve">  "subscriber_id":    "tok_&lt;hash&gt;",                  // tokenised; raw PII not stored</w:t>
            </w:r>
          </w:p>
          <w:p>
            <w:pPr>
              <w:spacing w:after="0"/>
            </w:pPr>
            <w:r>
              <w:rPr>
                <w:rFonts w:ascii="Consolas" w:cs="Consolas" w:eastAsia="Consolas" w:hAnsi="Consolas"/>
                <w:color w:val="1A1A1A"/>
                <w:sz w:val="16"/>
                <w:szCs w:val="16"/>
              </w:rPr>
              <w:t xml:space="preserve">  "trigger_payload_hash": "sha256:...",              // recoverable only via vault</w:t>
            </w:r>
          </w:p>
          <w:p>
            <w:pPr>
              <w:spacing w:after="0"/>
            </w:pPr>
            <w:r>
              <w:rPr>
                <w:rFonts w:ascii="Consolas" w:cs="Consolas" w:eastAsia="Consolas" w:hAnsi="Consolas"/>
                <w:color w:val="1A1A1A"/>
                <w:sz w:val="16"/>
                <w:szCs w:val="16"/>
              </w:rPr>
              <w:t xml:space="preserve">  "audience":         "policyholder",</w:t>
            </w:r>
          </w:p>
          <w:p>
            <w:pPr>
              <w:spacing w:after="0"/>
            </w:pPr>
            <w:r>
              <w:rPr>
                <w:rFonts w:ascii="Consolas" w:cs="Consolas" w:eastAsia="Consolas" w:hAnsi="Consolas"/>
                <w:color w:val="1A1A1A"/>
                <w:sz w:val="16"/>
                <w:szCs w:val="16"/>
              </w:rPr>
              <w:t xml:space="preserve">  "channel":          "whatsapp",</w:t>
            </w:r>
          </w:p>
          <w:p>
            <w:pPr>
              <w:spacing w:after="0"/>
            </w:pPr>
            <w:r>
              <w:rPr>
                <w:rFonts w:ascii="Consolas" w:cs="Consolas" w:eastAsia="Consolas" w:hAnsi="Consolas"/>
                <w:color w:val="1A1A1A"/>
                <w:sz w:val="16"/>
                <w:szCs w:val="16"/>
              </w:rPr>
              <w:t xml:space="preserve">  "provider":         "gupshup-whatsapp",</w:t>
            </w:r>
          </w:p>
          <w:p>
            <w:pPr>
              <w:spacing w:after="0"/>
            </w:pPr>
            <w:r>
              <w:rPr>
                <w:rFonts w:ascii="Consolas" w:cs="Consolas" w:eastAsia="Consolas" w:hAnsi="Consolas"/>
                <w:color w:val="1A1A1A"/>
                <w:sz w:val="16"/>
                <w:szCs w:val="16"/>
              </w:rPr>
              <w:t xml:space="preserve">  "provider_msg_id":  "wamid.HBgM...",</w:t>
            </w:r>
          </w:p>
          <w:p>
            <w:pPr>
              <w:spacing w:after="0"/>
            </w:pPr>
            <w:r>
              <w:rPr>
                <w:rFonts w:ascii="Consolas" w:cs="Consolas" w:eastAsia="Consolas" w:hAnsi="Consolas"/>
                <w:color w:val="1A1A1A"/>
                <w:sz w:val="16"/>
                <w:szCs w:val="16"/>
              </w:rPr>
              <w:t xml:space="preserve">  "language":         "hi",</w:t>
            </w:r>
          </w:p>
          <w:p>
            <w:pPr>
              <w:spacing w:after="0"/>
            </w:pPr>
            <w:r>
              <w:rPr>
                <w:rFonts w:ascii="Consolas" w:cs="Consolas" w:eastAsia="Consolas" w:hAnsi="Consolas"/>
                <w:color w:val="1A1A1A"/>
                <w:sz w:val="16"/>
                <w:szCs w:val="16"/>
              </w:rPr>
              <w:t xml:space="preserve">  "compliance_lint":  { "passed": true, "rules_evaluated": 22, "violations": [] },</w:t>
            </w:r>
          </w:p>
          <w:p>
            <w:pPr>
              <w:spacing w:after="0"/>
            </w:pPr>
            <w:r>
              <w:rPr>
                <w:rFonts w:ascii="Consolas" w:cs="Consolas" w:eastAsia="Consolas" w:hAnsi="Consolas"/>
                <w:color w:val="1A1A1A"/>
                <w:sz w:val="16"/>
                <w:szCs w:val="16"/>
              </w:rPr>
              <w:t xml:space="preserve">  "send_timestamp":   "2026-04-26T14:30:21Z",</w:t>
            </w:r>
          </w:p>
          <w:p>
            <w:pPr>
              <w:spacing w:after="0"/>
            </w:pPr>
            <w:r>
              <w:rPr>
                <w:rFonts w:ascii="Consolas" w:cs="Consolas" w:eastAsia="Consolas" w:hAnsi="Consolas"/>
                <w:color w:val="1A1A1A"/>
                <w:sz w:val="16"/>
                <w:szCs w:val="16"/>
              </w:rPr>
              <w:t xml:space="preserve">  "status":           "delivered",                   // queued | sent | delivered | failed | opted_out</w:t>
            </w:r>
          </w:p>
          <w:p>
            <w:pPr>
              <w:spacing w:after="0"/>
            </w:pPr>
            <w:r>
              <w:rPr>
                <w:rFonts w:ascii="Consolas" w:cs="Consolas" w:eastAsia="Consolas" w:hAnsi="Consolas"/>
                <w:color w:val="1A1A1A"/>
                <w:sz w:val="16"/>
                <w:szCs w:val="16"/>
              </w:rPr>
              <w:t xml:space="preserve">  "retry_count":      0,</w:t>
            </w:r>
          </w:p>
          <w:p>
            <w:pPr>
              <w:spacing w:after="0"/>
            </w:pPr>
            <w:r>
              <w:rPr>
                <w:rFonts w:ascii="Consolas" w:cs="Consolas" w:eastAsia="Consolas" w:hAnsi="Consolas"/>
                <w:color w:val="1A1A1A"/>
                <w:sz w:val="16"/>
                <w:szCs w:val="16"/>
              </w:rPr>
              <w:t xml:space="preserve">  "tenancy_context":  { "insurer_id": null, "sender_identity": "TPE_CARE" },</w:t>
            </w:r>
          </w:p>
          <w:p>
            <w:pPr>
              <w:spacing w:after="0"/>
            </w:pPr>
            <w:r>
              <w:rPr>
                <w:rFonts w:ascii="Consolas" w:cs="Consolas" w:eastAsia="Consolas" w:hAnsi="Consolas"/>
                <w:color w:val="1A1A1A"/>
                <w:sz w:val="16"/>
                <w:szCs w:val="16"/>
              </w:rPr>
              <w:t xml:space="preserve">  "trace_id":         "...",</w:t>
            </w:r>
          </w:p>
          <w:p>
            <w:pPr>
              <w:spacing w:after="0"/>
            </w:pPr>
            <w:r>
              <w:rPr>
                <w:rFonts w:ascii="Consolas" w:cs="Consolas" w:eastAsia="Consolas" w:hAnsi="Consolas"/>
                <w:color w:val="1A1A1A"/>
                <w:sz w:val="16"/>
                <w:szCs w:val="16"/>
              </w:rPr>
              <w:t xml:space="preserve">  "created_at":       "2026-04-26T14:30:21Z"</w:t>
            </w:r>
          </w:p>
          <w:p>
            <w:pPr>
              <w:spacing w:after="0"/>
            </w:pPr>
            <w:r>
              <w:rPr>
                <w:rFonts w:ascii="Consolas" w:cs="Consolas" w:eastAsia="Consolas" w:hAnsi="Consolas"/>
                <w:color w:val="1A1A1A"/>
                <w:sz w:val="16"/>
                <w:szCs w:val="16"/>
              </w:rPr>
              <w:t xml:space="preserve">}</w:t>
            </w:r>
          </w:p>
        </w:tc>
      </w:tr>
    </w:tbl>
    <w:p>
      <w:pPr>
        <w:pStyle w:val="Heading3"/>
        <w:spacing w:after="100" w:before="200"/>
      </w:pPr>
      <w:r>
        <w:rPr>
          <w:rFonts w:ascii="Calibri" w:cs="Calibri" w:eastAsia="Calibri" w:hAnsi="Calibri"/>
          <w:b/>
          <w:bCs/>
          <w:color w:val="1A1A1A"/>
          <w:sz w:val="24"/>
          <w:szCs w:val="24"/>
        </w:rPr>
        <w:t xml:space="preserve">18.3.2  Retention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Hot audit (Postgres)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 months — interactive dashboard</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Warm audit (S3 Parquet, daily export)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years — for regulator queries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Cold audit (S3 Glacier, annual archive)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 years total — Income Tax + Insurance Act requirements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Subscriber raw PII</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Never in audit; resolved at view-time via vault by authorised role only</w:t>
            </w:r>
          </w:p>
        </w:tc>
      </w:tr>
    </w:tbl>
    <w:p>
      <w:pPr>
        <w:pStyle w:val="Heading2"/>
        <w:spacing w:after="140" w:before="280"/>
      </w:pPr>
      <w:r>
        <w:rPr>
          <w:rFonts w:ascii="Calibri" w:cs="Calibri" w:eastAsia="Calibri" w:hAnsi="Calibri"/>
          <w:b/>
          <w:bCs/>
          <w:color w:val="1F3864"/>
          <w:sz w:val="28"/>
          <w:szCs w:val="28"/>
        </w:rPr>
        <w:t xml:space="preserve">18.4  Multi-tenant Insurer Routing</w:t>
      </w:r>
    </w:p>
    <w:p>
      <w:pPr>
        <w:spacing w:after="120" w:before="0"/>
      </w:pPr>
      <w:r>
        <w:rPr>
          <w:rFonts w:ascii="Calibri" w:cs="Calibri" w:eastAsia="Calibri" w:hAnsi="Calibri"/>
          <w:color w:val="1A1A1A"/>
          <w:sz w:val="20"/>
          <w:szCs w:val="20"/>
        </w:rPr>
        <w:t xml:space="preserve">TPE’s eleven insurance partners are functionally distinct tenants on the communication system: each has its own sender identity, its own MIS attachment template (INS-02), its own escalation contact for query resolution (INS-04), its own KYC refresh cadence (INS-06), and in some cases its own brand-voice constraints. v3.0 modelled this implicitly via templates; v4.0 makes it explicit at the workflow layer.</w:t>
      </w:r>
    </w:p>
    <w:p>
      <w:pPr>
        <w:pStyle w:val="Heading3"/>
        <w:spacing w:after="100" w:before="200"/>
      </w:pPr>
      <w:r>
        <w:rPr>
          <w:rFonts w:ascii="Calibri" w:cs="Calibri" w:eastAsia="Calibri" w:hAnsi="Calibri"/>
          <w:b/>
          <w:bCs/>
          <w:color w:val="1A1A1A"/>
          <w:sz w:val="24"/>
          <w:szCs w:val="24"/>
        </w:rPr>
        <w:t xml:space="preserve">18.4.1  Tenancy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Concept</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Implementation in Novu</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registry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library/insurers.ts — typed registry of 11 carriers with sender identity, contact email, MIS template, brand constraints, DPA clauses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Sender identity</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Resolved per workflow execution from payload.insurer_id via tenancy middleware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 attachment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INS-02 picks attachment template from insurer registry; renders Excel via existing MIS Pipeline (preserved)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Escalation contact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INS-04 resolves to-address from insurer registry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constraints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applies insurer-specific brand rules in addition to base rules</w:t>
            </w:r>
          </w:p>
        </w:tc>
      </w:tr>
    </w:tbl>
    <w:p>
      <w:pPr>
        <w:pStyle w:val="Heading3"/>
        <w:spacing w:after="100" w:before="200"/>
      </w:pPr>
      <w:r>
        <w:rPr>
          <w:rFonts w:ascii="Calibri" w:cs="Calibri" w:eastAsia="Calibri" w:hAnsi="Calibri"/>
          <w:b/>
          <w:bCs/>
          <w:color w:val="1A1A1A"/>
          <w:sz w:val="24"/>
          <w:szCs w:val="24"/>
        </w:rPr>
        <w:t xml:space="preserve">18.4.2  Insurer-aware audit</w:t>
      </w:r>
    </w:p>
    <w:p>
      <w:pPr>
        <w:spacing w:after="120" w:before="0"/>
      </w:pPr>
      <w:r>
        <w:rPr>
          <w:rFonts w:ascii="Calibri" w:cs="Calibri" w:eastAsia="Calibri" w:hAnsi="Calibri"/>
          <w:color w:val="1A1A1A"/>
          <w:sz w:val="20"/>
          <w:szCs w:val="20"/>
        </w:rPr>
        <w:t xml:space="preserve">Every audit event for an insurer-bound workflow records the insurer_id and the resolved sender identity. This produces, at zero additional cost, per-insurer dispatch reports for monthly reconciliation — a real operational win surfaced in Section 28 SLAs.</w:t>
      </w:r>
    </w:p>
    <w:p>
      <w:pPr>
        <w:pageBreakBefore/>
        <w:spacing w:after="200" w:before="4000"/>
        <w:jc w:val="center"/>
      </w:pPr>
      <w:r>
        <w:rPr>
          <w:rFonts w:ascii="Calibri" w:cs="Calibri" w:eastAsia="Calibri" w:hAnsi="Calibri"/>
          <w:b/>
          <w:bCs/>
          <w:caps/>
          <w:color w:val="808080"/>
          <w:sz w:val="22"/>
          <w:szCs w:val="22"/>
        </w:rPr>
        <w:t xml:space="preserve">Part VI</w:t>
      </w:r>
    </w:p>
    <w:p>
      <w:pPr>
        <w:spacing w:after="1600" w:before="0"/>
        <w:jc w:val="center"/>
      </w:pPr>
      <w:r>
        <w:rPr>
          <w:rFonts w:ascii="Calibri" w:cs="Calibri" w:eastAsia="Calibri" w:hAnsi="Calibri"/>
          <w:b/>
          <w:bCs/>
          <w:color w:val="1F3864"/>
          <w:sz w:val="56"/>
          <w:szCs w:val="56"/>
        </w:rPr>
        <w:t xml:space="preserve">Compliance, Security &amp; Quality</w:t>
      </w:r>
    </w:p>
    <w:p>
      <w:pPr>
        <w:pStyle w:val="Heading1"/>
        <w:pageBreakBefore/>
        <w:spacing w:after="240" w:before="0"/>
      </w:pPr>
      <w:r>
        <w:rPr>
          <w:rFonts w:ascii="Calibri" w:cs="Calibri" w:eastAsia="Calibri" w:hAnsi="Calibri"/>
          <w:b/>
          <w:bCs/>
          <w:color w:val="1F3864"/>
          <w:sz w:val="36"/>
          <w:szCs w:val="36"/>
        </w:rPr>
        <w:t xml:space="preserve">19. Compliance &amp; Regulatory Layer</w:t>
      </w:r>
    </w:p>
    <w:p>
      <w:pPr>
        <w:spacing w:after="120" w:before="0"/>
      </w:pPr>
      <w:r>
        <w:rPr>
          <w:rFonts w:ascii="Calibri" w:cs="Calibri" w:eastAsia="Calibri" w:hAnsi="Calibri"/>
          <w:color w:val="1A1A1A"/>
          <w:sz w:val="20"/>
          <w:szCs w:val="20"/>
        </w:rPr>
        <w:t xml:space="preserve">Section 19 in v4.0 is shorter than in v3.0 because the substantive content has moved into Section 18.2 (Compliance Middleware), where it belongs architecturally. This section enumerates the regimes the system covers and the points at which compliance is enforced; the technical detail is in Section 18.</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5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Regime</w:t>
            </w:r>
          </w:p>
        </w:tc>
        <w:tc>
          <w:tcPr>
            <w:tcW w:type="dxa" w:w="5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 of obligations</w:t>
            </w:r>
          </w:p>
        </w:tc>
        <w:tc>
          <w:tcPr>
            <w:tcW w:type="dxa" w:w="2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Where enforced</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 DLT (SMS)</w:t>
            </w:r>
          </w:p>
        </w:tc>
        <w:tc>
          <w:tcPr>
            <w:tcW w:type="dxa" w:w="5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Sender-ID registration; DLT Template ID + Principal Entity ID required on every transactional / promotional SMS; route correctness; promotional time-window</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 lint + provider boundary (Gupshup native overrides; MSG91 + Karix plugins pass-through)</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5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 disclaimers on promotional / opportunity content; grievance contact; registration number on annual statements; no return guarantees</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 lint at CI + pre-dispatch</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 (Meta Cloud API via BSP)</w:t>
            </w:r>
          </w:p>
        </w:tc>
        <w:tc>
          <w:tcPr>
            <w:tcW w:type="dxa" w:w="5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categorisation (Marketing / Utility / Authentication); BSP-approved template variable shape; 24-hour session window for free-text</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 lint + BSP-side template approval (Client-managed)</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2023</w:t>
            </w:r>
          </w:p>
        </w:tc>
        <w:tc>
          <w:tcPr>
            <w:tcW w:type="dxa" w:w="5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Lawful basis for processing; opt-out wiring on promotional channels; subject-access rights; breach notification; data residency — met via self-hosting in India</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 lint + 17 (architecture) + 48 (DPA)</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 / KYC</w:t>
            </w:r>
          </w:p>
        </w:tc>
        <w:tc>
          <w:tcPr>
            <w:tcW w:type="dxa" w:w="5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onboarding flows reference FATCA / CKYC self-declaration; risk-profile reference on opportunity push</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 lint at CI</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Income Tax (TDS)</w:t>
            </w:r>
          </w:p>
        </w:tc>
        <w:tc>
          <w:tcPr>
            <w:tcW w:type="dxa" w:w="5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 / rate references; PAN-format; FY-derived dates; quarterly cadence</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 lint at CI</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brand voice</w:t>
            </w:r>
          </w:p>
        </w:tc>
        <w:tc>
          <w:tcPr>
            <w:tcW w:type="dxa" w:w="5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Stop-lists, audience-specific tone; insurer-specific brand constraints</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18.2 lint + insurer registry (18.4)</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Why moving to Novu does not weaken compliance.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If anything, it strengthens it. In v3.0 the lint was a bolt-on around the YAML library. In v4.0 the lint is a Novu Framework custom step at the head of every workflow execution — it cannot be bypassed. Combined with CI-time enforcement on PRs, the system gates compliance at two independent points: code review and runtime. Both must fail for a non-compliant message to ship.</w:t>
            </w:r>
          </w:p>
        </w:tc>
      </w:tr>
    </w:tbl>
    <w:p>
      <w:pPr>
        <w:pStyle w:val="Heading1"/>
        <w:pageBreakBefore/>
        <w:spacing w:after="240" w:before="0"/>
      </w:pPr>
      <w:r>
        <w:rPr>
          <w:rFonts w:ascii="Calibri" w:cs="Calibri" w:eastAsia="Calibri" w:hAnsi="Calibri"/>
          <w:b/>
          <w:bCs/>
          <w:color w:val="1F3864"/>
          <w:sz w:val="36"/>
          <w:szCs w:val="36"/>
        </w:rPr>
        <w:t xml:space="preserve">20. Security &amp; Privacy Framework</w:t>
      </w:r>
    </w:p>
    <w:p>
      <w:pPr>
        <w:spacing w:after="120" w:before="0"/>
      </w:pPr>
      <w:r>
        <w:rPr>
          <w:rFonts w:ascii="Calibri" w:cs="Calibri" w:eastAsia="Calibri" w:hAnsi="Calibri"/>
          <w:color w:val="1A1A1A"/>
          <w:sz w:val="20"/>
          <w:szCs w:val="20"/>
        </w:rPr>
        <w:t xml:space="preserve">Self-hosting Novu in Client-controlled India infrastructure shifts the security posture meaningfully versus a Cloud deployment. Several controls that would otherwise live with a SaaS vendor are now Client-owned; in return, data residency and access control are Client-controlled and DPDPA-clean. Section 20 details the security and privacy posture for this v4.0 deployment.</w:t>
      </w:r>
    </w:p>
    <w:p>
      <w:pPr>
        <w:pStyle w:val="Heading2"/>
        <w:spacing w:after="140" w:before="280"/>
      </w:pPr>
      <w:r>
        <w:rPr>
          <w:rFonts w:ascii="Calibri" w:cs="Calibri" w:eastAsia="Calibri" w:hAnsi="Calibri"/>
          <w:b/>
          <w:bCs/>
          <w:color w:val="1F3864"/>
          <w:sz w:val="28"/>
          <w:szCs w:val="28"/>
        </w:rPr>
        <w:t xml:space="preserve">20.1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Class</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 in this system</w:t>
            </w:r>
          </w:p>
        </w:tc>
        <w:tc>
          <w:tcPr>
            <w:tcW w:type="dxa" w:w="4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Handling rule</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High</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ph_name, ph_phone, ph_email, inv_name, PAN, bank_last4</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Stored in Postgres subscribers; tokenised in audit; never in plain text in logs; HTTPS only in transit; encrypted at rest</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Medium</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policy_no, premium_amount, due_date, surrender_value</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Encrypted at rest; access on least-privilege; redact in screenshots and dashboards</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workflow_id, execution_id, status, trigger_payload_hash</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safe to log; included in audit</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confidential</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texts, brand-voice rules, insurer registry</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Internal-only; in repo; not for external comms</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credentials</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 MSG91, Karix API keys / passwords; SMTP credentials</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Secrets Manager only; never in repo; rotated per provider policy</w:t>
            </w:r>
          </w:p>
        </w:tc>
      </w:tr>
    </w:tbl>
    <w:p>
      <w:pPr>
        <w:pStyle w:val="Heading2"/>
        <w:spacing w:after="140" w:before="280"/>
      </w:pPr>
      <w:r>
        <w:rPr>
          <w:rFonts w:ascii="Calibri" w:cs="Calibri" w:eastAsia="Calibri" w:hAnsi="Calibri"/>
          <w:b/>
          <w:bCs/>
          <w:color w:val="1F3864"/>
          <w:sz w:val="28"/>
          <w:szCs w:val="28"/>
        </w:rPr>
        <w:t xml:space="preserve">20.2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Control area</w:t>
            </w:r>
          </w:p>
        </w:tc>
        <w:tc>
          <w:tcPr>
            <w:tcW w:type="dxa" w:w="7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Control</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Access control</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Role-based: workflow-author / reviewer / operator / compliance / admin; least-privilege; reviewed quarterly. SSO via Client identity provider; MFA mandatory for reviewer / compliance / admin</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Authentication</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SSO (SAML / OIDC) into Novu Web; service-to-service via mutual TLS or signed tokens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Authorisation gates</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Merge-to-main on workflow repo requires CODEOWNERS approval from Compliance + Brand for content changes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Encryption — transit</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TLS 1.2+ between every component within and outside the VPC; certificate-pinned for BSP API calls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Encryption — rest</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RDS, Mongo, Redis encrypted at rest with Client KMS keys; backups encrypted; key rotation per Client policy</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Secret management</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Secrets Manager (or equivalent); rotation runbook documented; no secrets in repo; no secrets in environment variables outside the deployment pipeline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Network</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VPC-resident; private subnets for app + data tiers; NAT-egress for BSP calls; no inbound from BSPs except via API Gateway with HMAC verification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log</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Append-only Postgres table + S3 Parquet daily export; PII tokenised; tamper-evident via hash chain in v2 roadmap</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minimisation</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Subscribers carry minimum required attributes; trigger payloads hashed in audit; full PII resolved only at render time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Backup &amp; recovery</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RDS / Mongo snapshots; weekly full DB exports to S3; documented RPO 24h / RTO 4h; quarterly recovery test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Vulnerability mgmt</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dependency scan on workflows + providers + middleware; Novu upstream tracked for security advisories; security review at every major version</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Hardening</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Container images on private ECR; image scanning on push; non-root containers; read-only file system where feasible</w:t>
            </w:r>
          </w:p>
        </w:tc>
      </w:tr>
    </w:tbl>
    <w:p>
      <w:pPr>
        <w:pStyle w:val="Heading2"/>
        <w:spacing w:after="140" w:before="280"/>
      </w:pPr>
      <w:r>
        <w:rPr>
          <w:rFonts w:ascii="Calibri" w:cs="Calibri" w:eastAsia="Calibri" w:hAnsi="Calibri"/>
          <w:b/>
          <w:bCs/>
          <w:color w:val="1F3864"/>
          <w:sz w:val="28"/>
          <w:szCs w:val="28"/>
        </w:rPr>
        <w:t xml:space="preserve">20.3  Self-hosting-specific considerations</w:t>
      </w:r>
    </w:p>
    <w:p>
      <w:pPr>
        <w:pStyle w:val="ListParagraph"/>
        <w:numPr>
          <w:ilvl w:val="0"/>
          <w:numId w:val="2"/>
        </w:numPr>
        <w:spacing w:after="80"/>
      </w:pPr>
      <w:r>
        <w:rPr>
          <w:rFonts w:ascii="Calibri" w:cs="Calibri" w:eastAsia="Calibri" w:hAnsi="Calibri"/>
          <w:color w:val="1A1A1A"/>
          <w:sz w:val="20"/>
          <w:szCs w:val="20"/>
        </w:rPr>
        <w:t xml:space="preserve">Novu version pinning. Upstream Novu releases regularly; the Client pins to a tested major version and tracks security patches. The Consultant’s post-implementation support window (Section 37) covers one major version upgrade.</w:t>
      </w:r>
    </w:p>
    <w:p>
      <w:pPr>
        <w:pStyle w:val="ListParagraph"/>
        <w:numPr>
          <w:ilvl w:val="0"/>
          <w:numId w:val="2"/>
        </w:numPr>
        <w:spacing w:after="80"/>
      </w:pPr>
      <w:r>
        <w:rPr>
          <w:rFonts w:ascii="Calibri" w:cs="Calibri" w:eastAsia="Calibri" w:hAnsi="Calibri"/>
          <w:color w:val="1A1A1A"/>
          <w:sz w:val="20"/>
          <w:szCs w:val="20"/>
        </w:rPr>
        <w:t xml:space="preserve">Patching window. Monthly maintenance window for OS / image / Novu patches — documented in ops runbook.</w:t>
      </w:r>
    </w:p>
    <w:p>
      <w:pPr>
        <w:pStyle w:val="ListParagraph"/>
        <w:numPr>
          <w:ilvl w:val="0"/>
          <w:numId w:val="2"/>
        </w:numPr>
        <w:spacing w:after="80"/>
      </w:pPr>
      <w:r>
        <w:rPr>
          <w:rFonts w:ascii="Calibri" w:cs="Calibri" w:eastAsia="Calibri" w:hAnsi="Calibri"/>
          <w:color w:val="1A1A1A"/>
          <w:sz w:val="20"/>
          <w:szCs w:val="20"/>
        </w:rPr>
        <w:t xml:space="preserve">Forking is out of scope. The engagement does not modify Novu source. If a feature is missing, it is requested upstream or worked around at the workflow / middleware layer.</w:t>
      </w:r>
    </w:p>
    <w:p>
      <w:pPr>
        <w:pStyle w:val="ListParagraph"/>
        <w:numPr>
          <w:ilvl w:val="0"/>
          <w:numId w:val="2"/>
        </w:numPr>
        <w:spacing w:after="80"/>
      </w:pPr>
      <w:r>
        <w:rPr>
          <w:rFonts w:ascii="Calibri" w:cs="Calibri" w:eastAsia="Calibri" w:hAnsi="Calibri"/>
          <w:color w:val="1A1A1A"/>
          <w:sz w:val="20"/>
          <w:szCs w:val="20"/>
        </w:rPr>
        <w:t xml:space="preserve">Disaster recovery. The Multi-AZ posture handles single-zone failure. Region failure (ap-south-1 outage) is an explicit risk — see Risk Register Section 32; cross-region DR is out of v1 scope and is roadmapped for v2.</w:t>
      </w:r>
    </w:p>
    <w:p>
      <w:pPr>
        <w:pStyle w:val="Heading2"/>
        <w:spacing w:after="140" w:before="280"/>
      </w:pPr>
      <w:r>
        <w:rPr>
          <w:rFonts w:ascii="Calibri" w:cs="Calibri" w:eastAsia="Calibri" w:hAnsi="Calibri"/>
          <w:b/>
          <w:bCs/>
          <w:color w:val="1F3864"/>
          <w:sz w:val="28"/>
          <w:szCs w:val="28"/>
        </w:rPr>
        <w:t xml:space="preserve">20.4  DPDPA alignment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DPDPA principle</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How this system aligns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Lawful processing</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Workflows tagged by complianceClass; lint blocks promotional dispatch without consent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Purpose limitation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Workflow-as-code makes intent explicit and reviewable; reuse audited at PR time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minimisation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Subscribers carry minimum required attributes; payloads hashed in audit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Storage limitation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retention tiers (Section 18.3.2); subscriber data per Client policy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Accuracy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sync from system of record; fallbacks prevent broken renders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Notice &amp; consent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Opt-out wiring on every promotional workflow; opt-out persisted in subscriber preferences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Rights of data principals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Subject-access via audit-export endpoint; deletion via subscriber-delete propagating to audit hash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Cross-border transfer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Avoided in normal operation — all PII resident in Client India VPC; provider egress limited to message-content + DLT IDs only (no resident-PII batch transfers)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Breach notification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Incident runbook covers detection → escalation → Data Protection Board notification per DPDPA</w:t>
            </w:r>
          </w:p>
        </w:tc>
      </w:tr>
    </w:tbl>
    <w:p>
      <w:pPr>
        <w:pStyle w:val="Heading1"/>
        <w:pageBreakBefore/>
        <w:spacing w:after="240" w:before="0"/>
      </w:pPr>
      <w:r>
        <w:rPr>
          <w:rFonts w:ascii="Calibri" w:cs="Calibri" w:eastAsia="Calibri" w:hAnsi="Calibri"/>
          <w:b/>
          <w:bCs/>
          <w:color w:val="1F3864"/>
          <w:sz w:val="36"/>
          <w:szCs w:val="36"/>
        </w:rPr>
        <w:t xml:space="preserve">21. Quality Assurance &amp; Testing Strategy</w:t>
      </w:r>
    </w:p>
    <w:p>
      <w:pPr>
        <w:spacing w:after="120" w:before="0"/>
      </w:pPr>
      <w:r>
        <w:rPr>
          <w:rFonts w:ascii="Calibri" w:cs="Calibri" w:eastAsia="Calibri" w:hAnsi="Calibri"/>
          <w:color w:val="1A1A1A"/>
          <w:sz w:val="20"/>
          <w:szCs w:val="20"/>
        </w:rPr>
        <w:t xml:space="preserve">Six test levels in v4.0 (was five in v3.0; one added for custom providers). Each catches a different class of defect; together they form the engineering substrate of the acceptance procedure in Section 24.</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000"/>
        <w:gridCol w:w="27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Level</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What it catches</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When</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L1 Schema (Zod)</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payload schema, subscriber data shape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trigger missing required ph_name fails at trigger boundary</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Pre-commit + CI</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L2 Compliance lint</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IRDAI, WA-BSP, DPDPA, brand-voice rule violations on rendered samples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template marked Marketing without opt-out fails before merge</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 + pre-execution</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L3 Render goldens</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Channel-render regressions: char limits, button schema, encoding</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body exceeds 160 chars after variable substitution detected at PR</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L4 Workflow execution</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 ordering, delays, branch logic, abort semantics, audit emission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PH-03 W2 reminder fires after 7 days; abort on lint failure correctly halts cadence</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on representative subset; nightly full</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L5 Provider plugin</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MSG91 / Karix plugin behaviour: payload mapping, error handling, retry, DLT pass-through</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plugin maps {template_id, dlt_te_id} correctly; 5xx triggers next-provider failover</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sandbox integration test before P5 cutover</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L6 End-to-end</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 lint → workflow execution → provider dispatch → audit emission, on real sandbox accounts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PH-03 KYC week-2 → Hindi WA → Gupshup sandbox → audit row written</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 before any production release</w:t>
            </w:r>
          </w:p>
        </w:tc>
      </w:tr>
    </w:tbl>
    <w:p>
      <w:pPr>
        <w:pStyle w:val="Heading2"/>
        <w:spacing w:after="140" w:before="280"/>
      </w:pPr>
      <w:r>
        <w:rPr>
          <w:rFonts w:ascii="Calibri" w:cs="Calibri" w:eastAsia="Calibri" w:hAnsi="Calibri"/>
          <w:b/>
          <w:bCs/>
          <w:color w:val="1F3864"/>
          <w:sz w:val="28"/>
          <w:szCs w:val="28"/>
        </w:rPr>
        <w:t xml:space="preserve">21.1  Acceptance test pack (per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8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Pack composition</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8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deploys clean to dev VPC; PH-03 PoC workflow executes end-to-end; first compliance-check stub aborts on contrived violation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8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workflows pass L1–L4; render goldens for Email + WA + SMS × active statuses; one-time subscriber sync verified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8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 / INS / OPS / REG workflows pass L1–L4; HI render goldens; multi-tenant insurer routing test (per-carrier sender identity correct in audit)</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8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lint rules across 6 regimes pass; pre-execution abort verified; audit dashboard shows correctly redacted PII; SAR endpoint returns audit-export within 60s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8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 Karix plugins pass L5 against sandbox accounts; failover Gupshup→MSG91→Karix verified on contrived 5xx; production cutover plan executes against staging without errors</w:t>
            </w:r>
          </w:p>
        </w:tc>
      </w:tr>
    </w:tbl>
    <w:p>
      <w:pPr>
        <w:pStyle w:val="Heading2"/>
        <w:spacing w:after="140" w:before="280"/>
      </w:pPr>
      <w:r>
        <w:rPr>
          <w:rFonts w:ascii="Calibri" w:cs="Calibri" w:eastAsia="Calibri" w:hAnsi="Calibri"/>
          <w:b/>
          <w:bCs/>
          <w:color w:val="1F3864"/>
          <w:sz w:val="28"/>
          <w:szCs w:val="28"/>
        </w:rPr>
        <w:t xml:space="preserve">21.2  Defect severity &amp;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900"/>
        <w:gridCol w:w="18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Severity</w:t>
            </w:r>
          </w:p>
        </w:tc>
        <w:tc>
          <w:tcPr>
            <w:tcW w:type="dxa" w:w="4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Definition</w:t>
            </w:r>
          </w:p>
        </w:tc>
        <w:tc>
          <w:tcPr>
            <w:tcW w:type="dxa" w:w="1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Response SLA</w:t>
            </w:r>
          </w:p>
        </w:tc>
        <w:tc>
          <w:tcPr>
            <w:tcW w:type="dxa" w:w="1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Resolution SLA</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Sev-1 (H)</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in production workflow OR PII data leak OR Novu service outage</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business day; rollback if needed</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Sev-2 (H)</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workflow broken (cannot dispatch) OR provider plugin failure cascade</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r>
      <w:tr>
        <w:tc>
          <w:tcPr>
            <w:tcW w:type="dxa" w:w="2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Sev-3 (M)</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workflow flawed but still dispatching (typo, mild wording)</w:t>
            </w:r>
          </w:p>
        </w:tc>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sprint</w:t>
            </w:r>
          </w:p>
        </w:tc>
      </w:tr>
      <w:tr>
        <w:tc>
          <w:tcPr>
            <w:tcW w:type="dxa" w:w="2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Sev-4 (L)</w:t>
            </w:r>
          </w:p>
        </w:tc>
        <w:tc>
          <w:tcPr>
            <w:tcW w:type="dxa" w:w="4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Cosmetic / docs / non-active workflow</w:t>
            </w:r>
          </w:p>
        </w:tc>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sprint</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Backlog</w:t>
            </w:r>
          </w:p>
        </w:tc>
      </w:tr>
    </w:tbl>
    <w:p>
      <w:pPr>
        <w:pageBreakBefore/>
        <w:spacing w:after="200" w:before="4000"/>
        <w:jc w:val="center"/>
      </w:pPr>
      <w:r>
        <w:rPr>
          <w:rFonts w:ascii="Calibri" w:cs="Calibri" w:eastAsia="Calibri" w:hAnsi="Calibri"/>
          <w:b/>
          <w:bCs/>
          <w:caps/>
          <w:color w:val="808080"/>
          <w:sz w:val="22"/>
          <w:szCs w:val="22"/>
        </w:rPr>
        <w:t xml:space="preserve">Part VII</w:t>
      </w:r>
    </w:p>
    <w:p>
      <w:pPr>
        <w:spacing w:after="1600" w:before="0"/>
        <w:jc w:val="center"/>
      </w:pPr>
      <w:r>
        <w:rPr>
          <w:rFonts w:ascii="Calibri" w:cs="Calibri" w:eastAsia="Calibri" w:hAnsi="Calibri"/>
          <w:b/>
          <w:bCs/>
          <w:color w:val="1F3864"/>
          <w:sz w:val="56"/>
          <w:szCs w:val="56"/>
        </w:rPr>
        <w:t xml:space="preserve">Delivery</w:t>
      </w:r>
    </w:p>
    <w:p>
      <w:pPr>
        <w:pStyle w:val="Heading1"/>
        <w:pageBreakBefore/>
        <w:spacing w:after="240" w:before="0"/>
      </w:pPr>
      <w:r>
        <w:rPr>
          <w:rFonts w:ascii="Calibri" w:cs="Calibri" w:eastAsia="Calibri" w:hAnsi="Calibri"/>
          <w:b/>
          <w:bCs/>
          <w:color w:val="1F3864"/>
          <w:sz w:val="36"/>
          <w:szCs w:val="36"/>
        </w:rPr>
        <w:t xml:space="preserve">22. Implementation Phases &amp; Timeline</w:t>
      </w:r>
    </w:p>
    <w:p>
      <w:pPr>
        <w:spacing w:after="120" w:before="0"/>
      </w:pPr>
      <w:r>
        <w:rPr>
          <w:rFonts w:ascii="Calibri" w:cs="Calibri" w:eastAsia="Calibri" w:hAnsi="Calibri"/>
          <w:color w:val="1A1A1A"/>
          <w:sz w:val="20"/>
          <w:szCs w:val="20"/>
        </w:rPr>
        <w:t xml:space="preserve">Five phases. All five are core delivery in v4.0 — unlike v3.0, dispatch is no longer a gated optional phase, because Novu provides dispatch natively for Gupshup and the Consultant’s P5 effort is on custom MSG91 + Karix plugins and production hardening rather than on building dispatch from scratch. Each phase produces an independently consumable artefact, so a stop after any phase still leaves usable value behind.</w:t>
      </w:r>
    </w:p>
    <w:p>
      <w:pPr>
        <w:spacing w:after="100"/>
      </w:pPr>
      <w:r>
        <w:t xml:space="preserve"/>
      </w: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1725"/>
        <w:gridCol w:w="280"/>
        <w:gridCol w:w="1725"/>
        <w:gridCol w:w="280"/>
        <w:gridCol w:w="1725"/>
        <w:gridCol w:w="280"/>
        <w:gridCol w:w="1725"/>
        <w:gridCol w:w="280"/>
        <w:gridCol w:w="1725"/>
      </w:tblGrid>
      <w:tr>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P1</w:t>
            </w:r>
          </w:p>
          <w:p>
            <w:pPr>
              <w:spacing w:after="20"/>
              <w:jc w:val="center"/>
            </w:pPr>
            <w:r>
              <w:rPr>
                <w:rFonts w:ascii="Calibri" w:cs="Calibri" w:eastAsia="Calibri" w:hAnsi="Calibri"/>
                <w:b/>
                <w:bCs/>
                <w:color w:val="FFFFFF"/>
                <w:sz w:val="16"/>
                <w:szCs w:val="16"/>
              </w:rPr>
              <w:t xml:space="preserve">Novu Foundation</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P2</w:t>
            </w:r>
          </w:p>
          <w:p>
            <w:pPr>
              <w:spacing w:after="20"/>
              <w:jc w:val="center"/>
            </w:pPr>
            <w:r>
              <w:rPr>
                <w:rFonts w:ascii="Calibri" w:cs="Calibri" w:eastAsia="Calibri" w:hAnsi="Calibri"/>
                <w:b/>
                <w:bCs/>
                <w:color w:val="FFFFFF"/>
                <w:sz w:val="16"/>
                <w:szCs w:val="16"/>
              </w:rPr>
              <w:t xml:space="preserve">PH Workflows</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P3</w:t>
            </w:r>
          </w:p>
          <w:p>
            <w:pPr>
              <w:spacing w:after="20"/>
              <w:jc w:val="center"/>
            </w:pPr>
            <w:r>
              <w:rPr>
                <w:rFonts w:ascii="Calibri" w:cs="Calibri" w:eastAsia="Calibri" w:hAnsi="Calibri"/>
                <w:b/>
                <w:bCs/>
                <w:color w:val="FFFFFF"/>
                <w:sz w:val="16"/>
                <w:szCs w:val="16"/>
              </w:rPr>
              <w:t xml:space="preserve">INV+INS+OPS+REG+HI+MT</w:t>
            </w:r>
          </w:p>
          <w:p>
            <w:pPr>
              <w:spacing w:after="0"/>
              <w:jc w:val="center"/>
            </w:pPr>
            <w:r>
              <w:rPr>
                <w:rFonts w:ascii="Calibri" w:cs="Calibri" w:eastAsia="Calibri" w:hAnsi="Calibri"/>
                <w:i/>
                <w:iCs/>
                <w:color w:val="FFFFFF"/>
                <w:sz w:val="14"/>
                <w:szCs w:val="14"/>
              </w:rPr>
              <w:t xml:space="preserve">6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P4</w:t>
            </w:r>
          </w:p>
          <w:p>
            <w:pPr>
              <w:spacing w:after="20"/>
              <w:jc w:val="center"/>
            </w:pPr>
            <w:r>
              <w:rPr>
                <w:rFonts w:ascii="Calibri" w:cs="Calibri" w:eastAsia="Calibri" w:hAnsi="Calibri"/>
                <w:b/>
                <w:bCs/>
                <w:color w:val="FFFFFF"/>
                <w:sz w:val="16"/>
                <w:szCs w:val="16"/>
              </w:rPr>
              <w:t xml:space="preserve">Compliance + Observability</w:t>
            </w:r>
          </w:p>
          <w:p>
            <w:pPr>
              <w:spacing w:after="0"/>
              <w:jc w:val="center"/>
            </w:pPr>
            <w:r>
              <w:rPr>
                <w:rFonts w:ascii="Calibri" w:cs="Calibri" w:eastAsia="Calibri" w:hAnsi="Calibri"/>
                <w:i/>
                <w:iCs/>
                <w:color w:val="FFFFFF"/>
                <w:sz w:val="14"/>
                <w:szCs w:val="14"/>
              </w:rPr>
              <w:t xml:space="preserve">5 days</w:t>
            </w:r>
          </w:p>
        </w:tc>
        <w:tc>
          <w:tcPr>
            <w:tcW w:type="dxa" w:w="28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24"/>
                <w:szCs w:val="24"/>
              </w:rPr>
              <w:t xml:space="preserve">▶</w:t>
            </w:r>
          </w:p>
        </w:tc>
        <w:tc>
          <w:tcPr>
            <w:tcW w:type="dxa" w:w="1725"/>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spacing w:after="20"/>
              <w:jc w:val="center"/>
            </w:pPr>
            <w:r>
              <w:rPr>
                <w:rFonts w:ascii="Calibri" w:cs="Calibri" w:eastAsia="Calibri" w:hAnsi="Calibri"/>
                <w:b/>
                <w:bCs/>
                <w:color w:val="FFFFFF"/>
                <w:sz w:val="22"/>
                <w:szCs w:val="22"/>
              </w:rPr>
              <w:t xml:space="preserve">P5</w:t>
            </w:r>
          </w:p>
          <w:p>
            <w:pPr>
              <w:spacing w:after="20"/>
              <w:jc w:val="center"/>
            </w:pPr>
            <w:r>
              <w:rPr>
                <w:rFonts w:ascii="Calibri" w:cs="Calibri" w:eastAsia="Calibri" w:hAnsi="Calibri"/>
                <w:b/>
                <w:bCs/>
                <w:color w:val="FFFFFF"/>
                <w:sz w:val="16"/>
                <w:szCs w:val="16"/>
              </w:rPr>
              <w:t xml:space="preserve">Custom Providers + Hardening</w:t>
            </w:r>
          </w:p>
          <w:p>
            <w:pPr>
              <w:spacing w:after="0"/>
              <w:jc w:val="center"/>
            </w:pPr>
            <w:r>
              <w:rPr>
                <w:rFonts w:ascii="Calibri" w:cs="Calibri" w:eastAsia="Calibri" w:hAnsi="Calibri"/>
                <w:i/>
                <w:iCs/>
                <w:color w:val="FFFFFF"/>
                <w:sz w:val="14"/>
                <w:szCs w:val="14"/>
              </w:rPr>
              <w:t xml:space="preserve">4 days</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900"/>
        <w:gridCol w:w="53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Name</w:t>
            </w:r>
          </w:p>
        </w:tc>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Days</w:t>
            </w:r>
          </w:p>
        </w:tc>
        <w:tc>
          <w:tcPr>
            <w:tcW w:type="dxa" w:w="5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Outcome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Foundation</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deployed to Client AWS Mumbai VPC (or equivalent India region); Postgres, Mongo, Redis provisioned; Novu API + Worker + Web up; first PoC workflow (PH-03 KYC) executing end-to-end against Gupshup sandbox; CI pipeline scaffolded.</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Workflow Library</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triggers as Novu workflows in TypeScript; subscriber model + one-time sync from existing customer-data store; Email + WA content for active statuses; first compliance-check stub at workflow head.</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 + INS + OPS + REG + Hindi + Multi-tenant</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31 additional workflows across investor, insurer, internal, regulatory; Hindi variants for PH-facing content; multi-tenant insurer registry and routing middleware (Section 18.4) integrated; per-insurer sender identities recognised at workflow + audit layer.</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 Observability</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 engine — ≥ 30 rules across DLT, IRDAI, WA-BSP, DPDPA, FATCA, TDS, brand-voice — enforced both at CI and at workflow pre-execution; structured logs + metrics + audit dashboard; SAR / audit-export endpoint.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Providers + Production Hardening</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5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custom Novu provider plugins (SMS + WhatsApp); failover orchestration Gupshup → MSG91 → Karix; production cutover plan; one-week hypercare; final ops runbook handover.</w:t>
            </w:r>
          </w:p>
        </w:tc>
      </w:tr>
    </w:tbl>
    <w:p>
      <w:pPr>
        <w:spacing w:after="100"/>
      </w:pPr>
      <w:r>
        <w:t xml:space="preserve"/>
      </w:r>
    </w:p>
    <w:p>
      <w:pPr>
        <w:spacing w:after="120" w:before="0"/>
      </w:pPr>
      <w:r>
        <w:rPr>
          <w:rFonts w:ascii="Calibri" w:cs="Calibri" w:eastAsia="Calibri" w:hAnsi="Calibri"/>
          <w:i/>
          <w:iCs/>
          <w:color w:val="808080"/>
          <w:sz w:val="18"/>
          <w:szCs w:val="18"/>
        </w:rPr>
        <w:t xml:space="preserve">Total core delivery (P1–P5): 25 working consultant-days. P5 is in core, not gated. Phase 5 still depends on Client-supplied provider credentials (Gupshup / MSG91 / Karix accounts) and DLT registration; if these are not ready by start of P5, the phase shifts day-for-day under Section 28.3.</w:t>
      </w:r>
    </w:p>
    <w:p>
      <w:pPr>
        <w:pStyle w:val="Heading1"/>
        <w:pageBreakBefore/>
        <w:spacing w:after="240" w:before="0"/>
      </w:pPr>
      <w:r>
        <w:rPr>
          <w:rFonts w:ascii="Calibri" w:cs="Calibri" w:eastAsia="Calibri" w:hAnsi="Calibri"/>
          <w:b/>
          <w:bCs/>
          <w:color w:val="1F3864"/>
          <w:sz w:val="36"/>
          <w:szCs w:val="36"/>
        </w:rPr>
        <w:t xml:space="preserve">23. Deliverables</w:t>
      </w:r>
    </w:p>
    <w:p>
      <w:pPr>
        <w:spacing w:after="120" w:before="0"/>
      </w:pPr>
      <w:r>
        <w:rPr>
          <w:rFonts w:ascii="Calibri" w:cs="Calibri" w:eastAsia="Calibri" w:hAnsi="Calibri"/>
          <w:color w:val="1A1A1A"/>
          <w:sz w:val="20"/>
          <w:szCs w:val="20"/>
        </w:rPr>
        <w:t xml:space="preserve">Artefacts received by the Client at, or by the end of, each phase. Acceptance procedure is in Section 24.</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6300"/>
        <w:gridCol w:w="23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6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Artefact</w:t>
            </w:r>
          </w:p>
        </w:tc>
        <w:tc>
          <w:tcPr>
            <w:tcW w:type="dxa" w:w="2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deployed to Client AWS Mumbai VPC (or equivalent)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Running services + IaC (Terraform / Helm)</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Postgres + MongoDB + Redis provisioned, Multi-AZ, encrypted</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Cloud resources + connection runbook</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Bridge configured; first PoC workflow (PH-03 KYC) deployed</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deployed workflow</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pipeline (lint, render goldens, workflow tests) operational</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GitHub Actions / equivalent</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runbook (deployment, scaling, backup, recovery)</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 PH workflows in TypeScript (Novu Framework)</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deployed to dev</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data model + one-time sync from TPE customer-data store</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Sync script + diff report</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 WA + SMS content for all PH active statuses</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In-workflow + shared content modules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Compliance-check stub at workflow head</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Framework step</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31 additional workflows (16 INV + 6 INS + 6 OPS + 3 REG)</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deployed to dev</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Hindi variants for all PH-facing content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TS modules + render goldens</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insurer registry (11 carriers) + tenancy middleware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library/insurers.ts + middleware/tenancy</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Localisation queue dashboard</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 report + CI script</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 engine — ≥ 30 rules across 6 regimes</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library/*-rules.ts + middleware/compliance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enforcement at CI (PR-blocking) and workflow pre-execution</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CI workflow + Novu custom step</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Observability stack: structured logs + metrics + audit dashboard</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Grafana / CloudWatch dashboards + audit UI</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SAR / audit-export endpoint with PII redaction by default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API + role-gated full-PII view</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reference card (printable)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PDF</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custom Novu provider plugin (SMS + WhatsApp)</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plugin code + tests</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Karix custom Novu provider plugin (SMS + WhatsApp)</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plugin code + tests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Failover orchestration: Gupshup → MSG91 → Karix</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Workflow-level configuration + integration tests</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cutover plan + one-week hypercare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Runbook + ops handover</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Final ops runbook for self-hosted Novu (patching, scaling, DR)</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6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Test packs (schema, lint, render, workflow, provider, e2e)</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Code</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6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Documentation: workflow-author guide, compliance reference, provider docs</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 / DOCX</w:t>
            </w:r>
          </w:p>
        </w:tc>
      </w:tr>
    </w:tbl>
    <w:p>
      <w:pPr>
        <w:pStyle w:val="Heading1"/>
        <w:pageBreakBefore/>
        <w:spacing w:after="240" w:before="0"/>
      </w:pPr>
      <w:r>
        <w:rPr>
          <w:rFonts w:ascii="Calibri" w:cs="Calibri" w:eastAsia="Calibri" w:hAnsi="Calibri"/>
          <w:b/>
          <w:bCs/>
          <w:color w:val="1F3864"/>
          <w:sz w:val="36"/>
          <w:szCs w:val="36"/>
        </w:rPr>
        <w:t xml:space="preserve">24. Acceptance Criteria &amp; Procedure</w:t>
      </w:r>
    </w:p>
    <w:p>
      <w:pPr>
        <w:spacing w:after="120" w:before="0"/>
      </w:pPr>
      <w:r>
        <w:rPr>
          <w:rFonts w:ascii="Calibri" w:cs="Calibri" w:eastAsia="Calibri" w:hAnsi="Calibri"/>
          <w:color w:val="1A1A1A"/>
          <w:sz w:val="20"/>
          <w:szCs w:val="20"/>
        </w:rPr>
        <w:t xml:space="preserve">Acceptance is the mechanism by which a deliverable transitions from “submitted” to “accepted”, releasing the corresponding milestone payment (Part XI) and closing the phase. The criteria below define what each phase must demonstrate; the procedure below defines how acceptance is recorded, how rejection works, and what happens if the Client does not respond.</w:t>
      </w:r>
    </w:p>
    <w:p>
      <w:pPr>
        <w:pStyle w:val="Heading2"/>
        <w:spacing w:after="140" w:before="280"/>
      </w:pPr>
      <w:r>
        <w:rPr>
          <w:rFonts w:ascii="Calibri" w:cs="Calibri" w:eastAsia="Calibri" w:hAnsi="Calibri"/>
          <w:b/>
          <w:bCs/>
          <w:color w:val="1F3864"/>
          <w:sz w:val="28"/>
          <w:szCs w:val="28"/>
        </w:rPr>
        <w:t xml:space="preserve">24.1  Acceptance criteria (per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8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Acceptance criteria</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reachable on Client VPC; Postgres + Mongo + Redis operational and Multi-AZ; first PoC workflow (PH-03) executes end-to-end and emits an audit row; CI pipeline runs schema and render-golden tests on a representative subset; infrastructure runbook reviewable by Client CTO.</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workflows deployed to dev environment and pass L1–L4 tests; subscriber sync covers 100% of in-scope PH records with diff report; CX Head signs off on rendered samples for all active statuses; compliance-check stub aborts on contrived violation.</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 Insurer / Internal / Regulatory workflows deployed and passing tests; Hindi variants exist for all PH-facing content; multi-tenant insurer routing produces correct sender identity in audit for each of 11 carriers; localisation queue empty.</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lint has at least 30 rules across the six regimes; CI blocks PR on any rule failure; pre-execution lint aborts a contrived non-compliant trigger; audit dashboard shows correctly redacted PII; SAR / audit-export endpoint returns within 60 seconds; compliance reference card produced.</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and Karix custom provider plugins pass L5 tests against sandbox accounts; failover Gupshup → MSG91 → Karix verified on contrived 5xx; production cutover plan executes against staging without errors; one-week hypercare plan documented; ops handover meeting completed with named Client successor.</w:t>
            </w:r>
          </w:p>
        </w:tc>
      </w:tr>
    </w:tbl>
    <w:p>
      <w:pPr>
        <w:pStyle w:val="Heading2"/>
        <w:spacing w:after="140" w:before="280"/>
      </w:pPr>
      <w:r>
        <w:rPr>
          <w:rFonts w:ascii="Calibri" w:cs="Calibri" w:eastAsia="Calibri" w:hAnsi="Calibri"/>
          <w:b/>
          <w:bCs/>
          <w:color w:val="1F3864"/>
          <w:sz w:val="28"/>
          <w:szCs w:val="28"/>
        </w:rPr>
        <w:t xml:space="preserve">24.2  Acceptance procedure</w:t>
      </w:r>
    </w:p>
    <w:p>
      <w:pPr>
        <w:spacing w:after="120" w:before="0"/>
      </w:pPr>
      <w:r>
        <w:rPr>
          <w:rFonts w:ascii="Calibri" w:cs="Calibri" w:eastAsia="Calibri" w:hAnsi="Calibri"/>
          <w:color w:val="1A1A1A"/>
          <w:sz w:val="20"/>
          <w:szCs w:val="20"/>
        </w:rPr>
        <w:t xml:space="preserve">On phase completion, the Consultant submits an Acceptance Notice to the Client containing: (a) a phase-summary statement that each criterion in 24.1 has been met; (b) evidence (test logs, recorded walk-through link, deliverable artefacts in the repository); and (c) an acceptance form for counter-signature. Acceptance proceeds as below.</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700"/>
        <w:gridCol w:w="344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State</w:t>
            </w:r>
          </w:p>
        </w:tc>
        <w:tc>
          <w:tcPr>
            <w:tcW w:type="dxa" w:w="2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SLA</w:t>
            </w:r>
          </w:p>
        </w:tc>
        <w:tc>
          <w:tcPr>
            <w:tcW w:type="dxa" w:w="3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Effect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Submitted</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emails Acceptance Notice + evidence to Client Engagement Owner</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0</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window opens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Under review</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reviews against 24.1 criteria</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business days</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may request walk-through; SLA may be extended by mutual written agreement, max +5 days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Accepted (express)</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signs Acceptance Form</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window</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Triggers milestone invoice (Part XI). Phase closed.</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Rejected</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issues Rejection Notice citing specific 24.1 criteria not met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window</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Rework triggered (24.3)</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Accepted (deemed)</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neither accepts nor rejects within the window</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 of window</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Deliverable deemed accepted; milestone invoice triggered.</w:t>
            </w:r>
          </w:p>
        </w:tc>
      </w:tr>
    </w:tbl>
    <w:p>
      <w:pPr>
        <w:pStyle w:val="Heading2"/>
        <w:spacing w:after="140" w:before="280"/>
      </w:pPr>
      <w:r>
        <w:rPr>
          <w:rFonts w:ascii="Calibri" w:cs="Calibri" w:eastAsia="Calibri" w:hAnsi="Calibri"/>
          <w:b/>
          <w:bCs/>
          <w:color w:val="1F3864"/>
          <w:sz w:val="28"/>
          <w:szCs w:val="28"/>
        </w:rPr>
        <w:t xml:space="preserve">24.3  Rejection notice and rework</w:t>
      </w:r>
    </w:p>
    <w:p>
      <w:pPr>
        <w:pStyle w:val="ListParagraph"/>
        <w:numPr>
          <w:ilvl w:val="0"/>
          <w:numId w:val="2"/>
        </w:numPr>
        <w:spacing w:after="80"/>
      </w:pPr>
      <w:r>
        <w:rPr>
          <w:rFonts w:ascii="Calibri" w:cs="Calibri" w:eastAsia="Calibri" w:hAnsi="Calibri"/>
          <w:color w:val="1A1A1A"/>
          <w:sz w:val="20"/>
          <w:szCs w:val="20"/>
        </w:rPr>
        <w:t xml:space="preserve">A Rejection Notice must be in writing and must reference the specific clause(s) of 24.1 alleged to be unmet. Generic dissatisfaction or change-of-mind requests do not constitute rejection — they are change requests under Section 27.</w:t>
      </w:r>
    </w:p>
    <w:p>
      <w:pPr>
        <w:pStyle w:val="ListParagraph"/>
        <w:numPr>
          <w:ilvl w:val="0"/>
          <w:numId w:val="2"/>
        </w:numPr>
        <w:spacing w:after="80"/>
      </w:pPr>
      <w:r>
        <w:rPr>
          <w:rFonts w:ascii="Calibri" w:cs="Calibri" w:eastAsia="Calibri" w:hAnsi="Calibri"/>
          <w:color w:val="1A1A1A"/>
          <w:sz w:val="20"/>
          <w:szCs w:val="20"/>
        </w:rPr>
        <w:t xml:space="preserve">On valid rejection, the Consultant has 5 business days (or such longer period agreed in writing) to remediate and resubmit. The acceptance window then restarts on the resubmission date.</w:t>
      </w:r>
    </w:p>
    <w:p>
      <w:pPr>
        <w:pStyle w:val="ListParagraph"/>
        <w:numPr>
          <w:ilvl w:val="0"/>
          <w:numId w:val="2"/>
        </w:numPr>
        <w:spacing w:after="80"/>
      </w:pPr>
      <w:r>
        <w:rPr>
          <w:rFonts w:ascii="Calibri" w:cs="Calibri" w:eastAsia="Calibri" w:hAnsi="Calibri"/>
          <w:color w:val="1A1A1A"/>
          <w:sz w:val="20"/>
          <w:szCs w:val="20"/>
        </w:rPr>
        <w:t xml:space="preserve">Rework cap. The Consultant’s rework obligation per phase is capped at 25% of the phase’s consultant-days. Rework beyond that cap is treated as a change order under Section 41 and charged at the rate card.</w:t>
      </w:r>
    </w:p>
    <w:p>
      <w:pPr>
        <w:pStyle w:val="ListParagraph"/>
        <w:numPr>
          <w:ilvl w:val="0"/>
          <w:numId w:val="2"/>
        </w:numPr>
        <w:spacing w:after="80"/>
      </w:pPr>
      <w:r>
        <w:rPr>
          <w:rFonts w:ascii="Calibri" w:cs="Calibri" w:eastAsia="Calibri" w:hAnsi="Calibri"/>
          <w:color w:val="1A1A1A"/>
          <w:sz w:val="20"/>
          <w:szCs w:val="20"/>
        </w:rPr>
        <w:t xml:space="preserve">Where rejection is later determined to have been raised in bad faith or without specific reference to 24.1, the original Acceptance Notice date is restored.</w:t>
      </w:r>
    </w:p>
    <w:p>
      <w:pPr>
        <w:pStyle w:val="Heading2"/>
        <w:spacing w:after="140" w:before="280"/>
      </w:pPr>
      <w:r>
        <w:rPr>
          <w:rFonts w:ascii="Calibri" w:cs="Calibri" w:eastAsia="Calibri" w:hAnsi="Calibri"/>
          <w:b/>
          <w:bCs/>
          <w:color w:val="1F3864"/>
          <w:sz w:val="28"/>
          <w:szCs w:val="28"/>
        </w:rPr>
        <w:t xml:space="preserve">24.4  Materiality and partial acceptance</w:t>
      </w:r>
    </w:p>
    <w:p>
      <w:pPr>
        <w:spacing w:after="120" w:before="0"/>
      </w:pPr>
      <w:r>
        <w:rPr>
          <w:rFonts w:ascii="Calibri" w:cs="Calibri" w:eastAsia="Calibri" w:hAnsi="Calibri"/>
          <w:color w:val="1A1A1A"/>
          <w:sz w:val="20"/>
          <w:szCs w:val="20"/>
        </w:rPr>
        <w:t xml:space="preserve">Where a deliverable substantially meets the criteria but a non-material defect is identified, the Parties may agree in writing to a Conditional Acceptance: the milestone payment is released and the defect is logged as a Sev-3 item (Section 21.3) for remediation within the next phase. Conditional Acceptance does not extend the project timeline or increase the contract value.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Why deemed acceptance matters.</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Without a closing window, “acceptance” is whatever the Client says it is, indefinitely, and milestone payments stall while the project moves on. The 5-business-day window is a standard market practice for SOWs of this size; it is enough time for thorough review by Client approvers and tight enough to keep the engagement on cadence.</w:t>
            </w:r>
          </w:p>
        </w:tc>
      </w:tr>
    </w:tbl>
    <w:p>
      <w:pPr>
        <w:pageBreakBefore/>
        <w:spacing w:after="200" w:before="4000"/>
        <w:jc w:val="center"/>
      </w:pPr>
      <w:r>
        <w:rPr>
          <w:rFonts w:ascii="Calibri" w:cs="Calibri" w:eastAsia="Calibri" w:hAnsi="Calibri"/>
          <w:b/>
          <w:bCs/>
          <w:caps/>
          <w:color w:val="808080"/>
          <w:sz w:val="22"/>
          <w:szCs w:val="22"/>
        </w:rPr>
        <w:t xml:space="preserve">Part VIII</w:t>
      </w:r>
    </w:p>
    <w:p>
      <w:pPr>
        <w:spacing w:after="1600" w:before="0"/>
        <w:jc w:val="center"/>
      </w:pPr>
      <w:r>
        <w:rPr>
          <w:rFonts w:ascii="Calibri" w:cs="Calibri" w:eastAsia="Calibri" w:hAnsi="Calibri"/>
          <w:b/>
          <w:bCs/>
          <w:color w:val="1F3864"/>
          <w:sz w:val="56"/>
          <w:szCs w:val="56"/>
        </w:rPr>
        <w:t xml:space="preserve">Governance</w:t>
      </w:r>
    </w:p>
    <w:p>
      <w:pPr>
        <w:pStyle w:val="Heading1"/>
        <w:pageBreakBefore/>
        <w:spacing w:after="240" w:before="0"/>
      </w:pPr>
      <w:r>
        <w:rPr>
          <w:rFonts w:ascii="Calibri" w:cs="Calibri" w:eastAsia="Calibri" w:hAnsi="Calibri"/>
          <w:b/>
          <w:bCs/>
          <w:color w:val="1F3864"/>
          <w:sz w:val="36"/>
          <w:szCs w:val="36"/>
        </w:rPr>
        <w:t xml:space="preserve">25. Roles &amp; Responsibilities (RACI)</w:t>
      </w:r>
    </w:p>
    <w:p>
      <w:pPr>
        <w:spacing w:after="120" w:before="0"/>
      </w:pPr>
      <w:r>
        <w:rPr>
          <w:rFonts w:ascii="Calibri" w:cs="Calibri" w:eastAsia="Calibri" w:hAnsi="Calibri"/>
          <w:i/>
          <w:iCs/>
          <w:color w:val="808080"/>
          <w:sz w:val="18"/>
          <w:szCs w:val="18"/>
        </w:rPr>
        <w:t xml:space="preserve">R = Responsible, A = Accountable, C = Consulted, I = Informed.</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100"/>
        <w:gridCol w:w="1000"/>
        <w:gridCol w:w="1000"/>
        <w:gridCol w:w="1000"/>
        <w:gridCol w:w="104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Consult.</w:t>
            </w:r>
          </w:p>
        </w:tc>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Eng (TPE)</w:t>
            </w:r>
          </w:p>
        </w:tc>
        <w:tc>
          <w:tcPr>
            <w:tcW w:type="dxa" w:w="1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CX</w:t>
            </w:r>
          </w:p>
        </w:tc>
        <w:tc>
          <w:tcPr>
            <w:tcW w:type="dxa" w:w="1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Comply</w:t>
            </w:r>
          </w:p>
        </w:tc>
        <w:tc>
          <w:tcPr>
            <w:tcW w:type="dxa" w:w="1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CTO</w:t>
            </w:r>
          </w:p>
        </w:tc>
        <w:tc>
          <w:tcPr>
            <w:tcW w:type="dxa" w:w="1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Sponsor</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Schema design + scaffolding</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authoring</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rule definition</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 of templates</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Brand-voice review</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 renderer code</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Spreadsheet import (one-time)</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sign-off</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5 channel-provider selection</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Audit-evidence production</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Notice issuance</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c>
          <w:tcPr>
            <w:tcW w:type="dxa" w:w="1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counter-signature</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w:t>
            </w:r>
          </w:p>
        </w:tc>
        <w:tc>
          <w:tcPr>
            <w:tcW w:type="dxa" w:w="1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w:t>
            </w:r>
          </w:p>
        </w:tc>
      </w:tr>
    </w:tbl>
    <w:p>
      <w:pPr>
        <w:pStyle w:val="Heading1"/>
        <w:pageBreakBefore/>
        <w:spacing w:after="240" w:before="0"/>
      </w:pPr>
      <w:r>
        <w:rPr>
          <w:rFonts w:ascii="Calibri" w:cs="Calibri" w:eastAsia="Calibri" w:hAnsi="Calibri"/>
          <w:b/>
          <w:bCs/>
          <w:color w:val="1F3864"/>
          <w:sz w:val="36"/>
          <w:szCs w:val="36"/>
        </w:rPr>
        <w:t xml:space="preserve">26. Communication Management Plan</w:t>
      </w:r>
    </w:p>
    <w:p>
      <w:pPr>
        <w:spacing w:after="120" w:before="0"/>
      </w:pPr>
      <w:r>
        <w:rPr>
          <w:rFonts w:ascii="Calibri" w:cs="Calibri" w:eastAsia="Calibri" w:hAnsi="Calibri"/>
          <w:color w:val="1A1A1A"/>
          <w:sz w:val="20"/>
          <w:szCs w:val="20"/>
        </w:rPr>
        <w:t xml:space="preserve">How the engagement itself communicates — distinct from the communication-system being built. Defined cadence, owners and channels prevent the project from generating its own coordination drag.</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300"/>
        <w:gridCol w:w="1700"/>
        <w:gridCol w:w="1700"/>
        <w:gridCol w:w="174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Forum</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Frequency</w:t>
            </w:r>
          </w:p>
        </w:tc>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c>
          <w:tcPr>
            <w:tcW w:type="dxa" w:w="1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Output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standup</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10:30 IST</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Eng</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thread</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 update + blockers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status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Friday 16:00 IST</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DOCX 1-pager + Slack</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Status, risks, decisions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 of P1, P2, P3, P4</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demo + DOCX</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Sign-off → next phase</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 queue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/tpe-template review</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Approval / rejection</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 queue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Lead</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Authors</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/tpe-template review</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Approval / rejection</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Risk review</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Bi-weekly</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Sponsor</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Updated Risk Register</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 closed risks</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Stakeholder digest</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Monthly</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stakeholders</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1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Progress + asks</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Post-mortem</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Sev-1/Sev-2</w:t>
            </w:r>
          </w:p>
        </w:tc>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approvers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Markdown</w:t>
            </w:r>
          </w:p>
        </w:tc>
        <w:tc>
          <w:tcPr>
            <w:tcW w:type="dxa" w:w="1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Action items</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Information radiator, not push.</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Status is published to a single source (the Slack channel + weekly DOCX). Approvers pull when they need to; the Consultant does not chase or duplicate. Push is reserved for blockers and phase-gate decisions.</w:t>
            </w:r>
          </w:p>
        </w:tc>
      </w:tr>
    </w:tbl>
    <w:p>
      <w:pPr>
        <w:pStyle w:val="Heading1"/>
        <w:pageBreakBefore/>
        <w:spacing w:after="240" w:before="0"/>
      </w:pPr>
      <w:r>
        <w:rPr>
          <w:rFonts w:ascii="Calibri" w:cs="Calibri" w:eastAsia="Calibri" w:hAnsi="Calibri"/>
          <w:b/>
          <w:bCs/>
          <w:color w:val="1F3864"/>
          <w:sz w:val="36"/>
          <w:szCs w:val="36"/>
        </w:rPr>
        <w:t xml:space="preserve">27. Change Management Process</w:t>
      </w:r>
    </w:p>
    <w:p>
      <w:pPr>
        <w:spacing w:after="120" w:before="0"/>
      </w:pPr>
      <w:r>
        <w:rPr>
          <w:rFonts w:ascii="Calibri" w:cs="Calibri" w:eastAsia="Calibri" w:hAnsi="Calibri"/>
          <w:color w:val="1A1A1A"/>
          <w:sz w:val="20"/>
          <w:szCs w:val="20"/>
        </w:rPr>
        <w:t xml:space="preserve">Any change to scope, effort, timeline, deliverables, commercial terms or legal terms follows the process below. Change requests captured informally — in Slack, email or hallway — must be re-stated as a formal Change Request before they take effect.</w:t>
      </w:r>
    </w:p>
    <w:p>
      <w:pPr>
        <w:pStyle w:val="Heading2"/>
        <w:spacing w:after="140" w:before="280"/>
      </w:pPr>
      <w:r>
        <w:rPr>
          <w:rFonts w:ascii="Calibri" w:cs="Calibri" w:eastAsia="Calibri" w:hAnsi="Calibri"/>
          <w:b/>
          <w:bCs/>
          <w:color w:val="1F3864"/>
          <w:sz w:val="28"/>
          <w:szCs w:val="28"/>
        </w:rPr>
        <w:t xml:space="preserve">27.1  Change request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30"/>
        <w:gridCol w:w="200"/>
        <w:gridCol w:w="1430"/>
        <w:gridCol w:w="200"/>
        <w:gridCol w:w="1430"/>
        <w:gridCol w:w="200"/>
        <w:gridCol w:w="1430"/>
        <w:gridCol w:w="200"/>
        <w:gridCol w:w="1430"/>
        <w:gridCol w:w="200"/>
        <w:gridCol w:w="1596"/>
      </w:tblGrid>
      <w:tr>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RAISED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TRIAGED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ASSESSED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DECIDED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APPLIED</w:t>
            </w:r>
          </w:p>
        </w:tc>
        <w:tc>
          <w:tcPr>
            <w:tcW w:type="dxa" w:w="200"/>
            <w:tcBorders>
              <w:top w:val="none"/>
              <w:left w:val="none"/>
              <w:bottom w:val="none"/>
              <w:right w:val="none"/>
            </w:tcBorders>
            <w:tcMar>
              <w:top w:type="dxa" w:w="100"/>
              <w:left w:type="dxa" w:w="0"/>
              <w:bottom w:type="dxa" w:w="100"/>
              <w:right w:type="dxa" w:w="0"/>
            </w:tcMar>
            <w:vAlign w:val="center"/>
          </w:tcPr>
          <w:p>
            <w:pPr>
              <w:jc w:val="center"/>
            </w:pPr>
            <w:r>
              <w:rPr>
                <w:rFonts w:ascii="Calibri" w:cs="Calibri" w:eastAsia="Calibri" w:hAnsi="Calibri"/>
                <w:b/>
                <w:bCs/>
                <w:color w:val="808080"/>
                <w:sz w:val="18"/>
                <w:szCs w:val="18"/>
              </w:rPr>
              <w:t xml:space="preserve">▶</w:t>
            </w:r>
          </w:p>
        </w:tc>
        <w:tc>
          <w:tcPr>
            <w:tcW w:type="dxa" w:w="1430"/>
            <w:tcBorders>
              <w:top w:val="single" w:color="BFBFBF" w:sz="4"/>
              <w:left w:val="single" w:color="BFBFBF" w:sz="4"/>
              <w:bottom w:val="single" w:color="BFBFBF" w:sz="4"/>
              <w:right w:val="single" w:color="BFBFBF" w:sz="4"/>
            </w:tcBorders>
            <w:shd w:fill="1F3864" w:color="auto" w:val="clear"/>
            <w:tcMar>
              <w:top w:type="dxa" w:w="100"/>
              <w:left w:type="dxa" w:w="60"/>
              <w:bottom w:type="dxa" w:w="100"/>
              <w:right w:type="dxa" w:w="60"/>
            </w:tcMar>
            <w:vAlign w:val="center"/>
          </w:tcPr>
          <w:p>
            <w:pPr>
              <w:jc w:val="center"/>
            </w:pPr>
            <w:r>
              <w:rPr>
                <w:rFonts w:ascii="Calibri" w:cs="Calibri" w:eastAsia="Calibri" w:hAnsi="Calibri"/>
                <w:b/>
                <w:bCs/>
                <w:color w:val="FFFFFF"/>
                <w:sz w:val="16"/>
                <w:szCs w:val="16"/>
              </w:rPr>
              <w:t xml:space="preserve">CLOSED</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36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State</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SLA</w:t>
            </w:r>
          </w:p>
        </w:tc>
        <w:tc>
          <w:tcPr>
            <w:tcW w:type="dxa" w:w="3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Output</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raised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Anyone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 ticket with title + rationale</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triaged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 business day</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Severity + initial impact estimate</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assessed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reviewers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 business days</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Effort delta, scope delta, risk delta, cost delta</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decided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Next CCB or 5 days</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 / reject / defer</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applied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agreed plan</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Document updated; new version cut</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closed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1 sprint</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 archived with audit</w:t>
            </w:r>
          </w:p>
        </w:tc>
      </w:tr>
    </w:tbl>
    <w:p>
      <w:pPr>
        <w:pStyle w:val="Heading2"/>
        <w:spacing w:after="140" w:before="280"/>
      </w:pPr>
      <w:r>
        <w:rPr>
          <w:rFonts w:ascii="Calibri" w:cs="Calibri" w:eastAsia="Calibri" w:hAnsi="Calibri"/>
          <w:b/>
          <w:bCs/>
          <w:color w:val="1F3864"/>
          <w:sz w:val="28"/>
          <w:szCs w:val="28"/>
        </w:rPr>
        <w:t xml:space="preserve">27.2  Change Control Board (CCB)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Members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CTO, Compliance, CX, Consultant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Quorum</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 + (one of Compliance / CX) + Consultant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Frequency</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 demand for Sev-1 / Sev-2; otherwise weekly when CRs are open</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Decision rule</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Consensus; deadlock escalates to Sponsor</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Authority</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Approve / reject / defer scope, effort, deliverable, commercial changes</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Records</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 minutes filed against the CR; Version History updated on apply</w:t>
            </w:r>
          </w:p>
        </w:tc>
      </w:tr>
    </w:tbl>
    <w:p>
      <w:pPr>
        <w:pStyle w:val="Heading2"/>
        <w:spacing w:after="140" w:before="280"/>
      </w:pPr>
      <w:r>
        <w:rPr>
          <w:rFonts w:ascii="Calibri" w:cs="Calibri" w:eastAsia="Calibri" w:hAnsi="Calibri"/>
          <w:b/>
          <w:bCs/>
          <w:color w:val="1F3864"/>
          <w:sz w:val="28"/>
          <w:szCs w:val="28"/>
        </w:rPr>
        <w:t xml:space="preserve">27.3  Change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74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Class</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Triggers</w:t>
            </w:r>
          </w:p>
        </w:tc>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Decision authority</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Commercial effect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Minor</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Editorial, prose, tone, examples; no effort impact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None</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Moderate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1 day effort; no scope change; no deliverable change</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+ 1 approver</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Absorbed within phase budget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Material</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&gt; 1 day effort OR scope/deliverable change OR risk change</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Full CCB</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order issued at rate card (Section 41)</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Critical</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surfaced OR Sponsor-level commercial</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Full CCB + Sponsor</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order + commercial impact assessment</w:t>
            </w:r>
          </w:p>
        </w:tc>
      </w:tr>
    </w:tbl>
    <w:p>
      <w:pPr>
        <w:pStyle w:val="Heading1"/>
        <w:pageBreakBefore/>
        <w:spacing w:after="240" w:before="0"/>
      </w:pPr>
      <w:r>
        <w:rPr>
          <w:rFonts w:ascii="Calibri" w:cs="Calibri" w:eastAsia="Calibri" w:hAnsi="Calibri"/>
          <w:b/>
          <w:bCs/>
          <w:color w:val="1F3864"/>
          <w:sz w:val="36"/>
          <w:szCs w:val="36"/>
        </w:rPr>
        <w:t xml:space="preserve">28. Service Level Agreements</w:t>
      </w:r>
    </w:p>
    <w:p>
      <w:pPr>
        <w:spacing w:after="120" w:before="0"/>
      </w:pPr>
      <w:r>
        <w:rPr>
          <w:rFonts w:ascii="Calibri" w:cs="Calibri" w:eastAsia="Calibri" w:hAnsi="Calibri"/>
          <w:color w:val="1A1A1A"/>
          <w:sz w:val="20"/>
          <w:szCs w:val="20"/>
        </w:rPr>
        <w:t xml:space="preserve">SLAs the delivered system commits to (post go-live), and SLAs the Consultant commits to during build. The first set governs operations; the second set governs delivery. Breach handling is in 28.3.</w:t>
      </w:r>
    </w:p>
    <w:p>
      <w:pPr>
        <w:pStyle w:val="Heading2"/>
        <w:spacing w:after="140" w:before="280"/>
      </w:pPr>
      <w:r>
        <w:rPr>
          <w:rFonts w:ascii="Calibri" w:cs="Calibri" w:eastAsia="Calibri" w:hAnsi="Calibri"/>
          <w:b/>
          <w:bCs/>
          <w:color w:val="1F3864"/>
          <w:sz w:val="28"/>
          <w:szCs w:val="28"/>
        </w:rPr>
        <w:t xml:space="preserve">28.1  Operational SLAs (post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7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Service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Metric</w:t>
            </w:r>
          </w:p>
        </w:tc>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Measurement</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 approval queue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 from review → approved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24h business day</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template, audit log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Lint engine availability</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Uptime</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99.5% rolling 30 days</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Pre-commit + CI metrics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Render correctness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incidents per quarter</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0</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Production observation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OTP delivery (P5)</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P95 delivery latency</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10s</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 BSP receipts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Premium-due send (P5)</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Send-window adherence</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 within DLT 9–21 IST window</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compliance report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Audit-trail export</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 to produce per-template audit</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60s</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test</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Subject-access response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SAR turnaround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7 calendar days</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Incident log</w:t>
            </w:r>
          </w:p>
        </w:tc>
      </w:tr>
    </w:tbl>
    <w:p>
      <w:pPr>
        <w:pStyle w:val="Heading2"/>
        <w:spacing w:after="140" w:before="280"/>
      </w:pPr>
      <w:r>
        <w:rPr>
          <w:rFonts w:ascii="Calibri" w:cs="Calibri" w:eastAsia="Calibri" w:hAnsi="Calibri"/>
          <w:b/>
          <w:bCs/>
          <w:color w:val="1F3864"/>
          <w:sz w:val="28"/>
          <w:szCs w:val="28"/>
        </w:rPr>
        <w:t xml:space="preserve">28.2  Delivery SLAs (during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3300"/>
        <w:gridCol w:w="274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3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Target SLA</w:t>
            </w:r>
          </w:p>
        </w:tc>
        <w:tc>
          <w:tcPr>
            <w:tcW w:type="dxa" w:w="2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 pack ready</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T-2 business days before review</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 of template</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24h business day</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 (Client)</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 of template</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24h business day</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Lead (Client)</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Reviewer-blocked CR triage</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business day</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defect response</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status report publication</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Friday 16:00 IST</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 decision (Material+)</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Within 5 business days of raised</w:t>
            </w:r>
          </w:p>
        </w:tc>
        <w:tc>
          <w:tcPr>
            <w:tcW w:type="dxa" w:w="2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w:t>
            </w:r>
          </w:p>
        </w:tc>
      </w:tr>
      <w:tr>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Notice review</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 business days (per Section 24.2)</w:t>
            </w:r>
          </w:p>
        </w:tc>
        <w:tc>
          <w:tcPr>
            <w:tcW w:type="dxa" w:w="2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r>
    </w:tbl>
    <w:p>
      <w:pPr>
        <w:pStyle w:val="Heading2"/>
        <w:spacing w:after="140" w:before="280"/>
      </w:pPr>
      <w:r>
        <w:rPr>
          <w:rFonts w:ascii="Calibri" w:cs="Calibri" w:eastAsia="Calibri" w:hAnsi="Calibri"/>
          <w:b/>
          <w:bCs/>
          <w:color w:val="1F3864"/>
          <w:sz w:val="28"/>
          <w:szCs w:val="28"/>
        </w:rPr>
        <w:t xml:space="preserve">28.3  SLA breach handling</w:t>
      </w:r>
    </w:p>
    <w:p>
      <w:pPr>
        <w:pStyle w:val="ListParagraph"/>
        <w:numPr>
          <w:ilvl w:val="0"/>
          <w:numId w:val="2"/>
        </w:numPr>
        <w:spacing w:after="80"/>
      </w:pPr>
      <w:r>
        <w:rPr>
          <w:rFonts w:ascii="Calibri" w:cs="Calibri" w:eastAsia="Calibri" w:hAnsi="Calibri"/>
          <w:color w:val="1A1A1A"/>
          <w:sz w:val="20"/>
          <w:szCs w:val="20"/>
        </w:rPr>
        <w:t xml:space="preserve">First breach in a rolling 30-day window: documented in weekly status, root-cause noted, no further action.</w:t>
      </w:r>
    </w:p>
    <w:p>
      <w:pPr>
        <w:pStyle w:val="ListParagraph"/>
        <w:numPr>
          <w:ilvl w:val="0"/>
          <w:numId w:val="2"/>
        </w:numPr>
        <w:spacing w:after="80"/>
      </w:pPr>
      <w:r>
        <w:rPr>
          <w:rFonts w:ascii="Calibri" w:cs="Calibri" w:eastAsia="Calibri" w:hAnsi="Calibri"/>
          <w:color w:val="1A1A1A"/>
          <w:sz w:val="20"/>
          <w:szCs w:val="20"/>
        </w:rPr>
        <w:t xml:space="preserve">Second breach in 30 days: Consultant escalates to CTO + Sponsor; mitigation plan due within 3 business days.</w:t>
      </w:r>
    </w:p>
    <w:p>
      <w:pPr>
        <w:pStyle w:val="ListParagraph"/>
        <w:numPr>
          <w:ilvl w:val="0"/>
          <w:numId w:val="2"/>
        </w:numPr>
        <w:spacing w:after="80"/>
      </w:pPr>
      <w:r>
        <w:rPr>
          <w:rFonts w:ascii="Calibri" w:cs="Calibri" w:eastAsia="Calibri" w:hAnsi="Calibri"/>
          <w:color w:val="1A1A1A"/>
          <w:sz w:val="20"/>
          <w:szCs w:val="20"/>
        </w:rPr>
        <w:t xml:space="preserve">Three or more breaches in 30 days: CCB session called; phase plan re-baselined if material.</w:t>
      </w:r>
    </w:p>
    <w:p>
      <w:pPr>
        <w:pStyle w:val="ListParagraph"/>
        <w:numPr>
          <w:ilvl w:val="0"/>
          <w:numId w:val="2"/>
        </w:numPr>
        <w:spacing w:after="80"/>
      </w:pPr>
      <w:r>
        <w:rPr>
          <w:rFonts w:ascii="Calibri" w:cs="Calibri" w:eastAsia="Calibri" w:hAnsi="Calibri"/>
          <w:color w:val="1A1A1A"/>
          <w:sz w:val="20"/>
          <w:szCs w:val="20"/>
        </w:rPr>
        <w:t xml:space="preserve">Breaches by the Client (e.g. delayed reviewer turnaround) extend the corresponding phase SLA on a day-for-day basis and form the basis for any milestone-payment timing dispute.</w:t>
      </w:r>
    </w:p>
    <w:p>
      <w:pPr>
        <w:pStyle w:val="ListParagraph"/>
        <w:numPr>
          <w:ilvl w:val="0"/>
          <w:numId w:val="2"/>
        </w:numPr>
        <w:spacing w:after="80"/>
      </w:pPr>
      <w:r>
        <w:rPr>
          <w:rFonts w:ascii="Calibri" w:cs="Calibri" w:eastAsia="Calibri" w:hAnsi="Calibri"/>
          <w:color w:val="1A1A1A"/>
          <w:sz w:val="20"/>
          <w:szCs w:val="20"/>
        </w:rPr>
        <w:t xml:space="preserve">Breaches are visible — no breach is concealed by re-defining the metric.</w:t>
      </w:r>
    </w:p>
    <w:p>
      <w:pPr>
        <w:pStyle w:val="Heading1"/>
        <w:pageBreakBefore/>
        <w:spacing w:after="240" w:before="0"/>
      </w:pPr>
      <w:r>
        <w:rPr>
          <w:rFonts w:ascii="Calibri" w:cs="Calibri" w:eastAsia="Calibri" w:hAnsi="Calibri"/>
          <w:b/>
          <w:bCs/>
          <w:color w:val="1F3864"/>
          <w:sz w:val="36"/>
          <w:szCs w:val="36"/>
        </w:rPr>
        <w:t xml:space="preserve">29. Governance &amp; Review Cadence</w:t>
      </w:r>
    </w:p>
    <w:p>
      <w:pPr>
        <w:spacing w:after="120" w:before="0"/>
      </w:pPr>
      <w:r>
        <w:rPr>
          <w:rFonts w:ascii="Calibri" w:cs="Calibri" w:eastAsia="Calibri" w:hAnsi="Calibri"/>
          <w:color w:val="1A1A1A"/>
          <w:sz w:val="20"/>
          <w:szCs w:val="20"/>
        </w:rPr>
        <w:t xml:space="preserve">Governance forums distribute authority and feedback through the engagement lifecycle. Decisions made outside these forums are non-binding until ratified at the next applicable forum.</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000"/>
        <w:gridCol w:w="28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Forum</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Frequency</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Attendees</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standup</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Daily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TPE Eng</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coordination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 status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Weekly</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CX Head + CTO</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Progress, risks, decisions needed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End of each phase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 CX + Compliance + CTO + Sponsor</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Acceptance and go/no-go for next phase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approval queue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Reviewer</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Template-level approvals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Brand-voice approval queue</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Lead</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Tone and copy approvals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post-go-live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stakeholders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Measure objectives O1–O7 against baselines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Annual SOW review</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Annually post go-live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Consultant</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Renewal, scope expansion or sunset</w:t>
            </w:r>
          </w:p>
        </w:tc>
      </w:tr>
    </w:tbl>
    <w:p>
      <w:pPr>
        <w:pageBreakBefore/>
        <w:spacing w:after="200" w:before="4000"/>
        <w:jc w:val="center"/>
      </w:pPr>
      <w:r>
        <w:rPr>
          <w:rFonts w:ascii="Calibri" w:cs="Calibri" w:eastAsia="Calibri" w:hAnsi="Calibri"/>
          <w:b/>
          <w:bCs/>
          <w:caps/>
          <w:color w:val="808080"/>
          <w:sz w:val="22"/>
          <w:szCs w:val="22"/>
        </w:rPr>
        <w:t xml:space="preserve">Part IX</w:t>
      </w:r>
    </w:p>
    <w:p>
      <w:pPr>
        <w:spacing w:after="1600" w:before="0"/>
        <w:jc w:val="center"/>
      </w:pPr>
      <w:r>
        <w:rPr>
          <w:rFonts w:ascii="Calibri" w:cs="Calibri" w:eastAsia="Calibri" w:hAnsi="Calibri"/>
          <w:b/>
          <w:bCs/>
          <w:color w:val="1F3864"/>
          <w:sz w:val="56"/>
          <w:szCs w:val="56"/>
        </w:rPr>
        <w:t xml:space="preserve">Risk &amp; Dependencies</w:t>
      </w:r>
    </w:p>
    <w:p>
      <w:pPr>
        <w:pStyle w:val="Heading1"/>
        <w:pageBreakBefore/>
        <w:spacing w:after="240" w:before="0"/>
      </w:pPr>
      <w:r>
        <w:rPr>
          <w:rFonts w:ascii="Calibri" w:cs="Calibri" w:eastAsia="Calibri" w:hAnsi="Calibri"/>
          <w:b/>
          <w:bCs/>
          <w:color w:val="1F3864"/>
          <w:sz w:val="36"/>
          <w:szCs w:val="36"/>
        </w:rPr>
        <w:t xml:space="preserve">30. Assumptions</w:t>
      </w:r>
    </w:p>
    <w:p>
      <w:pPr>
        <w:spacing w:after="120" w:before="0"/>
      </w:pPr>
      <w:r>
        <w:rPr>
          <w:rFonts w:ascii="Calibri" w:cs="Calibri" w:eastAsia="Calibri" w:hAnsi="Calibri"/>
          <w:color w:val="1A1A1A"/>
          <w:sz w:val="20"/>
          <w:szCs w:val="20"/>
        </w:rPr>
        <w:t xml:space="preserve">This SOW is priced and scoped against the assumptions listed below. If any assumption is invalidated during the engagement, it is treated as a Material change request under Section 27 and may carry effort, timeline or commercial impact.</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24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6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Assumption</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Validation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customer-data store is queryable with stable schemas (PH, Investor, Policy, Premium) supporting Novu subscriber one-time sync.</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to confirm schema before P2</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A2</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provides AWS account in ap-south-1 (or equivalent India-region cloud) with quota and IAM for Consultant to provision Postgres, MongoDB, Redis, and Novu services.</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1; Section 31 D2</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A3</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remains under its current open-source / source-available licence terms permitting self-hosted commercial use as in force on the SOW signing date. License changes mid-engagement trigger Section 27 review.</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Confirmed at signing</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A4</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 major version is pinned at engagement start; one major version upgrade is included in the post-implementation support window (Section 37).</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Pinned in P1; documented</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A5</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registration (PE ID, Header, Template IDs) exists or will exist by start of P5 with at least one of Gupshup / MSG91 / Karix.</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gates P5</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A6</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Three Indian channel-provider accounts (Gupshup, MSG91, Karix) contracted with sandbox credentials by start of P5.</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gates P5</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A7</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access via a Meta-approved BSP, with templates approved as needed.</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on-premise WA API was deprecated 23 Oct 2025</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A8</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 and CX Head available for approximately 4 hours/week during build for PR review.</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Standing weekly slot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A9</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new audience added in v1; v2 will be a separate SOW.</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Locked at signing</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A10</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Only EN and HI languages in v1; regional languages are v2.</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Locked at signing</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A11</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MIS Pipeline continues to serve INS-02 attachments; no rebuild. Workflow INS-02 calls into existing pipeline.</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Confirmed at scoping</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A12</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Eleven-carrier insurer registry inputs (sender identity, MIS, escalation contacts) provided by Client Insurer Ops by start of P3.</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owns; gates P3</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A13</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provides reasonable cooperation, timely access to systems, sample data, and reviewer time per Section 26.</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delivery assumption</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A14</w:t>
            </w:r>
          </w:p>
        </w:tc>
        <w:tc>
          <w:tcPr>
            <w:tcW w:type="dxa" w:w="6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is delivered remotely; on-site requirement, if any, is by mutual agreement and reimbursable per Section 41.</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Default remote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A15</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Rate card and milestone amounts in Part XI are denominated in INR and exclusive of GST and statutory taxes.</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Locked at signing</w:t>
            </w:r>
          </w:p>
        </w:tc>
      </w:tr>
    </w:tbl>
    <w:p>
      <w:pPr>
        <w:pStyle w:val="Heading1"/>
        <w:pageBreakBefore/>
        <w:spacing w:after="240" w:before="0"/>
      </w:pPr>
      <w:r>
        <w:rPr>
          <w:rFonts w:ascii="Calibri" w:cs="Calibri" w:eastAsia="Calibri" w:hAnsi="Calibri"/>
          <w:b/>
          <w:bCs/>
          <w:color w:val="1F3864"/>
          <w:sz w:val="36"/>
          <w:szCs w:val="36"/>
        </w:rPr>
        <w:t xml:space="preserve">31. Dependencies</w:t>
      </w:r>
    </w:p>
    <w:p>
      <w:pPr>
        <w:spacing w:after="120" w:before="0"/>
      </w:pPr>
      <w:r>
        <w:rPr>
          <w:rFonts w:ascii="Calibri" w:cs="Calibri" w:eastAsia="Calibri" w:hAnsi="Calibri"/>
          <w:color w:val="1A1A1A"/>
          <w:sz w:val="20"/>
          <w:szCs w:val="20"/>
        </w:rPr>
        <w:t xml:space="preserve">External factors required for delivery on the agreed cadence. Late dependencies extend their corresponding phase on a day-for-day basis (Section 28.3) and may carry commercial impact under Section 41.</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500"/>
        <w:gridCol w:w="1700"/>
        <w:gridCol w:w="164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4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Dependency</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 blocked</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1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Needed by</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Customer-data sample set with PII tokenised + production access (read-only) for subscriber sync</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P1–P2</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Eng</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1 / start of P2</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D2</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AWS (or equivalent) account in ap-south-1 with sufficient quotas + IAM access for Consultant</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1</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D3</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Principal Entity ID + DLT Template IDs (registered with Gupshup / MSG91 / Karix as applicable)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 + Compliance</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P5</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D4</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 MSG91, Karix accounts with sandbox credentials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P5</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D5</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number + BSP-approved templates (via chosen BSP)</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P5</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D6</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 samples + style guide + audience tone references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CX</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P2</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D7</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reference: existing IRDAI / DPDPA disclaimers as currently used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Compliance</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P4</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D8</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SSO (SAML / OIDC) endpoint for Novu Web access control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CTO</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Mid P1</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D9</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availability (CX, Compliance, Brand)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P2–P5</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r>
      <w:tr>
        <w:tc>
          <w:tcPr>
            <w:tcW w:type="dxa" w:w="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D10</w:t>
            </w:r>
          </w:p>
        </w:tc>
        <w:tc>
          <w:tcPr>
            <w:tcW w:type="dxa" w:w="4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Counter-signed SOW + mobilisation invoice paid</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Sponsor + Finance</w:t>
            </w:r>
          </w:p>
        </w:tc>
        <w:tc>
          <w:tcPr>
            <w:tcW w:type="dxa" w:w="1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Day 0</w:t>
            </w:r>
          </w:p>
        </w:tc>
      </w:tr>
      <w:tr>
        <w:tc>
          <w:tcPr>
            <w:tcW w:type="dxa" w:w="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D11</w:t>
            </w:r>
          </w:p>
        </w:tc>
        <w:tc>
          <w:tcPr>
            <w:tcW w:type="dxa" w:w="4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(11 carriers) sender-identity + MIS attachment requirements + escalation contacts</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Ops</w:t>
            </w:r>
          </w:p>
        </w:tc>
        <w:tc>
          <w:tcPr>
            <w:tcW w:type="dxa" w:w="1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Start of P3</w:t>
            </w:r>
          </w:p>
        </w:tc>
      </w:tr>
    </w:tbl>
    <w:p>
      <w:pPr>
        <w:pStyle w:val="Heading1"/>
        <w:pageBreakBefore/>
        <w:spacing w:after="240" w:before="0"/>
      </w:pPr>
      <w:r>
        <w:rPr>
          <w:rFonts w:ascii="Calibri" w:cs="Calibri" w:eastAsia="Calibri" w:hAnsi="Calibri"/>
          <w:b/>
          <w:bCs/>
          <w:color w:val="1F3864"/>
          <w:sz w:val="36"/>
          <w:szCs w:val="36"/>
        </w:rPr>
        <w:t xml:space="preserve">32. Risk Register</w:t>
      </w:r>
    </w:p>
    <w:p>
      <w:pPr>
        <w:spacing w:after="120" w:before="0"/>
      </w:pPr>
      <w:r>
        <w:rPr>
          <w:rFonts w:ascii="Calibri" w:cs="Calibri" w:eastAsia="Calibri" w:hAnsi="Calibri"/>
          <w:color w:val="1A1A1A"/>
          <w:sz w:val="20"/>
          <w:szCs w:val="20"/>
        </w:rPr>
        <w:t xml:space="preserve">Risks are scored on Probability (P) and Impact (I), each H / M / L. Severity is the higher of the two, reviewed bi-weekly (Section 26). Residual risk is the level remaining after the mitigation. Closed risks remain in this register for audit and are visible at phase-gate reviews.</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600"/>
        <w:gridCol w:w="600"/>
        <w:gridCol w:w="600"/>
        <w:gridCol w:w="2900"/>
        <w:gridCol w:w="9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Risk</w:t>
            </w:r>
          </w:p>
        </w:tc>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w:t>
            </w:r>
          </w:p>
        </w:tc>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w:t>
            </w:r>
          </w:p>
        </w:tc>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Sev</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Mitigation</w:t>
            </w:r>
          </w:p>
        </w:tc>
        <w:tc>
          <w:tcPr>
            <w:tcW w:type="dxa" w:w="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bandwidth shortfall (Compliance / CX) delays PR review queue</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Standing weekly slot; bot-rendered preview attached to PRs; pre-approved disclaimer modules to reduce per-content touch</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R2</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disclaimer text changes mid-build (IRDAI update)</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Externalise disclaimers as TS modules; one-line change + PR</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R3</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 / DLT registration delay (Gupshup, MSG91, Karix accounts or DLT IDs)</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P1–P4 deliver value without dispatch; early request to Client; staged-rollout single-provider-first option</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R4</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template rejection by Meta (via BSP)</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BSP-approved template variable shape pre-validated by lint; small-batch approval first; BSP-side process is Client-managed</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R5</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Existing customer-data store schema unstable or under-documented</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sync produces a diff report; non-conforming rows flagged; mapping documented</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R6</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Hindi / regional variant volume larger than anticipated</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Localisation queue prioritises by trigger volume; v2 covers regional</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R7</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Scope creep: unrequested workflows, new audiences, dispatch features mid-build</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Strict change-management process (Section 27); CCB authority</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Consultant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R8</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violation in active workflow post go-live</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Two-layer enforcement (CI + pre-execution); audit trail; runbook for hot-fix</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 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R9</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premium-default rate does not improve at 6 months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Triangulate — if cadence + content + dispatch all working, root cause is non-comms; document and re-scope</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R10</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Single-point-of-knowledge (Consultant departs without KT)</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Phase-end KT (Section 36); runbook + author guide deliverables; named backup</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R11</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delay in counter-signature on Acceptance Notice</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Deemed acceptance (Section 24.2)</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Both</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R12</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Late payment of milestone invoices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Net-15 + 1.5%/mo late fee + work-pause clause (Section 39)</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Both</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R13</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leak from sample / test data</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Tokenised PII only in test data; least-privilege IAM; audit logs (Section 20)</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Consultant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R14</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MSG91 / Karix provider plugin defect surfaces in production</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L5 sandbox tests in P5; canary deploy; failover to next provider in chain</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R15</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region (ap-south-1) outage</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C000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H</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Multi-AZ within region; DR cross-region is v2 roadmap; documented RPO 24h / RTO 4h with manual cutover plan</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R16</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Novu breaking change between pinned and target version</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 to tested major; quarterly upgrade window in support; track upstream advisories</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R17</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license model change affecting self-hosting</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Pinned version remains usable under licence in force at signing; v2 evaluation if upstream pivots</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R18</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customer-data schema drifts post-launch breaking subscriber sync</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Sync script versioned; schema-contract test in CI on representative payloads</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 + Consultant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R19</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Rules issued post-signing impose new obligations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supports rule additions via lint config; change-order if structural impact</w:t>
            </w:r>
          </w:p>
        </w:tc>
        <w:tc>
          <w:tcPr>
            <w:tcW w:type="dxa" w:w="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 Consultant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R20</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Conflict of interest with Consultant’s other clients</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600"/>
            <w:tcBorders>
              <w:top w:val="single" w:color="BFBFBF" w:sz="4"/>
              <w:left w:val="single" w:color="BFBFBF" w:sz="4"/>
              <w:bottom w:val="single" w:color="BFBFBF" w:sz="4"/>
              <w:right w:val="single" w:color="BFBFBF" w:sz="4"/>
            </w:tcBorders>
            <w:shd w:fill="BF8F00"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M</w:t>
            </w:r>
          </w:p>
        </w:tc>
        <w:tc>
          <w:tcPr>
            <w:tcW w:type="dxa" w:w="600"/>
            <w:tcBorders>
              <w:top w:val="single" w:color="BFBFBF" w:sz="4"/>
              <w:left w:val="single" w:color="BFBFBF" w:sz="4"/>
              <w:bottom w:val="single" w:color="BFBFBF" w:sz="4"/>
              <w:right w:val="single" w:color="BFBFBF" w:sz="4"/>
            </w:tcBorders>
            <w:shd w:fill="548235" w:color="auto" w:val="clear"/>
            <w:tcMar>
              <w:top w:type="dxa" w:w="90"/>
              <w:left w:type="dxa" w:w="130"/>
              <w:bottom w:type="dxa" w:w="90"/>
              <w:right w:type="dxa" w:w="130"/>
            </w:tcMar>
          </w:tcPr>
          <w:p>
            <w:pPr>
              <w:jc w:val="center"/>
            </w:pPr>
            <w:r>
              <w:rPr>
                <w:rFonts w:ascii="Calibri" w:cs="Calibri" w:eastAsia="Calibri" w:hAnsi="Calibri"/>
                <w:b/>
                <w:bCs/>
                <w:color w:val="FFFFFF"/>
                <w:sz w:val="18"/>
                <w:szCs w:val="18"/>
              </w:rPr>
              <w:t xml:space="preserve">L</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Conflict declared at engagement start; non-solicit clause (Section 51)</w:t>
            </w:r>
          </w:p>
        </w:tc>
        <w:tc>
          <w:tcPr>
            <w:tcW w:type="dxa" w:w="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Both</w:t>
            </w:r>
          </w:p>
        </w:tc>
      </w:tr>
    </w:tbl>
    <w:p>
      <w:pPr>
        <w:pageBreakBefore/>
        <w:spacing w:after="200" w:before="4000"/>
        <w:jc w:val="center"/>
      </w:pPr>
      <w:r>
        <w:rPr>
          <w:rFonts w:ascii="Calibri" w:cs="Calibri" w:eastAsia="Calibri" w:hAnsi="Calibri"/>
          <w:b/>
          <w:bCs/>
          <w:caps/>
          <w:color w:val="808080"/>
          <w:sz w:val="22"/>
          <w:szCs w:val="22"/>
        </w:rPr>
        <w:t xml:space="preserve">Part X</w:t>
      </w:r>
    </w:p>
    <w:p>
      <w:pPr>
        <w:spacing w:after="1600" w:before="0"/>
        <w:jc w:val="center"/>
      </w:pPr>
      <w:r>
        <w:rPr>
          <w:rFonts w:ascii="Calibri" w:cs="Calibri" w:eastAsia="Calibri" w:hAnsi="Calibri"/>
          <w:b/>
          <w:bCs/>
          <w:color w:val="1F3864"/>
          <w:sz w:val="56"/>
          <w:szCs w:val="56"/>
        </w:rPr>
        <w:t xml:space="preserve">Resourcing &amp; Readiness</w:t>
      </w:r>
    </w:p>
    <w:p>
      <w:pPr>
        <w:pStyle w:val="Heading1"/>
        <w:pageBreakBefore/>
        <w:spacing w:after="240" w:before="0"/>
      </w:pPr>
      <w:r>
        <w:rPr>
          <w:rFonts w:ascii="Calibri" w:cs="Calibri" w:eastAsia="Calibri" w:hAnsi="Calibri"/>
          <w:b/>
          <w:bCs/>
          <w:color w:val="1F3864"/>
          <w:sz w:val="36"/>
          <w:szCs w:val="36"/>
        </w:rPr>
        <w:t xml:space="preserve">33. Effort Estimation</w:t>
      </w:r>
    </w:p>
    <w:p>
      <w:pPr>
        <w:spacing w:after="120" w:before="0"/>
      </w:pPr>
      <w:r>
        <w:rPr>
          <w:rFonts w:ascii="Calibri" w:cs="Calibri" w:eastAsia="Calibri" w:hAnsi="Calibri"/>
          <w:color w:val="1A1A1A"/>
          <w:sz w:val="20"/>
          <w:szCs w:val="20"/>
        </w:rPr>
        <w:t xml:space="preserve">Effort is decomposed by phase and activity. Consultant-days are the basis for phase-milestone billing under Section 39. Reviewer-days are Client-internal time and are not billed by the Consultant.</w:t>
      </w:r>
    </w:p>
    <w:p>
      <w:pPr>
        <w:pStyle w:val="Heading2"/>
        <w:spacing w:after="140" w:before="280"/>
      </w:pPr>
      <w:r>
        <w:rPr>
          <w:rFonts w:ascii="Calibri" w:cs="Calibri" w:eastAsia="Calibri" w:hAnsi="Calibri"/>
          <w:b/>
          <w:bCs/>
          <w:color w:val="1F3864"/>
          <w:sz w:val="28"/>
          <w:szCs w:val="28"/>
        </w:rPr>
        <w:t xml:space="preserve">33.1  Consultant effort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7100"/>
        <w:gridCol w:w="15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71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Days</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w:t>
            </w:r>
          </w:p>
        </w:tc>
        <w:tc>
          <w:tcPr>
            <w:tcW w:type="dxa" w:w="7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Foundation: self-hosted deployment to Client AWS Mumbai (or equivalent); Postgres + Mongo + Redis Multi-AZ; Novu API + Worker + Web + Bridge; CI scaffold; PoC workflow PH-03 end-to-end against Gupshup sandbox; infrastructure runbook v1</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w:t>
            </w:r>
          </w:p>
        </w:tc>
        <w:tc>
          <w:tcPr>
            <w:tcW w:type="dxa" w:w="7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Policyholder workflows: 18 PH triggers as Novu Framework workflows; subscriber model + one-time sync from TPE customer-data store; Email + WA + SMS content for active statuses; compliance-check stub at workflow head</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w:t>
            </w:r>
          </w:p>
        </w:tc>
        <w:tc>
          <w:tcPr>
            <w:tcW w:type="dxa" w:w="7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Investor (16) + Insurer (6) + Internal (6) + Regulatory (3) workflows; Hindi variants for PH-facing content; multi-tenant insurer registry (11 carriers) + tenancy middleware; localisation queue dashboard</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r>
      <w:tr>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w:t>
            </w:r>
          </w:p>
        </w:tc>
        <w:tc>
          <w:tcPr>
            <w:tcW w:type="dxa" w:w="7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middleware: ≥ 30 lint rules across DLT, IRDAI, WA-BSP, DPDPA, FATCA, TDS, brand-voice; CI + pre-execution enforcement; observability stack (logs, metrics, audit dashboard); SAR / audit-export endpoint</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r>
      <w:tr>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w:t>
            </w:r>
          </w:p>
        </w:tc>
        <w:tc>
          <w:tcPr>
            <w:tcW w:type="dxa" w:w="7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provider plugins: MSG91 (SMS + WA) and Karix (SMS + WA); failover orchestration Gupshup → MSG91 → Karix; production cutover plan; one-week hypercare; ops runbook handover</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r>
      <w:tr>
        <w:tc>
          <w:tcPr>
            <w:tcW w:type="dxa" w:w="8200"/>
            <w:gridSpan w:val="2"/>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 Core (P1–P5, all in core in v4.0)</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25 days</w:t>
            </w:r>
          </w:p>
        </w:tc>
      </w:tr>
    </w:tbl>
    <w:p>
      <w:pPr>
        <w:pStyle w:val="Heading2"/>
        <w:spacing w:after="140" w:before="280"/>
      </w:pPr>
      <w:r>
        <w:rPr>
          <w:rFonts w:ascii="Calibri" w:cs="Calibri" w:eastAsia="Calibri" w:hAnsi="Calibri"/>
          <w:b/>
          <w:bCs/>
          <w:color w:val="1F3864"/>
          <w:sz w:val="28"/>
          <w:szCs w:val="28"/>
        </w:rPr>
        <w:t xml:space="preserve">33.2  Client reviewer effort (informational)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5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Reviewer</w:t>
            </w:r>
          </w:p>
        </w:tc>
        <w:tc>
          <w:tcPr>
            <w:tcW w:type="dxa" w:w="5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Activity</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Days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Head</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 audience map, workflow review queue</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set, lint-rule definition, workflow PR review queue</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Reviewer</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Per-workflow brand-voice sign-off (continuous)</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Architecture, IAM / SSO, infrastructure approvals, BSP credentials</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 / DevOps (Client)</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account access, IaC review, ongoing infra collaboration during P1 + P5</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Ops / Partnerships</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registry inputs (11 carriers): sender identity, MIS, escalation contacts</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r>
      <w:tr>
        <w:tc>
          <w:tcPr>
            <w:tcW w:type="dxa" w:w="8200"/>
            <w:gridSpan w:val="2"/>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reviewer effort</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15 days</w:t>
            </w:r>
          </w:p>
        </w:tc>
      </w:tr>
    </w:tbl>
    <w:p>
      <w:pPr>
        <w:spacing w:after="100"/>
      </w:pPr>
      <w:r>
        <w:t xml:space="preserve"/>
      </w:r>
    </w:p>
    <w:p>
      <w:pPr>
        <w:spacing w:after="120" w:before="0"/>
      </w:pPr>
      <w:r>
        <w:rPr>
          <w:rFonts w:ascii="Calibri" w:cs="Calibri" w:eastAsia="Calibri" w:hAnsi="Calibri"/>
          <w:i/>
          <w:iCs/>
          <w:color w:val="808080"/>
          <w:sz w:val="18"/>
          <w:szCs w:val="18"/>
        </w:rPr>
        <w:t xml:space="preserve">Reviewer effort rises in v4.0 vs v3.0 because self-hosted Novu requires Client Infra/DevOps collaboration during P1 and P5 (AWS account, IaC review, cutover) and because the multi-tenant insurer model needs Insurer Ops input on the eleven-carrier registry. None of this is billed by the Consultant; it is Client-internal time, included here so capacity is allocated.</w:t>
      </w:r>
    </w:p>
    <w:p>
      <w:pPr>
        <w:pStyle w:val="Heading1"/>
        <w:pageBreakBefore/>
        <w:spacing w:after="240" w:before="0"/>
      </w:pPr>
      <w:r>
        <w:rPr>
          <w:rFonts w:ascii="Calibri" w:cs="Calibri" w:eastAsia="Calibri" w:hAnsi="Calibri"/>
          <w:b/>
          <w:bCs/>
          <w:color w:val="1F3864"/>
          <w:sz w:val="36"/>
          <w:szCs w:val="36"/>
        </w:rPr>
        <w:t xml:space="preserve">34. Resource Plan</w:t>
      </w:r>
    </w:p>
    <w:p>
      <w:pPr>
        <w:pStyle w:val="Heading2"/>
        <w:spacing w:after="140" w:before="280"/>
      </w:pPr>
      <w:r>
        <w:rPr>
          <w:rFonts w:ascii="Calibri" w:cs="Calibri" w:eastAsia="Calibri" w:hAnsi="Calibri"/>
          <w:b/>
          <w:bCs/>
          <w:color w:val="1F3864"/>
          <w:sz w:val="28"/>
          <w:szCs w:val="28"/>
        </w:rPr>
        <w:t xml:space="preserve">34.1  Consultant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gridCol w:w="20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Allocation</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Coverage</w:t>
            </w:r>
          </w:p>
        </w:tc>
        <w:tc>
          <w:tcPr>
            <w:tcW w:type="dxa" w:w="2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Lead / Solution Architect</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Full-time during build (≈ 25 days)</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Author, integrator, primary reviewer interface</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P1–P4 (P5 if executed)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Backup contact (designated)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 call for continuity</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Standby; no scheduled time</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phases</w:t>
            </w:r>
          </w:p>
        </w:tc>
      </w:tr>
    </w:tbl>
    <w:p>
      <w:pPr>
        <w:pStyle w:val="Heading2"/>
        <w:spacing w:after="140" w:before="280"/>
      </w:pPr>
      <w:r>
        <w:rPr>
          <w:rFonts w:ascii="Calibri" w:cs="Calibri" w:eastAsia="Calibri" w:hAnsi="Calibri"/>
          <w:b/>
          <w:bCs/>
          <w:color w:val="1F3864"/>
          <w:sz w:val="28"/>
          <w:szCs w:val="28"/>
        </w:rPr>
        <w:t xml:space="preserve">34.2  Client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5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Role</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Allocation</w:t>
            </w:r>
          </w:p>
        </w:tc>
        <w:tc>
          <w:tcPr>
            <w:tcW w:type="dxa" w:w="2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 coverage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Head (Brand + Audience)</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~4h/week</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~4h/week</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peaks at P4</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Reviewer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queue</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P2–P4</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~3h/week</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P2–P4 (spreadsheet import P2)</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Engineering pair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~6h/week</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 peaks at P1 and P5</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CTO</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reviews + P5 selection</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gates, P5</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(Founders)</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reviews + CCB on Material+ CRs</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Gates + CCB</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Concentration risk.</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The engagement runs through a single Consultant (Engagement Lead). This is appropriate at this scope but creates a single point of knowledge. Mitigations: (i) phase-end KT sessions per Section 36; (ii) all artefacts are in the Client repository, not in the Consultant’s private files; (iii) the runbook and author guide are written for a successor. The named backup contact provides continuity for unplanned absence.</w:t>
            </w:r>
          </w:p>
        </w:tc>
      </w:tr>
    </w:tbl>
    <w:p>
      <w:pPr>
        <w:pStyle w:val="Heading1"/>
        <w:pageBreakBefore/>
        <w:spacing w:after="240" w:before="0"/>
      </w:pPr>
      <w:r>
        <w:rPr>
          <w:rFonts w:ascii="Calibri" w:cs="Calibri" w:eastAsia="Calibri" w:hAnsi="Calibri"/>
          <w:b/>
          <w:bCs/>
          <w:color w:val="1F3864"/>
          <w:sz w:val="36"/>
          <w:szCs w:val="36"/>
        </w:rPr>
        <w:t xml:space="preserve">35. Operational Readiness &amp; Go-Live Criteria</w:t>
      </w:r>
    </w:p>
    <w:p>
      <w:pPr>
        <w:spacing w:after="120" w:before="0"/>
      </w:pPr>
      <w:r>
        <w:rPr>
          <w:rFonts w:ascii="Calibri" w:cs="Calibri" w:eastAsia="Calibri" w:hAnsi="Calibri"/>
          <w:color w:val="1A1A1A"/>
          <w:sz w:val="20"/>
          <w:szCs w:val="20"/>
        </w:rPr>
        <w:t xml:space="preserve">Go-live in v4.0 is a single staged event at the end of P5: workflows in production, dispatch live across all three Indian providers, audit dashboard active, ops handover complete. Earlier phases produce intermediate go-lives (P2 PH workflows live in dev/staging; P4 compliance + observability live in staging) but production cutover is the P5 milestone.</w:t>
      </w:r>
    </w:p>
    <w:p>
      <w:pPr>
        <w:pStyle w:val="Heading2"/>
        <w:spacing w:after="140" w:before="280"/>
      </w:pPr>
      <w:r>
        <w:rPr>
          <w:rFonts w:ascii="Calibri" w:cs="Calibri" w:eastAsia="Calibri" w:hAnsi="Calibri"/>
          <w:b/>
          <w:bCs/>
          <w:color w:val="1F3864"/>
          <w:sz w:val="28"/>
          <w:szCs w:val="28"/>
        </w:rPr>
        <w:t xml:space="preserve">35.1  Phase-by-phase readiness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844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Phase</w:t>
            </w:r>
          </w:p>
        </w:tc>
        <w:tc>
          <w:tcPr>
            <w:tcW w:type="dxa" w:w="8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Readiness items</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 P2 ready</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Self-hosted Novu reachable from Client VPC; Postgres + Mongo + Redis Multi-AZ healthy and backed up; SSO into Novu Web operational; PoC workflow PH-03 executes end-to-end with audit row; CI scaffold green; infrastructure runbook reviewable.</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 → P3 ready</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18 PH workflows deployed to dev; subscriber sync covers in-scope PH records with diff report; CX Head signed off on rendered samples for active statuses; compliance-check stub aborts on contrived violation.</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 → P4 ready</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 / INS / OPS / REG workflows deployed; Hindi variants exist for PH-facing content; multi-tenant insurer routing produces correct sender identity per carrier in audit; localisation queue empty.</w:t>
            </w:r>
          </w:p>
        </w:tc>
      </w:tr>
      <w:tr>
        <w:tc>
          <w:tcPr>
            <w:tcW w:type="dxa" w:w="1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 → P5 ready</w:t>
            </w:r>
          </w:p>
        </w:tc>
        <w:tc>
          <w:tcPr>
            <w:tcW w:type="dxa" w:w="8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 30 lint rules active and CI-blocking; pre-execution lint aborts a contrived non-compliant trigger; audit dashboard shows correctly redacted PII; SAR / audit-export endpoint returns within 60 seconds; compliance reference card produced.</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 → Production go-live</w:t>
            </w:r>
          </w:p>
        </w:tc>
        <w:tc>
          <w:tcPr>
            <w:tcW w:type="dxa" w:w="8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 + Karix custom plugins pass L5 against sandbox; Gupshup native verified end-to-end; failover Gupshup→MSG91→Karix tested; DLT IDs registered for chosen providers; WA Cloud API number live via BSP; cutover plan executed in staging without errors; one-week hypercare plan documented; named Client successor for support transition; final ops runbook signed off.</w:t>
            </w:r>
          </w:p>
        </w:tc>
      </w:tr>
    </w:tbl>
    <w:p>
      <w:pPr>
        <w:pStyle w:val="Heading2"/>
        <w:spacing w:after="140" w:before="280"/>
      </w:pPr>
      <w:r>
        <w:rPr>
          <w:rFonts w:ascii="Calibri" w:cs="Calibri" w:eastAsia="Calibri" w:hAnsi="Calibri"/>
          <w:b/>
          <w:bCs/>
          <w:color w:val="1F3864"/>
          <w:sz w:val="28"/>
          <w:szCs w:val="28"/>
        </w:rPr>
        <w:t xml:space="preserve">35.2  Go-live decision authority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Decision body</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 + Compliance + CX (consensus)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Decision evidence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Phase-gate review pack + Acceptance Notice (Section 24)</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Roll-back trigger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defect within 24h of go-live (compliance violation, PII leak, dispatch outage)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Roll-back procedure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Revert workflow repo to prior commit + redeploy via Bridge; preserve audit; for infra issues, restore from latest snapshot per RPO 24h / RTO 4h; post-mortem within 5 business days</w:t>
            </w:r>
          </w:p>
        </w:tc>
      </w:tr>
    </w:tbl>
    <w:p>
      <w:pPr>
        <w:pStyle w:val="Heading1"/>
        <w:pageBreakBefore/>
        <w:spacing w:after="240" w:before="0"/>
      </w:pPr>
      <w:r>
        <w:rPr>
          <w:rFonts w:ascii="Calibri" w:cs="Calibri" w:eastAsia="Calibri" w:hAnsi="Calibri"/>
          <w:b/>
          <w:bCs/>
          <w:color w:val="1F3864"/>
          <w:sz w:val="36"/>
          <w:szCs w:val="36"/>
        </w:rPr>
        <w:t xml:space="preserve">36. Knowledge Transfer &amp; Training Plan</w:t>
      </w:r>
    </w:p>
    <w:p>
      <w:pPr>
        <w:spacing w:after="120" w:before="0"/>
      </w:pPr>
      <w:r>
        <w:rPr>
          <w:rFonts w:ascii="Calibri" w:cs="Calibri" w:eastAsia="Calibri" w:hAnsi="Calibri"/>
          <w:color w:val="1A1A1A"/>
          <w:sz w:val="20"/>
          <w:szCs w:val="20"/>
        </w:rPr>
        <w:t xml:space="preserve">Knowledge transfer is engineered, not aspirational. Each phase ends with a recorded walk-through; the artefacts (runbook, author guide, compliance reference) are part of the deliverable set under Section 23. The intent is that a successor — Consultant or Client-hired — can operate the system without further support after a one-week onboarding.</w:t>
      </w:r>
    </w:p>
    <w:p>
      <w:pPr>
        <w:pStyle w:val="Heading2"/>
        <w:spacing w:after="140" w:before="280"/>
      </w:pPr>
      <w:r>
        <w:rPr>
          <w:rFonts w:ascii="Calibri" w:cs="Calibri" w:eastAsia="Calibri" w:hAnsi="Calibri"/>
          <w:b/>
          <w:bCs/>
          <w:color w:val="1F3864"/>
          <w:sz w:val="28"/>
          <w:szCs w:val="28"/>
        </w:rPr>
        <w:t xml:space="preserve">36.1  Training tracks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700"/>
        <w:gridCol w:w="29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Format</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Duration</w:t>
            </w:r>
          </w:p>
        </w:tc>
        <w:tc>
          <w:tcPr>
            <w:tcW w:type="dxa" w:w="2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Materials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authors (CX, Compliance, Brand)</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 recorded walk-through</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2h × 2 sessions</w:t>
            </w:r>
          </w:p>
        </w:tc>
        <w:tc>
          <w:tcPr>
            <w:tcW w:type="dxa" w:w="2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Workflow-author guide + 10 worked examples + PR-review playbook</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Reviewers (Compliance + Brand)</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 recorded</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2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Reviewer checklist + lint-rules reference + override procedure</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Eng (build pair)</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Pair sessions throughout build</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Continuous</w:t>
            </w:r>
          </w:p>
        </w:tc>
        <w:tc>
          <w:tcPr>
            <w:tcW w:type="dxa" w:w="2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 + workflow Framework docs + provider plugin docs</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Infra / DevOps</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Pair sessions during P1 + P5</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≈4h total</w:t>
            </w:r>
          </w:p>
        </w:tc>
        <w:tc>
          <w:tcPr>
            <w:tcW w:type="dxa" w:w="2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runbook + IaC walk-through + ops runbook</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(cadence + escalation)</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Live + recorded</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1h</w:t>
            </w:r>
          </w:p>
        </w:tc>
        <w:tc>
          <w:tcPr>
            <w:tcW w:type="dxa" w:w="2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runbook + audit dashboard guide</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Sponsor / CTO</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Briefing</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 min</w:t>
            </w:r>
          </w:p>
        </w:tc>
        <w:tc>
          <w:tcPr>
            <w:tcW w:type="dxa" w:w="2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Single-page summary + Q&amp;A</w:t>
            </w:r>
          </w:p>
        </w:tc>
      </w:tr>
    </w:tbl>
    <w:p>
      <w:pPr>
        <w:pStyle w:val="Heading2"/>
        <w:spacing w:after="140" w:before="280"/>
      </w:pPr>
      <w:r>
        <w:rPr>
          <w:rFonts w:ascii="Calibri" w:cs="Calibri" w:eastAsia="Calibri" w:hAnsi="Calibri"/>
          <w:b/>
          <w:bCs/>
          <w:color w:val="1F3864"/>
          <w:sz w:val="28"/>
          <w:szCs w:val="28"/>
        </w:rPr>
        <w:t xml:space="preserve">36.2  Acceptance of KT</w:t>
      </w:r>
    </w:p>
    <w:p>
      <w:pPr>
        <w:spacing w:after="120" w:before="0"/>
      </w:pPr>
      <w:r>
        <w:rPr>
          <w:rFonts w:ascii="Calibri" w:cs="Calibri" w:eastAsia="Calibri" w:hAnsi="Calibri"/>
          <w:color w:val="1A1A1A"/>
          <w:sz w:val="20"/>
          <w:szCs w:val="20"/>
        </w:rPr>
        <w:t xml:space="preserve">KT is deemed accepted when (a) the recorded sessions are filed in the Client repository; (b) at least one Client author has produced and approved a workflow change end-to-end without Consultant assistance; (c) at least one Client Infra / DevOps engineer has executed a routine patching cycle on the staging Novu instance under guidance; and (d) the runbook and workflow-author guide are signed off by CX Head and CTO.</w:t>
      </w:r>
    </w:p>
    <w:p>
      <w:pPr>
        <w:pStyle w:val="Heading1"/>
        <w:pageBreakBefore/>
        <w:spacing w:after="240" w:before="0"/>
      </w:pPr>
      <w:r>
        <w:rPr>
          <w:rFonts w:ascii="Calibri" w:cs="Calibri" w:eastAsia="Calibri" w:hAnsi="Calibri"/>
          <w:b/>
          <w:bCs/>
          <w:color w:val="1F3864"/>
          <w:sz w:val="36"/>
          <w:szCs w:val="36"/>
        </w:rPr>
        <w:t xml:space="preserve">37. Post-Implementation Support &amp; Maintenance</w:t>
      </w:r>
    </w:p>
    <w:p>
      <w:pPr>
        <w:spacing w:after="120" w:before="0"/>
      </w:pPr>
      <w:r>
        <w:rPr>
          <w:rFonts w:ascii="Calibri" w:cs="Calibri" w:eastAsia="Calibri" w:hAnsi="Calibri"/>
          <w:color w:val="1A1A1A"/>
          <w:sz w:val="20"/>
          <w:szCs w:val="20"/>
        </w:rPr>
        <w:t xml:space="preserve">After P5 acceptance, the engagement enters a defined post-implementation support window. Support is bounded in time, scope and effort. Beyond this window, any continued engagement is subject to a renewal SOW or an ad-hoc statement of work for time and materials at the rate card (Section 41).</w:t>
      </w:r>
    </w:p>
    <w:p>
      <w:pPr>
        <w:pStyle w:val="Heading2"/>
        <w:spacing w:after="140" w:before="280"/>
      </w:pPr>
      <w:r>
        <w:rPr>
          <w:rFonts w:ascii="Calibri" w:cs="Calibri" w:eastAsia="Calibri" w:hAnsi="Calibri"/>
          <w:b/>
          <w:bCs/>
          <w:color w:val="1F3864"/>
          <w:sz w:val="28"/>
          <w:szCs w:val="28"/>
        </w:rPr>
        <w:t xml:space="preserve">37.1  Support window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Duration</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 calendar months from P5 acceptance</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Scope (in)</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Defect remediation per severity SLAs (Section 21.2); minor workflow / content changes ≤ 2 days each; quarterly compliance-rule review; one upstream Novu major-version upgrade; routine patching coordination with Client Infra; provider-credential rotation support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Out of scope</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New audiences, new triggers, new channels, new languages, additional channel providers, multi-region DR — these are change orders or new SOWs</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Effort envelope</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Aggregate cap of 5 consultant-days per quarter; carries over within calendar quarter only</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Response SLA</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Section 21.2 by severity</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Charges</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Included in Phase 5 milestone for the first quarter; subsequent quarters at quarterly retainer per Section 41</w:t>
            </w:r>
          </w:p>
        </w:tc>
      </w:tr>
    </w:tbl>
    <w:p>
      <w:pPr>
        <w:pStyle w:val="Heading2"/>
        <w:spacing w:after="140" w:before="280"/>
      </w:pPr>
      <w:r>
        <w:rPr>
          <w:rFonts w:ascii="Calibri" w:cs="Calibri" w:eastAsia="Calibri" w:hAnsi="Calibri"/>
          <w:b/>
          <w:bCs/>
          <w:color w:val="1F3864"/>
          <w:sz w:val="28"/>
          <w:szCs w:val="28"/>
        </w:rPr>
        <w:t xml:space="preserve">37.2  Hand-off plan</w:t>
      </w:r>
    </w:p>
    <w:p>
      <w:pPr>
        <w:pStyle w:val="ListParagraph"/>
        <w:numPr>
          <w:ilvl w:val="0"/>
          <w:numId w:val="2"/>
        </w:numPr>
        <w:spacing w:after="80"/>
      </w:pPr>
      <w:r>
        <w:rPr>
          <w:rFonts w:ascii="Calibri" w:cs="Calibri" w:eastAsia="Calibri" w:hAnsi="Calibri"/>
          <w:color w:val="1A1A1A"/>
          <w:sz w:val="20"/>
          <w:szCs w:val="20"/>
        </w:rPr>
        <w:t xml:space="preserve">Final ops runbook (self-hosted Novu): patching, scaling, backup, recovery, secret rotation, BSP credential rotation.</w:t>
      </w:r>
    </w:p>
    <w:p>
      <w:pPr>
        <w:pStyle w:val="ListParagraph"/>
        <w:numPr>
          <w:ilvl w:val="0"/>
          <w:numId w:val="2"/>
        </w:numPr>
        <w:spacing w:after="80"/>
      </w:pPr>
      <w:r>
        <w:rPr>
          <w:rFonts w:ascii="Calibri" w:cs="Calibri" w:eastAsia="Calibri" w:hAnsi="Calibri"/>
          <w:color w:val="1A1A1A"/>
          <w:sz w:val="20"/>
          <w:szCs w:val="20"/>
        </w:rPr>
        <w:t xml:space="preserve">Final lint-rule snapshot; per-quarter audit export; per-insurer dispatch reconciliation report.</w:t>
      </w:r>
    </w:p>
    <w:p>
      <w:pPr>
        <w:pStyle w:val="ListParagraph"/>
        <w:numPr>
          <w:ilvl w:val="0"/>
          <w:numId w:val="2"/>
        </w:numPr>
        <w:spacing w:after="80"/>
      </w:pPr>
      <w:r>
        <w:rPr>
          <w:rFonts w:ascii="Calibri" w:cs="Calibri" w:eastAsia="Calibri" w:hAnsi="Calibri"/>
          <w:color w:val="1A1A1A"/>
          <w:sz w:val="20"/>
          <w:szCs w:val="20"/>
        </w:rPr>
        <w:t xml:space="preserve">Designated Client successor named at P5 acceptance — KT (Section 36) is targeted to that named successor.</w:t>
      </w:r>
    </w:p>
    <w:p>
      <w:pPr>
        <w:pStyle w:val="ListParagraph"/>
        <w:numPr>
          <w:ilvl w:val="0"/>
          <w:numId w:val="2"/>
        </w:numPr>
        <w:spacing w:after="80"/>
      </w:pPr>
      <w:r>
        <w:rPr>
          <w:rFonts w:ascii="Calibri" w:cs="Calibri" w:eastAsia="Calibri" w:hAnsi="Calibri"/>
          <w:color w:val="1A1A1A"/>
          <w:sz w:val="20"/>
          <w:szCs w:val="20"/>
        </w:rPr>
        <w:t xml:space="preserve">Repository ownership transferred to Client GitHub organisation; Consultant retains read-only access for support window only.</w:t>
      </w:r>
    </w:p>
    <w:p>
      <w:pPr>
        <w:pStyle w:val="ListParagraph"/>
        <w:numPr>
          <w:ilvl w:val="0"/>
          <w:numId w:val="2"/>
        </w:numPr>
        <w:spacing w:after="80"/>
      </w:pPr>
      <w:r>
        <w:rPr>
          <w:rFonts w:ascii="Calibri" w:cs="Calibri" w:eastAsia="Calibri" w:hAnsi="Calibri"/>
          <w:color w:val="1A1A1A"/>
          <w:sz w:val="20"/>
          <w:szCs w:val="20"/>
        </w:rPr>
        <w:t xml:space="preserve">Infrastructure: AWS account remains Client-owned throughout; Consultant IAM access reviewed and restricted to support-only at P5 acceptance and revoked at end of support window.</w:t>
      </w:r>
    </w:p>
    <w:p>
      <w:pPr>
        <w:pStyle w:val="ListParagraph"/>
        <w:numPr>
          <w:ilvl w:val="0"/>
          <w:numId w:val="2"/>
        </w:numPr>
        <w:spacing w:after="80"/>
      </w:pPr>
      <w:r>
        <w:rPr>
          <w:rFonts w:ascii="Calibri" w:cs="Calibri" w:eastAsia="Calibri" w:hAnsi="Calibri"/>
          <w:color w:val="1A1A1A"/>
          <w:sz w:val="20"/>
          <w:szCs w:val="20"/>
        </w:rPr>
        <w:t xml:space="preserve">End-of-window letter: open items, recommended improvements, residual risks.</w:t>
      </w:r>
    </w:p>
    <w:p>
      <w:pPr>
        <w:pageBreakBefore/>
        <w:spacing w:after="200" w:before="4000"/>
        <w:jc w:val="center"/>
      </w:pPr>
      <w:r>
        <w:rPr>
          <w:rFonts w:ascii="Calibri" w:cs="Calibri" w:eastAsia="Calibri" w:hAnsi="Calibri"/>
          <w:b/>
          <w:bCs/>
          <w:caps/>
          <w:color w:val="808080"/>
          <w:sz w:val="22"/>
          <w:szCs w:val="22"/>
        </w:rPr>
        <w:t xml:space="preserve">Part XI</w:t>
      </w:r>
    </w:p>
    <w:p>
      <w:pPr>
        <w:spacing w:after="1600" w:before="0"/>
        <w:jc w:val="center"/>
      </w:pPr>
      <w:r>
        <w:rPr>
          <w:rFonts w:ascii="Calibri" w:cs="Calibri" w:eastAsia="Calibri" w:hAnsi="Calibri"/>
          <w:b/>
          <w:bCs/>
          <w:color w:val="1F3864"/>
          <w:sz w:val="56"/>
          <w:szCs w:val="56"/>
        </w:rPr>
        <w:t xml:space="preserve">Commercial Terms</w:t>
      </w:r>
    </w:p>
    <w:p>
      <w:pPr>
        <w:pStyle w:val="Heading1"/>
        <w:pageBreakBefore/>
        <w:spacing w:after="240" w:before="0"/>
      </w:pPr>
      <w:r>
        <w:rPr>
          <w:rFonts w:ascii="Calibri" w:cs="Calibri" w:eastAsia="Calibri" w:hAnsi="Calibri"/>
          <w:b/>
          <w:bCs/>
          <w:color w:val="1F3864"/>
          <w:sz w:val="36"/>
          <w:szCs w:val="36"/>
        </w:rPr>
        <w:t xml:space="preserve">38. Charges &amp; Engagement Model</w:t>
      </w:r>
    </w:p>
    <w:p>
      <w:pPr>
        <w:spacing w:after="120" w:before="0"/>
      </w:pPr>
      <w:r>
        <w:rPr>
          <w:rFonts w:ascii="Calibri" w:cs="Calibri" w:eastAsia="Calibri" w:hAnsi="Calibri"/>
          <w:color w:val="1A1A1A"/>
          <w:sz w:val="20"/>
          <w:szCs w:val="20"/>
        </w:rPr>
        <w:t xml:space="preserve">The commercial structure is hybrid by design: phase-milestone fixed-price billing for the agreed core scope (Phases 1–5) and time-and-materials at the rate card for any change orders or out-of-scope work (Section 41). Unlike v3.0 of this SOW, Phase 5 is in core delivery in v4.0 — there is no separately-gated Phase 5 schedule, because Novu provides dispatch natively for Gupshup and the Consultant’s P5 effort is on custom MSG91 + Karix provider plugins and production hardening, both within the core engagement.</w:t>
      </w:r>
    </w:p>
    <w:p>
      <w:pPr>
        <w:pStyle w:val="Heading2"/>
        <w:spacing w:after="140" w:before="280"/>
      </w:pPr>
      <w:r>
        <w:rPr>
          <w:rFonts w:ascii="Calibri" w:cs="Calibri" w:eastAsia="Calibri" w:hAnsi="Calibri"/>
          <w:b/>
          <w:bCs/>
          <w:color w:val="1F3864"/>
          <w:sz w:val="28"/>
          <w:szCs w:val="28"/>
        </w:rPr>
        <w:t xml:space="preserve">38.1  Engagement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Element</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Treatment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Engagement type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Hybrid: phase-milestone fixed-price (P1–P5, all in core) + T&amp;M for change orders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Currency</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Indian Rupees (INR / ₹). All amounts exclusive of GST and statutory taxes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Billing cycle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phase milestone (Section 39); change orders monthly in arrears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Payment terms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 15 days from invoice receipt by the Client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Late payment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 per month or part thereof on overdue amounts; Consultant’s right to suspend work after 30 days overdue (Section 39.4)</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Mode of payment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Direct bank transfer to the Consultant’s nominated account; UPI / NEFT / RTGS</w:t>
            </w:r>
          </w:p>
        </w:tc>
      </w:tr>
    </w:tbl>
    <w:p>
      <w:pPr>
        <w:pStyle w:val="Heading2"/>
        <w:spacing w:after="140" w:before="280"/>
      </w:pPr>
      <w:r>
        <w:rPr>
          <w:rFonts w:ascii="Calibri" w:cs="Calibri" w:eastAsia="Calibri" w:hAnsi="Calibri"/>
          <w:b/>
          <w:bCs/>
          <w:color w:val="1F3864"/>
          <w:sz w:val="28"/>
          <w:szCs w:val="28"/>
        </w:rPr>
        <w:t xml:space="preserve">38.2  Day rate and contract value</w:t>
      </w:r>
    </w:p>
    <w:p>
      <w:pPr>
        <w:spacing w:after="120" w:before="0"/>
      </w:pPr>
      <w:r>
        <w:rPr>
          <w:rFonts w:ascii="Calibri" w:cs="Calibri" w:eastAsia="Calibri" w:hAnsi="Calibri"/>
          <w:color w:val="1A1A1A"/>
          <w:sz w:val="20"/>
          <w:szCs w:val="20"/>
        </w:rPr>
        <w:t xml:space="preserve">The day rate below is the basis for change orders and for the derivation of phase milestone amounts. It is set at signing and held for the duration of this SOW; revisions follow the Change Management Process (Section 27).</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2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Item</w:t>
            </w:r>
          </w:p>
        </w:tc>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Quantum</w:t>
            </w:r>
          </w:p>
        </w:tc>
        <w:tc>
          <w:tcPr>
            <w:tcW w:type="dxa" w:w="4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day rate (Principal Engineer / Solution Architect)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35,000 per consultant-day</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Indicative anchor for engagements of this profile in BFSI India 2026; subject to negotiation at signing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Working day definition</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 working hours; IST business days</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Half-day minimum on change orders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Core consultant effort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25 days (Phases 1–5, all in core)</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Section 33</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Core fixed price (P1–P5)</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8,75,000</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25 × INR 35,000 — distributed across milestones in Section 39</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GST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 additional</w:t>
            </w:r>
          </w:p>
        </w:tc>
        <w:tc>
          <w:tcPr>
            <w:tcW w:type="dxa" w:w="4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 every invoice; included on tax invoice; subject to applicable rate at time of invoice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Applicable rate</w:t>
            </w:r>
          </w:p>
        </w:tc>
        <w:tc>
          <w:tcPr>
            <w:tcW w:type="dxa" w:w="4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deducts at source per Income Tax Act; TDS certificate (Form 16A) issued quarterly</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Day rate is indicative.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INR 35,000/day is the anchor used to compute the milestones below. The Parties may agree a different rate at signing — if so, the milestone amounts in Section 39 are recomputed pro-rata against the agreed rate, with the milestone percentages held constant. The Consultant must confirm the final rate before counter-signature.</w:t>
            </w:r>
          </w:p>
        </w:tc>
      </w:tr>
    </w:tbl>
    <w:p>
      <w:pPr>
        <w:pStyle w:val="Heading1"/>
        <w:pageBreakBefore/>
        <w:spacing w:after="240" w:before="0"/>
      </w:pPr>
      <w:r>
        <w:rPr>
          <w:rFonts w:ascii="Calibri" w:cs="Calibri" w:eastAsia="Calibri" w:hAnsi="Calibri"/>
          <w:b/>
          <w:bCs/>
          <w:color w:val="1F3864"/>
          <w:sz w:val="36"/>
          <w:szCs w:val="36"/>
        </w:rPr>
        <w:t xml:space="preserve">39. Payment Schedule &amp; Milestones</w:t>
      </w:r>
    </w:p>
    <w:p>
      <w:pPr>
        <w:spacing w:after="120" w:before="0"/>
      </w:pPr>
      <w:r>
        <w:rPr>
          <w:rFonts w:ascii="Calibri" w:cs="Calibri" w:eastAsia="Calibri" w:hAnsi="Calibri"/>
          <w:color w:val="1A1A1A"/>
          <w:sz w:val="20"/>
          <w:szCs w:val="20"/>
        </w:rPr>
        <w:t xml:space="preserve">Payments are tied to phase acceptance under Section 24. A milestone invoice is raised on the date acceptance is recorded — express or deemed — and is payable on Net 15 terms. Mobilisation is invoiced on counter-signature of this SOW. GST is added to every invoice at the rate applicable on the invoice date.</w:t>
      </w:r>
    </w:p>
    <w:p>
      <w:pPr>
        <w:pStyle w:val="Heading2"/>
        <w:spacing w:after="140" w:before="280"/>
      </w:pPr>
      <w:r>
        <w:rPr>
          <w:rFonts w:ascii="Calibri" w:cs="Calibri" w:eastAsia="Calibri" w:hAnsi="Calibri"/>
          <w:b/>
          <w:bCs/>
          <w:color w:val="1F3864"/>
          <w:sz w:val="28"/>
          <w:szCs w:val="28"/>
        </w:rPr>
        <w:t xml:space="preserve">39.1  Milestones (P1–P5, all in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000"/>
        <w:gridCol w:w="900"/>
        <w:gridCol w:w="19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Milestone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Trigger</w:t>
            </w:r>
          </w:p>
        </w:tc>
        <w:tc>
          <w:tcPr>
            <w:tcW w:type="dxa" w:w="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Amount (INR)</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M0</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Mobilisation advance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Counter-signature of this SOW</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1,75,000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M1</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1 acceptance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P1 accepted under Section 24 (Novu Foundation)</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1,31,250</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M2</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2 acceptance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P2 accepted under Section 24 (PH workflows)</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18%</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1,57,500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M3</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3 acceptance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P3 accepted under Section 24 (INV+INS+OPS+REG+HI+MT)</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1,75,000</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M4</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4 acceptance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P4 accepted under Section 24 (Compliance + Observability)</w:t>
            </w:r>
          </w:p>
        </w:tc>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15%</w:t>
            </w:r>
          </w:p>
        </w:tc>
        <w:tc>
          <w:tcPr>
            <w:tcW w:type="dxa" w:w="1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1,31,250</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M5</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5 acceptance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P5 accepted under Section 24 (Custom Providers + Hardening + production cutover)</w:t>
            </w:r>
          </w:p>
        </w:tc>
        <w:tc>
          <w:tcPr>
            <w:tcW w:type="dxa" w:w="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w:t>
            </w:r>
          </w:p>
        </w:tc>
        <w:tc>
          <w:tcPr>
            <w:tcW w:type="dxa" w:w="19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1,05,000</w:t>
            </w:r>
          </w:p>
        </w:tc>
      </w:tr>
      <w:tr>
        <w:tc>
          <w:tcPr>
            <w:tcW w:type="dxa" w:w="7800"/>
            <w:gridSpan w:val="4"/>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Total — Core (P1–P5)</w:t>
            </w:r>
          </w:p>
        </w:tc>
        <w:tc>
          <w:tcPr>
            <w:tcW w:type="dxa" w:w="19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 8,75,000</w:t>
            </w:r>
          </w:p>
        </w:tc>
      </w:tr>
    </w:tbl>
    <w:p>
      <w:pPr>
        <w:spacing w:after="100"/>
      </w:pPr>
      <w:r>
        <w:t xml:space="preserve"/>
      </w:r>
    </w:p>
    <w:p>
      <w:pPr>
        <w:spacing w:after="120" w:before="0"/>
      </w:pPr>
      <w:r>
        <w:rPr>
          <w:rFonts w:ascii="Calibri" w:cs="Calibri" w:eastAsia="Calibri" w:hAnsi="Calibri"/>
          <w:i/>
          <w:iCs/>
          <w:color w:val="808080"/>
          <w:sz w:val="18"/>
          <w:szCs w:val="18"/>
        </w:rPr>
        <w:t xml:space="preserve">Total of M0–M5 = 100% (20+15+18+20+15+12). Each milestone is invoiced separately on acceptance; payment is Net 15 from invoice receipt.</w:t>
      </w:r>
    </w:p>
    <w:p>
      <w:pPr>
        <w:pStyle w:val="Heading2"/>
        <w:spacing w:after="140" w:before="280"/>
      </w:pPr>
      <w:r>
        <w:rPr>
          <w:rFonts w:ascii="Calibri" w:cs="Calibri" w:eastAsia="Calibri" w:hAnsi="Calibri"/>
          <w:b/>
          <w:bCs/>
          <w:color w:val="1F3864"/>
          <w:sz w:val="28"/>
          <w:szCs w:val="28"/>
        </w:rPr>
        <w:t xml:space="preserve">39.2  Total contract value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900"/>
        <w:gridCol w:w="234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Component</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Amount (INR, ex-GST)</w:t>
            </w:r>
          </w:p>
        </w:tc>
        <w:tc>
          <w:tcPr>
            <w:tcW w:type="dxa" w:w="23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Including GST @ 18%</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Core (P1–P5, all in core)</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8,75,000</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10,32,500</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Estimated reimbursable expenses (cap)</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Pre-approved actuals only — see Section 40</w:t>
            </w:r>
          </w:p>
        </w:tc>
        <w:tc>
          <w:tcPr>
            <w:tcW w:type="dxa" w:w="23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Total contract value</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8,75,000 (ex-GST)</w:t>
            </w:r>
          </w:p>
        </w:tc>
        <w:tc>
          <w:tcPr>
            <w:tcW w:type="dxa" w:w="23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10,32,500 (incl. GST)</w:t>
            </w:r>
          </w:p>
        </w:tc>
      </w:tr>
    </w:tbl>
    <w:p>
      <w:pPr>
        <w:pStyle w:val="Heading2"/>
        <w:spacing w:after="140" w:before="280"/>
      </w:pPr>
      <w:r>
        <w:rPr>
          <w:rFonts w:ascii="Calibri" w:cs="Calibri" w:eastAsia="Calibri" w:hAnsi="Calibri"/>
          <w:b/>
          <w:bCs/>
          <w:color w:val="1F3864"/>
          <w:sz w:val="28"/>
          <w:szCs w:val="28"/>
        </w:rPr>
        <w:t xml:space="preserve">39.3  Late payment, suspension, and disputed amounts</w:t>
      </w:r>
    </w:p>
    <w:p>
      <w:pPr>
        <w:pStyle w:val="ListParagraph"/>
        <w:numPr>
          <w:ilvl w:val="0"/>
          <w:numId w:val="2"/>
        </w:numPr>
        <w:spacing w:after="80"/>
      </w:pPr>
      <w:r>
        <w:rPr>
          <w:rFonts w:ascii="Calibri" w:cs="Calibri" w:eastAsia="Calibri" w:hAnsi="Calibri"/>
          <w:color w:val="1A1A1A"/>
          <w:sz w:val="20"/>
          <w:szCs w:val="20"/>
        </w:rPr>
        <w:t xml:space="preserve">Invoices are payable Net 15 from receipt. Receipt is presumed on the next business day after email transmission to the Client’s designated finance contact.</w:t>
      </w:r>
    </w:p>
    <w:p>
      <w:pPr>
        <w:pStyle w:val="ListParagraph"/>
        <w:numPr>
          <w:ilvl w:val="0"/>
          <w:numId w:val="2"/>
        </w:numPr>
        <w:spacing w:after="80"/>
      </w:pPr>
      <w:r>
        <w:rPr>
          <w:rFonts w:ascii="Calibri" w:cs="Calibri" w:eastAsia="Calibri" w:hAnsi="Calibri"/>
          <w:color w:val="1A1A1A"/>
          <w:sz w:val="20"/>
          <w:szCs w:val="20"/>
        </w:rPr>
        <w:t xml:space="preserve">Overdue amounts attract simple interest at 1.5% per month (or part thereof), accruing daily, from the original due date until paid. The Consultant may waive interest in writing; silence is not waiver.</w:t>
      </w:r>
    </w:p>
    <w:p>
      <w:pPr>
        <w:pStyle w:val="ListParagraph"/>
        <w:numPr>
          <w:ilvl w:val="0"/>
          <w:numId w:val="2"/>
        </w:numPr>
        <w:spacing w:after="80"/>
      </w:pPr>
      <w:r>
        <w:rPr>
          <w:rFonts w:ascii="Calibri" w:cs="Calibri" w:eastAsia="Calibri" w:hAnsi="Calibri"/>
          <w:color w:val="1A1A1A"/>
          <w:sz w:val="20"/>
          <w:szCs w:val="20"/>
        </w:rPr>
        <w:t xml:space="preserve">If any invoice remains unpaid for more than 30 calendar days after its due date, the Consultant may, on 7 calendar days’ written notice, suspend further work. Suspension does not constitute termination, does not relieve the Client of payment for accrued work, and extends every applicable phase SLA on a day-for-day basis.</w:t>
      </w:r>
    </w:p>
    <w:p>
      <w:pPr>
        <w:pStyle w:val="ListParagraph"/>
        <w:numPr>
          <w:ilvl w:val="0"/>
          <w:numId w:val="2"/>
        </w:numPr>
        <w:spacing w:after="80"/>
      </w:pPr>
      <w:r>
        <w:rPr>
          <w:rFonts w:ascii="Calibri" w:cs="Calibri" w:eastAsia="Calibri" w:hAnsi="Calibri"/>
          <w:color w:val="1A1A1A"/>
          <w:sz w:val="20"/>
          <w:szCs w:val="20"/>
        </w:rPr>
        <w:t xml:space="preserve">If the Client disputes any portion of an invoice in good faith, the Client must pay the undisputed portion on the original due date and notify the Consultant of the disputed portion in writing with specific reasons within 10 business days of invoice receipt. The disputed portion is held pending resolution under Section 50; failure to dispute within the 10-day window is deemed acceptance of the invoice.</w:t>
      </w:r>
    </w:p>
    <w:p>
      <w:pPr>
        <w:pStyle w:val="ListParagraph"/>
        <w:numPr>
          <w:ilvl w:val="0"/>
          <w:numId w:val="2"/>
        </w:numPr>
        <w:spacing w:after="80"/>
      </w:pPr>
      <w:r>
        <w:rPr>
          <w:rFonts w:ascii="Calibri" w:cs="Calibri" w:eastAsia="Calibri" w:hAnsi="Calibri"/>
          <w:color w:val="1A1A1A"/>
          <w:sz w:val="20"/>
          <w:szCs w:val="20"/>
        </w:rPr>
        <w:t xml:space="preserve">All charges, late fees and dispute mechanics survive termination of the engagement to the extent of work accrued before termination.</w:t>
      </w:r>
    </w:p>
    <w:p>
      <w:pPr>
        <w:pStyle w:val="Heading1"/>
        <w:pageBreakBefore/>
        <w:spacing w:after="240" w:before="0"/>
      </w:pPr>
      <w:r>
        <w:rPr>
          <w:rFonts w:ascii="Calibri" w:cs="Calibri" w:eastAsia="Calibri" w:hAnsi="Calibri"/>
          <w:b/>
          <w:bCs/>
          <w:color w:val="1F3864"/>
          <w:sz w:val="36"/>
          <w:szCs w:val="36"/>
        </w:rPr>
        <w:t xml:space="preserve">40. Invoicing, Taxes &amp; Out-of-Pocket Reimbursements</w:t>
      </w:r>
    </w:p>
    <w:p>
      <w:pPr>
        <w:pStyle w:val="Heading2"/>
        <w:spacing w:after="140" w:before="280"/>
      </w:pPr>
      <w:r>
        <w:rPr>
          <w:rFonts w:ascii="Calibri" w:cs="Calibri" w:eastAsia="Calibri" w:hAnsi="Calibri"/>
          <w:b/>
          <w:bCs/>
          <w:color w:val="1F3864"/>
          <w:sz w:val="28"/>
          <w:szCs w:val="28"/>
        </w:rPr>
        <w:t xml:space="preserve">40.1  Invoicing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Invoice format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GST-compliant tax invoice; PDF emailed to Client’s designated finance contact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Invoice contents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name, address, PAN, GSTIN; SOW reference (TPE-COMMS-SOW-2026-001); milestone reference; consultant-day count; HSN/SAC code; CGST/SGST/IGST split; total amount; payment instructions; due date</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Issue cadence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Milestone invoices on acceptance (Section 24); change-order invoices monthly in arrears; reimbursable invoices monthly in arrears</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Currency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only</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Designated finance contact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to insert] — without this address, invoice receipt is on transmission to Client Sponsor</w:t>
            </w:r>
          </w:p>
        </w:tc>
      </w:tr>
    </w:tbl>
    <w:p>
      <w:pPr>
        <w:pStyle w:val="Heading2"/>
        <w:spacing w:after="140" w:before="280"/>
      </w:pPr>
      <w:r>
        <w:rPr>
          <w:rFonts w:ascii="Calibri" w:cs="Calibri" w:eastAsia="Calibri" w:hAnsi="Calibri"/>
          <w:b/>
          <w:bCs/>
          <w:color w:val="1F3864"/>
          <w:sz w:val="28"/>
          <w:szCs w:val="28"/>
        </w:rPr>
        <w:t xml:space="preserve">40.2  Taxes</w:t>
      </w:r>
    </w:p>
    <w:p>
      <w:pPr>
        <w:pStyle w:val="ListParagraph"/>
        <w:numPr>
          <w:ilvl w:val="0"/>
          <w:numId w:val="2"/>
        </w:numPr>
        <w:spacing w:after="80"/>
      </w:pPr>
      <w:r>
        <w:rPr>
          <w:rFonts w:ascii="Calibri" w:cs="Calibri" w:eastAsia="Calibri" w:hAnsi="Calibri"/>
          <w:color w:val="1A1A1A"/>
          <w:sz w:val="20"/>
          <w:szCs w:val="20"/>
        </w:rPr>
        <w:t xml:space="preserve">All amounts in this SOW are exclusive of GST and any statutory taxes. The Consultant adds GST at the applicable rate (currently 18% under SAC 998313 for IT consulting, subject to GST Council revisions) on every invoice.</w:t>
      </w:r>
    </w:p>
    <w:p>
      <w:pPr>
        <w:pStyle w:val="ListParagraph"/>
        <w:numPr>
          <w:ilvl w:val="0"/>
          <w:numId w:val="2"/>
        </w:numPr>
        <w:spacing w:after="80"/>
      </w:pPr>
      <w:r>
        <w:rPr>
          <w:rFonts w:ascii="Calibri" w:cs="Calibri" w:eastAsia="Calibri" w:hAnsi="Calibri"/>
          <w:color w:val="1A1A1A"/>
          <w:sz w:val="20"/>
          <w:szCs w:val="20"/>
        </w:rPr>
        <w:t xml:space="preserve">The Client deducts Tax Deducted at Source (TDS) at the applicable rate on each invoice as required under the Income Tax Act, 1961. The Client issues TDS certificates (Form 16A) on a quarterly basis within statutory timelines.</w:t>
      </w:r>
    </w:p>
    <w:p>
      <w:pPr>
        <w:pStyle w:val="ListParagraph"/>
        <w:numPr>
          <w:ilvl w:val="0"/>
          <w:numId w:val="2"/>
        </w:numPr>
        <w:spacing w:after="80"/>
      </w:pPr>
      <w:r>
        <w:rPr>
          <w:rFonts w:ascii="Calibri" w:cs="Calibri" w:eastAsia="Calibri" w:hAnsi="Calibri"/>
          <w:color w:val="1A1A1A"/>
          <w:sz w:val="20"/>
          <w:szCs w:val="20"/>
        </w:rPr>
        <w:t xml:space="preserve">Each Party bears its own income tax obligations. Nothing in this SOW transfers any tax liability between the Parties.</w:t>
      </w:r>
    </w:p>
    <w:p>
      <w:pPr>
        <w:pStyle w:val="ListParagraph"/>
        <w:numPr>
          <w:ilvl w:val="0"/>
          <w:numId w:val="2"/>
        </w:numPr>
        <w:spacing w:after="80"/>
      </w:pPr>
      <w:r>
        <w:rPr>
          <w:rFonts w:ascii="Calibri" w:cs="Calibri" w:eastAsia="Calibri" w:hAnsi="Calibri"/>
          <w:color w:val="1A1A1A"/>
          <w:sz w:val="20"/>
          <w:szCs w:val="20"/>
        </w:rPr>
        <w:t xml:space="preserve">If GST law changes after signing such that the rate, classification or place-of-supply rules differ, the Parties act in good faith to align invoicing without altering the net amount due to the Consultant.</w:t>
      </w:r>
    </w:p>
    <w:p>
      <w:pPr>
        <w:pStyle w:val="Heading2"/>
        <w:spacing w:after="140" w:before="280"/>
      </w:pPr>
      <w:r>
        <w:rPr>
          <w:rFonts w:ascii="Calibri" w:cs="Calibri" w:eastAsia="Calibri" w:hAnsi="Calibri"/>
          <w:b/>
          <w:bCs/>
          <w:color w:val="1F3864"/>
          <w:sz w:val="28"/>
          <w:szCs w:val="28"/>
        </w:rPr>
        <w:t xml:space="preserve">40.3  Out-of-pocket reimbursements</w:t>
      </w:r>
    </w:p>
    <w:p>
      <w:pPr>
        <w:spacing w:after="120" w:before="0"/>
      </w:pPr>
      <w:r>
        <w:rPr>
          <w:rFonts w:ascii="Calibri" w:cs="Calibri" w:eastAsia="Calibri" w:hAnsi="Calibri"/>
          <w:color w:val="1A1A1A"/>
          <w:sz w:val="20"/>
          <w:szCs w:val="20"/>
        </w:rPr>
        <w:t xml:space="preserve">The engagement is delivered remotely by default. Where the Client requests on-site presence, the costs below are reimbursable on production of receipts and pre-approval. Reimbursements are charged at actuals; the Consultant adds no markup.</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5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Category</w:t>
            </w:r>
          </w:p>
        </w:tc>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Treatment</w:t>
            </w:r>
          </w:p>
        </w:tc>
        <w:tc>
          <w:tcPr>
            <w:tcW w:type="dxa" w:w="2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Cap / norm</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Travel — air</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Economy class within India; pre-approved</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Lowest fare on direct route within ± 4h of preferred slot</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Travel — rail</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 2-tier or AC chair car; pre-approved</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Local transport</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Cab / metro at actuals</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Standard ride-hail receipts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Hotel</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Business-class equivalent; pre-approved</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6,500 per night excluding GST (norm; Client may approve higher for tier-1 metros)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diem (meals + incidentals)</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Flat rate when traveling</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1,500 per day; no receipts required up to cap</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Communication / tools</w:t>
            </w:r>
          </w:p>
        </w:tc>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Not separately reimbursed</w:t>
            </w:r>
          </w:p>
        </w:tc>
        <w:tc>
          <w:tcPr>
            <w:tcW w:type="dxa" w:w="2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Included in day rate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Software licences purchased on Client’s behalf</w:t>
            </w:r>
          </w:p>
        </w:tc>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At cost; Client to take direct title where possible</w:t>
            </w:r>
          </w:p>
        </w:tc>
        <w:tc>
          <w:tcPr>
            <w:tcW w:type="dxa" w:w="2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Pre-approval required</w:t>
            </w:r>
          </w:p>
        </w:tc>
      </w:tr>
    </w:tbl>
    <w:p>
      <w:pPr>
        <w:pStyle w:val="Heading2"/>
        <w:spacing w:after="140" w:before="280"/>
      </w:pPr>
      <w:r>
        <w:rPr>
          <w:rFonts w:ascii="Calibri" w:cs="Calibri" w:eastAsia="Calibri" w:hAnsi="Calibri"/>
          <w:b/>
          <w:bCs/>
          <w:color w:val="1F3864"/>
          <w:sz w:val="28"/>
          <w:szCs w:val="28"/>
        </w:rPr>
        <w:t xml:space="preserve">40.4  Pre-approval and audit</w:t>
      </w:r>
    </w:p>
    <w:p>
      <w:pPr>
        <w:pStyle w:val="ListParagraph"/>
        <w:numPr>
          <w:ilvl w:val="0"/>
          <w:numId w:val="2"/>
        </w:numPr>
        <w:spacing w:after="80"/>
      </w:pPr>
      <w:r>
        <w:rPr>
          <w:rFonts w:ascii="Calibri" w:cs="Calibri" w:eastAsia="Calibri" w:hAnsi="Calibri"/>
          <w:color w:val="1A1A1A"/>
          <w:sz w:val="20"/>
          <w:szCs w:val="20"/>
        </w:rPr>
        <w:t xml:space="preserve">Reimbursable items above INR 5,000 require Client written pre-approval (email is sufficient). Items below this threshold may be approved retrospectively at the next reimbursement cycle.</w:t>
      </w:r>
    </w:p>
    <w:p>
      <w:pPr>
        <w:pStyle w:val="ListParagraph"/>
        <w:numPr>
          <w:ilvl w:val="0"/>
          <w:numId w:val="2"/>
        </w:numPr>
        <w:spacing w:after="80"/>
      </w:pPr>
      <w:r>
        <w:rPr>
          <w:rFonts w:ascii="Calibri" w:cs="Calibri" w:eastAsia="Calibri" w:hAnsi="Calibri"/>
          <w:color w:val="1A1A1A"/>
          <w:sz w:val="20"/>
          <w:szCs w:val="20"/>
        </w:rPr>
        <w:t xml:space="preserve">Reimbursable invoices are submitted monthly with copies of underlying receipts. The Client may audit reimbursable expenses for a period of 12 months from invoice date and dispute documented errors per Section 39.4.</w:t>
      </w:r>
    </w:p>
    <w:p>
      <w:pPr>
        <w:pStyle w:val="ListParagraph"/>
        <w:numPr>
          <w:ilvl w:val="0"/>
          <w:numId w:val="2"/>
        </w:numPr>
        <w:spacing w:after="80"/>
      </w:pPr>
      <w:r>
        <w:rPr>
          <w:rFonts w:ascii="Calibri" w:cs="Calibri" w:eastAsia="Calibri" w:hAnsi="Calibri"/>
          <w:color w:val="1A1A1A"/>
          <w:sz w:val="20"/>
          <w:szCs w:val="20"/>
        </w:rPr>
        <w:t xml:space="preserve">The Consultant maintains expense records for 7 years per the Income Tax Act.</w:t>
      </w:r>
    </w:p>
    <w:p>
      <w:pPr>
        <w:pStyle w:val="Heading1"/>
        <w:pageBreakBefore/>
        <w:spacing w:after="240" w:before="0"/>
      </w:pPr>
      <w:r>
        <w:rPr>
          <w:rFonts w:ascii="Calibri" w:cs="Calibri" w:eastAsia="Calibri" w:hAnsi="Calibri"/>
          <w:b/>
          <w:bCs/>
          <w:color w:val="1F3864"/>
          <w:sz w:val="36"/>
          <w:szCs w:val="36"/>
        </w:rPr>
        <w:t xml:space="preserve">41. Change Orders &amp; Rate Card</w:t>
      </w:r>
    </w:p>
    <w:p>
      <w:pPr>
        <w:spacing w:after="120" w:before="0"/>
      </w:pPr>
      <w:r>
        <w:rPr>
          <w:rFonts w:ascii="Calibri" w:cs="Calibri" w:eastAsia="Calibri" w:hAnsi="Calibri"/>
          <w:color w:val="1A1A1A"/>
          <w:sz w:val="20"/>
          <w:szCs w:val="20"/>
        </w:rPr>
        <w:t xml:space="preserve">Where a change request under Section 27 is classified as Material or Critical, or where work falls outside the scope defined in Section 11, a Change Order is raised. Change Orders are charged at the rate card below, billed monthly in arrears, and follow the same payment terms as milestone invoices.</w:t>
      </w:r>
    </w:p>
    <w:p>
      <w:pPr>
        <w:pStyle w:val="Heading2"/>
        <w:spacing w:after="140" w:before="280"/>
      </w:pPr>
      <w:r>
        <w:rPr>
          <w:rFonts w:ascii="Calibri" w:cs="Calibri" w:eastAsia="Calibri" w:hAnsi="Calibri"/>
          <w:b/>
          <w:bCs/>
          <w:color w:val="1F3864"/>
          <w:sz w:val="28"/>
          <w:szCs w:val="28"/>
        </w:rPr>
        <w:t xml:space="preserve">41.1  Rate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84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Service</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Unit</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Rate (INR, ex-GST)</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Principal Engineer / Solution Architect (Consultant — Engagement Lead)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consultant-day</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35,000</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Half-day engagement (minimum chargeable unit)</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half-day</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20,000</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Out-of-hours work (after 19:00 IST or weekends), pre-approved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consultant-day</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52,500 (1.5×)</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Public holiday work (India), pre-approved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consultant-day</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70,000 (2×)</w:t>
            </w:r>
          </w:p>
        </w:tc>
      </w:tr>
      <w:tr>
        <w:tc>
          <w:tcPr>
            <w:tcW w:type="dxa" w:w="4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Quarterly retainer (post-implementation, beyond first quarter)</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quarter</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1,75,000 (5 days)</w:t>
            </w:r>
          </w:p>
        </w:tc>
      </w:tr>
      <w:tr>
        <w:tc>
          <w:tcPr>
            <w:tcW w:type="dxa" w:w="4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Ad-hoc advisory (single-session, scoped)</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session up to 2h</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10,000</w:t>
            </w:r>
          </w:p>
        </w:tc>
      </w:tr>
    </w:tbl>
    <w:p>
      <w:pPr>
        <w:pStyle w:val="Heading2"/>
        <w:spacing w:after="140" w:before="280"/>
      </w:pPr>
      <w:r>
        <w:rPr>
          <w:rFonts w:ascii="Calibri" w:cs="Calibri" w:eastAsia="Calibri" w:hAnsi="Calibri"/>
          <w:b/>
          <w:bCs/>
          <w:color w:val="1F3864"/>
          <w:sz w:val="28"/>
          <w:szCs w:val="28"/>
        </w:rPr>
        <w:t xml:space="preserve">41.2  Change Order procedure</w:t>
      </w:r>
    </w:p>
    <w:p>
      <w:pPr>
        <w:pStyle w:val="ListParagraph"/>
        <w:numPr>
          <w:ilvl w:val="0"/>
          <w:numId w:val="2"/>
        </w:numPr>
        <w:spacing w:after="80"/>
      </w:pPr>
      <w:r>
        <w:rPr>
          <w:rFonts w:ascii="Calibri" w:cs="Calibri" w:eastAsia="Calibri" w:hAnsi="Calibri"/>
          <w:color w:val="1A1A1A"/>
          <w:sz w:val="20"/>
          <w:szCs w:val="20"/>
        </w:rPr>
        <w:t xml:space="preserve">A Change Order is a written instrument that references this SOW, describes the change, states the effort estimate, the cost, and any timeline impact. It is signed by the Client Sponsor (or delegate) and the Consultant before work begins.</w:t>
      </w:r>
    </w:p>
    <w:p>
      <w:pPr>
        <w:pStyle w:val="ListParagraph"/>
        <w:numPr>
          <w:ilvl w:val="0"/>
          <w:numId w:val="2"/>
        </w:numPr>
        <w:spacing w:after="80"/>
      </w:pPr>
      <w:r>
        <w:rPr>
          <w:rFonts w:ascii="Calibri" w:cs="Calibri" w:eastAsia="Calibri" w:hAnsi="Calibri"/>
          <w:color w:val="1A1A1A"/>
          <w:sz w:val="20"/>
          <w:szCs w:val="20"/>
        </w:rPr>
        <w:t xml:space="preserve">Effort estimates on Change Orders are best-effort; if actual effort exceeds estimate by more than 25%, the Consultant must notify the Client and obtain written authorisation before continuing — failure to notify caps charges at the original estimate plus 25%.</w:t>
      </w:r>
    </w:p>
    <w:p>
      <w:pPr>
        <w:pStyle w:val="ListParagraph"/>
        <w:numPr>
          <w:ilvl w:val="0"/>
          <w:numId w:val="2"/>
        </w:numPr>
        <w:spacing w:after="80"/>
      </w:pPr>
      <w:r>
        <w:rPr>
          <w:rFonts w:ascii="Calibri" w:cs="Calibri" w:eastAsia="Calibri" w:hAnsi="Calibri"/>
          <w:color w:val="1A1A1A"/>
          <w:sz w:val="20"/>
          <w:szCs w:val="20"/>
        </w:rPr>
        <w:t xml:space="preserve">Change Orders are billed monthly in arrears at the rates above. They do not extend the original SOW automatically — every Change Order has its own start date, scope and end date.</w:t>
      </w:r>
    </w:p>
    <w:p>
      <w:pPr>
        <w:pStyle w:val="ListParagraph"/>
        <w:numPr>
          <w:ilvl w:val="0"/>
          <w:numId w:val="2"/>
        </w:numPr>
        <w:spacing w:after="80"/>
      </w:pPr>
      <w:r>
        <w:rPr>
          <w:rFonts w:ascii="Calibri" w:cs="Calibri" w:eastAsia="Calibri" w:hAnsi="Calibri"/>
          <w:color w:val="1A1A1A"/>
          <w:sz w:val="20"/>
          <w:szCs w:val="20"/>
        </w:rPr>
        <w:t xml:space="preserve">Reimbursable expenses on Change Orders follow Section 40.3.</w:t>
      </w:r>
    </w:p>
    <w:p>
      <w:pPr>
        <w:pageBreakBefore/>
        <w:spacing w:after="200" w:before="4000"/>
        <w:jc w:val="center"/>
      </w:pPr>
      <w:r>
        <w:rPr>
          <w:rFonts w:ascii="Calibri" w:cs="Calibri" w:eastAsia="Calibri" w:hAnsi="Calibri"/>
          <w:b/>
          <w:bCs/>
          <w:caps/>
          <w:color w:val="808080"/>
          <w:sz w:val="22"/>
          <w:szCs w:val="22"/>
        </w:rPr>
        <w:t xml:space="preserve">Part XII</w:t>
      </w:r>
    </w:p>
    <w:p>
      <w:pPr>
        <w:spacing w:after="1600" w:before="0"/>
        <w:jc w:val="center"/>
      </w:pPr>
      <w:r>
        <w:rPr>
          <w:rFonts w:ascii="Calibri" w:cs="Calibri" w:eastAsia="Calibri" w:hAnsi="Calibri"/>
          <w:b/>
          <w:bCs/>
          <w:color w:val="1F3864"/>
          <w:sz w:val="56"/>
          <w:szCs w:val="56"/>
        </w:rPr>
        <w:t xml:space="preserve">Legal &amp; Contract Terms</w:t>
      </w:r>
    </w:p>
    <w:p>
      <w:pPr>
        <w:pStyle w:val="Heading1"/>
        <w:pageBreakBefore/>
        <w:spacing w:after="240" w:before="0"/>
      </w:pPr>
      <w:r>
        <w:rPr>
          <w:rFonts w:ascii="Calibri" w:cs="Calibri" w:eastAsia="Calibri" w:hAnsi="Calibri"/>
          <w:b/>
          <w:bCs/>
          <w:color w:val="1F3864"/>
          <w:sz w:val="36"/>
          <w:szCs w:val="36"/>
        </w:rPr>
        <w:t xml:space="preserve">42. Warranty &amp; Service Standards</w:t>
      </w:r>
    </w:p>
    <w:p>
      <w:pPr>
        <w:spacing w:after="120" w:before="0"/>
      </w:pPr>
      <w:r>
        <w:rPr>
          <w:rFonts w:ascii="Calibri" w:cs="Calibri" w:eastAsia="Calibri" w:hAnsi="Calibri"/>
          <w:color w:val="1A1A1A"/>
          <w:sz w:val="20"/>
          <w:szCs w:val="20"/>
        </w:rPr>
        <w:t xml:space="preserve">The Consultant warrants the standard of services and the period during which defects will be remedied at no charge. Beyond these warranties, no other warranty — express or implied — is given. This section does not limit any non-excludable consumer or statutory protection.</w:t>
      </w:r>
    </w:p>
    <w:p>
      <w:pPr>
        <w:pStyle w:val="Heading2"/>
        <w:spacing w:after="140" w:before="280"/>
      </w:pPr>
      <w:r>
        <w:rPr>
          <w:rFonts w:ascii="Calibri" w:cs="Calibri" w:eastAsia="Calibri" w:hAnsi="Calibri"/>
          <w:b/>
          <w:bCs/>
          <w:color w:val="1F3864"/>
          <w:sz w:val="28"/>
          <w:szCs w:val="28"/>
        </w:rPr>
        <w:t xml:space="preserve">42.1  Service standard</w:t>
      </w:r>
    </w:p>
    <w:p>
      <w:pPr>
        <w:spacing w:after="120" w:before="0"/>
      </w:pPr>
      <w:r>
        <w:rPr>
          <w:rFonts w:ascii="Calibri" w:cs="Calibri" w:eastAsia="Calibri" w:hAnsi="Calibri"/>
          <w:color w:val="1A1A1A"/>
          <w:sz w:val="20"/>
          <w:szCs w:val="20"/>
        </w:rPr>
        <w:t xml:space="preserve">The Consultant warrants that the services under this SOW will be performed in a workmanlike, professional manner, using personnel with the skill and experience reasonably required for engagements of this nature, and consistent with industry-standard practice for BFSI consulting in India.</w:t>
      </w:r>
    </w:p>
    <w:p>
      <w:pPr>
        <w:pStyle w:val="Heading2"/>
        <w:spacing w:after="140" w:before="280"/>
      </w:pPr>
      <w:r>
        <w:rPr>
          <w:rFonts w:ascii="Calibri" w:cs="Calibri" w:eastAsia="Calibri" w:hAnsi="Calibri"/>
          <w:b/>
          <w:bCs/>
          <w:color w:val="1F3864"/>
          <w:sz w:val="28"/>
          <w:szCs w:val="28"/>
        </w:rPr>
        <w:t xml:space="preserve">42.2  Re-performance warranty</w:t>
      </w:r>
    </w:p>
    <w:p>
      <w:pPr>
        <w:spacing w:after="120" w:before="0"/>
      </w:pPr>
      <w:r>
        <w:rPr>
          <w:rFonts w:ascii="Calibri" w:cs="Calibri" w:eastAsia="Calibri" w:hAnsi="Calibri"/>
          <w:color w:val="1A1A1A"/>
          <w:sz w:val="20"/>
          <w:szCs w:val="20"/>
        </w:rPr>
        <w:t xml:space="preserve">If, within 90 calendar days from acceptance of any deliverable under Section 24, the Client demonstrates that the deliverable materially fails to meet the acceptance criteria (Section 24.1) and the failure was not caused by Client modification or use outside agreed parameters, the Consultant will, at the Consultant’s option and at no additional charge, re-perform or remedy the deliverable. Re-performance is the Client’s sole and exclusive remedy under this warranty.</w:t>
      </w:r>
    </w:p>
    <w:p>
      <w:pPr>
        <w:pStyle w:val="Heading2"/>
        <w:spacing w:after="140" w:before="280"/>
      </w:pPr>
      <w:r>
        <w:rPr>
          <w:rFonts w:ascii="Calibri" w:cs="Calibri" w:eastAsia="Calibri" w:hAnsi="Calibri"/>
          <w:b/>
          <w:bCs/>
          <w:color w:val="1F3864"/>
          <w:sz w:val="28"/>
          <w:szCs w:val="28"/>
        </w:rPr>
        <w:t xml:space="preserve">42.3  Disclaimer</w:t>
      </w:r>
    </w:p>
    <w:p>
      <w:pPr>
        <w:spacing w:after="120" w:before="0"/>
      </w:pPr>
      <w:r>
        <w:rPr>
          <w:rFonts w:ascii="Calibri" w:cs="Calibri" w:eastAsia="Calibri" w:hAnsi="Calibri"/>
          <w:color w:val="1A1A1A"/>
          <w:sz w:val="20"/>
          <w:szCs w:val="20"/>
        </w:rPr>
        <w:t xml:space="preserve">Except for the warranties expressly stated in this Section 42 and any non-excludable warranty implied by law, the Consultant disclaims all other warranties, conditions, representations and terms — whether express, implied, statutory or otherwise — including any warranty of merchantability, fitness for a particular purpose, non-infringement, or that the deliverables will be uninterrupted, error-free or secure against unauthorised access. The Client acknowledges that the deliverables are tools that depend on Client data, Client systems, third-party providers and regulatory frameworks not within the Consultant’s control.</w:t>
      </w:r>
    </w:p>
    <w:p>
      <w:pPr>
        <w:pStyle w:val="Heading1"/>
        <w:pageBreakBefore/>
        <w:spacing w:after="240" w:before="0"/>
      </w:pPr>
      <w:r>
        <w:rPr>
          <w:rFonts w:ascii="Calibri" w:cs="Calibri" w:eastAsia="Calibri" w:hAnsi="Calibri"/>
          <w:b/>
          <w:bCs/>
          <w:color w:val="1F3864"/>
          <w:sz w:val="36"/>
          <w:szCs w:val="36"/>
        </w:rPr>
        <w:t xml:space="preserve">43. Limitation of Liability</w:t>
      </w:r>
    </w:p>
    <w:p>
      <w:pPr>
        <w:spacing w:after="120" w:before="0"/>
      </w:pPr>
      <w:r>
        <w:rPr>
          <w:rFonts w:ascii="Calibri" w:cs="Calibri" w:eastAsia="Calibri" w:hAnsi="Calibri"/>
          <w:color w:val="1A1A1A"/>
          <w:sz w:val="20"/>
          <w:szCs w:val="20"/>
        </w:rPr>
        <w:t xml:space="preserve">This Section is a fundamental basis on which the Consultant has agreed the charges in Part XI. Without these limits, the charges would be materially higher. Any provision of this Section deemed unenforceable is to be construed to the maximum extent permissible by law.</w:t>
      </w:r>
    </w:p>
    <w:p>
      <w:pPr>
        <w:pStyle w:val="Heading2"/>
        <w:spacing w:after="140" w:before="280"/>
      </w:pPr>
      <w:r>
        <w:rPr>
          <w:rFonts w:ascii="Calibri" w:cs="Calibri" w:eastAsia="Calibri" w:hAnsi="Calibri"/>
          <w:b/>
          <w:bCs/>
          <w:color w:val="1F3864"/>
          <w:sz w:val="28"/>
          <w:szCs w:val="28"/>
        </w:rPr>
        <w:t xml:space="preserve">43.1  Aggregate cap</w:t>
      </w:r>
    </w:p>
    <w:p>
      <w:pPr>
        <w:spacing w:after="120" w:before="0"/>
      </w:pPr>
      <w:r>
        <w:rPr>
          <w:rFonts w:ascii="Calibri" w:cs="Calibri" w:eastAsia="Calibri" w:hAnsi="Calibri"/>
          <w:color w:val="1A1A1A"/>
          <w:sz w:val="20"/>
          <w:szCs w:val="20"/>
        </w:rPr>
        <w:t xml:space="preserve">Each Party’s aggregate liability arising out of or in connection with this SOW — whether in contract, tort (including negligence), under statute, or on any other basis — is capped at the total fees paid by the Client to the Consultant under this SOW in the twelve (12) months immediately preceding the event giving rise to the claim. Where the engagement has been in effect for less than twelve months, the cap is the total fees paid to date.</w:t>
      </w:r>
    </w:p>
    <w:p>
      <w:pPr>
        <w:pStyle w:val="Heading2"/>
        <w:spacing w:after="140" w:before="280"/>
      </w:pPr>
      <w:r>
        <w:rPr>
          <w:rFonts w:ascii="Calibri" w:cs="Calibri" w:eastAsia="Calibri" w:hAnsi="Calibri"/>
          <w:b/>
          <w:bCs/>
          <w:color w:val="1F3864"/>
          <w:sz w:val="28"/>
          <w:szCs w:val="28"/>
        </w:rPr>
        <w:t xml:space="preserve">43.2  Exclusion of indirect damages</w:t>
      </w:r>
    </w:p>
    <w:p>
      <w:pPr>
        <w:spacing w:after="120" w:before="0"/>
      </w:pPr>
      <w:r>
        <w:rPr>
          <w:rFonts w:ascii="Calibri" w:cs="Calibri" w:eastAsia="Calibri" w:hAnsi="Calibri"/>
          <w:color w:val="1A1A1A"/>
          <w:sz w:val="20"/>
          <w:szCs w:val="20"/>
        </w:rPr>
        <w:t xml:space="preserve">Neither Party is liable to the other for any indirect, incidental, special, consequential, exemplary or punitive damages, or for any loss of profits, loss of revenue, loss of business, loss of goodwill, loss of opportunity, loss of anticipated savings, loss of data, or cost of substitute services — whether or not the Party has been advised of the possibility of such damages — arising out of or in connection with this SOW.</w:t>
      </w:r>
    </w:p>
    <w:p>
      <w:pPr>
        <w:pStyle w:val="Heading2"/>
        <w:spacing w:after="140" w:before="280"/>
      </w:pPr>
      <w:r>
        <w:rPr>
          <w:rFonts w:ascii="Calibri" w:cs="Calibri" w:eastAsia="Calibri" w:hAnsi="Calibri"/>
          <w:b/>
          <w:bCs/>
          <w:color w:val="1F3864"/>
          <w:sz w:val="28"/>
          <w:szCs w:val="28"/>
        </w:rPr>
        <w:t xml:space="preserve">43.3  Exceptions</w:t>
      </w:r>
    </w:p>
    <w:p>
      <w:pPr>
        <w:spacing w:after="120" w:before="0"/>
      </w:pPr>
      <w:r>
        <w:rPr>
          <w:rFonts w:ascii="Calibri" w:cs="Calibri" w:eastAsia="Calibri" w:hAnsi="Calibri"/>
          <w:color w:val="1A1A1A"/>
          <w:sz w:val="20"/>
          <w:szCs w:val="20"/>
        </w:rPr>
        <w:t xml:space="preserve">The cap and exclusion in Sections 43.1 and 43.2 do not apply to: (a) breach of confidentiality obligations under Section 47; (b) infringement by either Party of the other’s intellectual property; (c) gross negligence, fraud or wilful misconduct; (d) liability that cannot be limited or excluded under applicable law; or (e) the Client’s obligation to pay charges due and undisputed under Part XI.</w:t>
      </w:r>
    </w:p>
    <w:p>
      <w:pPr>
        <w:pStyle w:val="Heading2"/>
        <w:spacing w:after="140" w:before="280"/>
      </w:pPr>
      <w:r>
        <w:rPr>
          <w:rFonts w:ascii="Calibri" w:cs="Calibri" w:eastAsia="Calibri" w:hAnsi="Calibri"/>
          <w:b/>
          <w:bCs/>
          <w:color w:val="1F3864"/>
          <w:sz w:val="28"/>
          <w:szCs w:val="28"/>
        </w:rPr>
        <w:t xml:space="preserve">43.4  Allocation of risk</w:t>
      </w:r>
    </w:p>
    <w:p>
      <w:pPr>
        <w:spacing w:after="120" w:before="0"/>
      </w:pPr>
      <w:r>
        <w:rPr>
          <w:rFonts w:ascii="Calibri" w:cs="Calibri" w:eastAsia="Calibri" w:hAnsi="Calibri"/>
          <w:color w:val="1A1A1A"/>
          <w:sz w:val="20"/>
          <w:szCs w:val="20"/>
        </w:rPr>
        <w:t xml:space="preserve">The Parties acknowledge that the limits in this Section reflect a deliberate allocation of risk consistent with the charges agreed and the scope of the engagement. Each Party has had the opportunity to obtain independent legal advice on this allocation.</w:t>
      </w:r>
    </w:p>
    <w:p>
      <w:pPr>
        <w:pStyle w:val="Heading1"/>
        <w:pageBreakBefore/>
        <w:spacing w:after="240" w:before="0"/>
      </w:pPr>
      <w:r>
        <w:rPr>
          <w:rFonts w:ascii="Calibri" w:cs="Calibri" w:eastAsia="Calibri" w:hAnsi="Calibri"/>
          <w:b/>
          <w:bCs/>
          <w:color w:val="1F3864"/>
          <w:sz w:val="36"/>
          <w:szCs w:val="36"/>
        </w:rPr>
        <w:t xml:space="preserve">44. Indemnification</w:t>
      </w:r>
    </w:p>
    <w:p>
      <w:pPr>
        <w:spacing w:after="120" w:before="0"/>
      </w:pPr>
      <w:r>
        <w:rPr>
          <w:rFonts w:ascii="Calibri" w:cs="Calibri" w:eastAsia="Calibri" w:hAnsi="Calibri"/>
          <w:color w:val="1A1A1A"/>
          <w:sz w:val="20"/>
          <w:szCs w:val="20"/>
        </w:rPr>
        <w:t xml:space="preserve">Each Party indemnifies the other against specified third-party claims as set out below. Indemnification is the indemnified Party’s sole remedy for the matters covered.</w:t>
      </w:r>
    </w:p>
    <w:p>
      <w:pPr>
        <w:pStyle w:val="Heading2"/>
        <w:spacing w:after="140" w:before="280"/>
      </w:pPr>
      <w:r>
        <w:rPr>
          <w:rFonts w:ascii="Calibri" w:cs="Calibri" w:eastAsia="Calibri" w:hAnsi="Calibri"/>
          <w:b/>
          <w:bCs/>
          <w:color w:val="1F3864"/>
          <w:sz w:val="28"/>
          <w:szCs w:val="28"/>
        </w:rPr>
        <w:t xml:space="preserve">44.1  Consultant indemnity — IP infringement</w:t>
      </w:r>
    </w:p>
    <w:p>
      <w:pPr>
        <w:spacing w:after="120" w:before="0"/>
      </w:pPr>
      <w:r>
        <w:rPr>
          <w:rFonts w:ascii="Calibri" w:cs="Calibri" w:eastAsia="Calibri" w:hAnsi="Calibri"/>
          <w:color w:val="1A1A1A"/>
          <w:sz w:val="20"/>
          <w:szCs w:val="20"/>
        </w:rPr>
        <w:t xml:space="preserve">The Consultant will defend the Client against any third-party claim that the deliverables produced under this SOW, when used by the Client as contemplated in this SOW, infringe the copyright, trademark, registered design, or trade secret of that third party in India, and will pay any damages and costs finally awarded against the Client by a court of competent jurisdiction (or paid in settlement approved by the Consultant). The Consultant’s obligation under this Section 44.1 is conditional on the Client (i) notifying the Consultant in writing within 10 business days of becoming aware of the claim; (ii) giving the Consultant sole control of the defence and any settlement; and (iii) providing reasonable cooperation.</w:t>
      </w:r>
    </w:p>
    <w:p>
      <w:pPr>
        <w:spacing w:after="120" w:before="0"/>
      </w:pPr>
      <w:r>
        <w:rPr>
          <w:rFonts w:ascii="Calibri" w:cs="Calibri" w:eastAsia="Calibri" w:hAnsi="Calibri"/>
          <w:color w:val="1A1A1A"/>
          <w:sz w:val="20"/>
          <w:szCs w:val="20"/>
        </w:rPr>
        <w:t xml:space="preserve">If a claim is made or, in the Consultant’s reasonable opinion, is likely to be made, the Consultant may, at its option: (a) procure the right for the Client to continue to use the deliverable; (b) replace or modify the deliverable to be non-infringing while preserving its functional equivalence; or (c) accept return of the deliverable and refund the corresponding portion of fees paid. The remedies in this Section 44.1 are the Client’s sole and exclusive remedies for any IP infringement claim.</w:t>
      </w:r>
    </w:p>
    <w:p>
      <w:pPr>
        <w:pStyle w:val="Heading2"/>
        <w:spacing w:after="140" w:before="280"/>
      </w:pPr>
      <w:r>
        <w:rPr>
          <w:rFonts w:ascii="Calibri" w:cs="Calibri" w:eastAsia="Calibri" w:hAnsi="Calibri"/>
          <w:b/>
          <w:bCs/>
          <w:color w:val="1F3864"/>
          <w:sz w:val="28"/>
          <w:szCs w:val="28"/>
        </w:rPr>
        <w:t xml:space="preserve">44.2  Consultant indemnity exclusions</w:t>
      </w:r>
    </w:p>
    <w:p>
      <w:pPr>
        <w:spacing w:after="120" w:before="0"/>
      </w:pPr>
      <w:r>
        <w:rPr>
          <w:rFonts w:ascii="Calibri" w:cs="Calibri" w:eastAsia="Calibri" w:hAnsi="Calibri"/>
          <w:color w:val="1A1A1A"/>
          <w:sz w:val="20"/>
          <w:szCs w:val="20"/>
        </w:rPr>
        <w:t xml:space="preserve">The Consultant has no obligation under Section 44.1 to the extent a claim arises from: (a) Client modification of the deliverable not authorised by the Consultant; (b) Client combination of the deliverable with software, data or processes not supplied by the Consultant where the claim would not have arisen but for the combination; (c) Client use outside the scope contemplated in this SOW; (d) Client failure to implement an updated, non-infringing version made available by the Consultant; or (e) materials, content, brand assets or templates supplied by the Client to the Consultant.</w:t>
      </w:r>
    </w:p>
    <w:p>
      <w:pPr>
        <w:pStyle w:val="Heading2"/>
        <w:spacing w:after="140" w:before="280"/>
      </w:pPr>
      <w:r>
        <w:rPr>
          <w:rFonts w:ascii="Calibri" w:cs="Calibri" w:eastAsia="Calibri" w:hAnsi="Calibri"/>
          <w:b/>
          <w:bCs/>
          <w:color w:val="1F3864"/>
          <w:sz w:val="28"/>
          <w:szCs w:val="28"/>
        </w:rPr>
        <w:t xml:space="preserve">44.3  Client indemnity</w:t>
      </w:r>
    </w:p>
    <w:p>
      <w:pPr>
        <w:spacing w:after="120" w:before="0"/>
      </w:pPr>
      <w:r>
        <w:rPr>
          <w:rFonts w:ascii="Calibri" w:cs="Calibri" w:eastAsia="Calibri" w:hAnsi="Calibri"/>
          <w:color w:val="1A1A1A"/>
          <w:sz w:val="20"/>
          <w:szCs w:val="20"/>
        </w:rPr>
        <w:t xml:space="preserve">The Client will defend the Consultant against any third-party claim arising from: (a) the Client’s misuse of the deliverables outside the scope contemplated in this SOW; (b) data, content, brand assets, customer lists or PII supplied by the Client to the Consultant being unlawful, infringing, or processed without lawful basis; (c) the Client’s breach of its obligations under DPDPA, IRDAI regulations or any other applicable law; or (d) the Client’s independent business decisions including selection of channel providers, registration of DLT entities, and decisions to dispatch any specific message. The same conditions and process as Section 44.1 apply, with roles reversed.</w:t>
      </w:r>
    </w:p>
    <w:p>
      <w:pPr>
        <w:pStyle w:val="Heading2"/>
        <w:spacing w:after="140" w:before="280"/>
      </w:pPr>
      <w:r>
        <w:rPr>
          <w:rFonts w:ascii="Calibri" w:cs="Calibri" w:eastAsia="Calibri" w:hAnsi="Calibri"/>
          <w:b/>
          <w:bCs/>
          <w:color w:val="1F3864"/>
          <w:sz w:val="28"/>
          <w:szCs w:val="28"/>
        </w:rPr>
        <w:t xml:space="preserve">44.4  Mutual indemnity — confidentiality</w:t>
      </w:r>
    </w:p>
    <w:p>
      <w:pPr>
        <w:spacing w:after="120" w:before="0"/>
      </w:pPr>
      <w:r>
        <w:rPr>
          <w:rFonts w:ascii="Calibri" w:cs="Calibri" w:eastAsia="Calibri" w:hAnsi="Calibri"/>
          <w:color w:val="1A1A1A"/>
          <w:sz w:val="20"/>
          <w:szCs w:val="20"/>
        </w:rPr>
        <w:t xml:space="preserve">Each Party indemnifies the other against direct losses arising from a breach of confidentiality obligations under Section 47 by the indemnifying Party or its personnel. Such losses are subject to Section 43.1 and are exceptions only to the extent stated in Section 43.3.</w:t>
      </w:r>
    </w:p>
    <w:p>
      <w:pPr>
        <w:pStyle w:val="Heading1"/>
        <w:pageBreakBefore/>
        <w:spacing w:after="240" w:before="0"/>
      </w:pPr>
      <w:r>
        <w:rPr>
          <w:rFonts w:ascii="Calibri" w:cs="Calibri" w:eastAsia="Calibri" w:hAnsi="Calibri"/>
          <w:b/>
          <w:bCs/>
          <w:color w:val="1F3864"/>
          <w:sz w:val="36"/>
          <w:szCs w:val="36"/>
        </w:rPr>
        <w:t xml:space="preserve">45. Insurance Requirements</w:t>
      </w:r>
    </w:p>
    <w:p>
      <w:pPr>
        <w:spacing w:after="120" w:before="0"/>
      </w:pPr>
      <w:r>
        <w:rPr>
          <w:rFonts w:ascii="Calibri" w:cs="Calibri" w:eastAsia="Calibri" w:hAnsi="Calibri"/>
          <w:color w:val="1A1A1A"/>
          <w:sz w:val="20"/>
          <w:szCs w:val="20"/>
        </w:rPr>
        <w:t xml:space="preserve">The Consultant agrees to maintain insurance cover commensurate with the scope and risk of the engagement. The Client has the right to request a current certificate of insurance from each policy at any time during the term.</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8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Cover</w:t>
            </w:r>
          </w:p>
        </w:tc>
        <w:tc>
          <w:tcPr>
            <w:tcW w:type="dxa" w:w="2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Minimum sum insured</w:t>
            </w:r>
          </w:p>
        </w:tc>
        <w:tc>
          <w:tcPr>
            <w:tcW w:type="dxa" w:w="3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Professional Indemnity (errors &amp; omissions)</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1,00,00,000 (1 Crore)</w:t>
            </w:r>
          </w:p>
        </w:tc>
        <w:tc>
          <w:tcPr>
            <w:tcW w:type="dxa" w:w="3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Aggregate per policy year; covering services delivered under this SOW</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Public Liability / Commercial General Liability</w:t>
            </w:r>
          </w:p>
        </w:tc>
        <w:tc>
          <w:tcPr>
            <w:tcW w:type="dxa" w:w="2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50,00,000 (50 Lakh)</w:t>
            </w:r>
          </w:p>
        </w:tc>
        <w:tc>
          <w:tcPr>
            <w:tcW w:type="dxa" w:w="3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 occurrence; covering on-site presence and equipment use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Cyber Liability (recommended, not mandatory in v1)</w:t>
            </w:r>
          </w:p>
        </w:tc>
        <w:tc>
          <w:tcPr>
            <w:tcW w:type="dxa" w:w="2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INR 50,00,000 (50 Lakh)</w:t>
            </w:r>
          </w:p>
        </w:tc>
        <w:tc>
          <w:tcPr>
            <w:tcW w:type="dxa" w:w="3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Where the Consultant handles Client PII at material volume</w:t>
            </w:r>
          </w:p>
        </w:tc>
      </w:tr>
    </w:tbl>
    <w:p>
      <w:pPr>
        <w:pStyle w:val="Heading2"/>
        <w:spacing w:after="140" w:before="280"/>
      </w:pPr>
      <w:r>
        <w:rPr>
          <w:rFonts w:ascii="Calibri" w:cs="Calibri" w:eastAsia="Calibri" w:hAnsi="Calibri"/>
          <w:b/>
          <w:bCs/>
          <w:color w:val="1F3864"/>
          <w:sz w:val="28"/>
          <w:szCs w:val="28"/>
        </w:rPr>
        <w:t xml:space="preserve">45.1  General terms</w:t>
      </w:r>
    </w:p>
    <w:p>
      <w:pPr>
        <w:pStyle w:val="ListParagraph"/>
        <w:numPr>
          <w:ilvl w:val="0"/>
          <w:numId w:val="2"/>
        </w:numPr>
        <w:spacing w:after="80"/>
      </w:pPr>
      <w:r>
        <w:rPr>
          <w:rFonts w:ascii="Calibri" w:cs="Calibri" w:eastAsia="Calibri" w:hAnsi="Calibri"/>
          <w:color w:val="1A1A1A"/>
          <w:sz w:val="20"/>
          <w:szCs w:val="20"/>
        </w:rPr>
        <w:t xml:space="preserve">Coverage to be maintained continuously through the term of this SOW and for 12 months thereafter (run-off / extended reporting).</w:t>
      </w:r>
    </w:p>
    <w:p>
      <w:pPr>
        <w:pStyle w:val="ListParagraph"/>
        <w:numPr>
          <w:ilvl w:val="0"/>
          <w:numId w:val="2"/>
        </w:numPr>
        <w:spacing w:after="80"/>
      </w:pPr>
      <w:r>
        <w:rPr>
          <w:rFonts w:ascii="Calibri" w:cs="Calibri" w:eastAsia="Calibri" w:hAnsi="Calibri"/>
          <w:color w:val="1A1A1A"/>
          <w:sz w:val="20"/>
          <w:szCs w:val="20"/>
        </w:rPr>
        <w:t xml:space="preserve">Consultant to notify Client within 10 business days of any change that materially reduces cover, lapse of policy, or claim made against any policy that may impact the Client.</w:t>
      </w:r>
    </w:p>
    <w:p>
      <w:pPr>
        <w:pStyle w:val="ListParagraph"/>
        <w:numPr>
          <w:ilvl w:val="0"/>
          <w:numId w:val="2"/>
        </w:numPr>
        <w:spacing w:after="80"/>
      </w:pPr>
      <w:r>
        <w:rPr>
          <w:rFonts w:ascii="Calibri" w:cs="Calibri" w:eastAsia="Calibri" w:hAnsi="Calibri"/>
          <w:color w:val="1A1A1A"/>
          <w:sz w:val="20"/>
          <w:szCs w:val="20"/>
        </w:rPr>
        <w:t xml:space="preserve">Insurance does not cap, reduce or substitute for any liability under this SOW; it is additional to any contractual remedy.</w:t>
      </w:r>
    </w:p>
    <w:p>
      <w:pPr>
        <w:pStyle w:val="ListParagraph"/>
        <w:numPr>
          <w:ilvl w:val="0"/>
          <w:numId w:val="2"/>
        </w:numPr>
        <w:spacing w:after="80"/>
      </w:pPr>
      <w:r>
        <w:rPr>
          <w:rFonts w:ascii="Calibri" w:cs="Calibri" w:eastAsia="Calibri" w:hAnsi="Calibri"/>
          <w:color w:val="1A1A1A"/>
          <w:sz w:val="20"/>
          <w:szCs w:val="20"/>
        </w:rPr>
        <w:t xml:space="preserve">Where the Consultant operates as an individual rather than an entity, the Parties may at signing agree to substitute insurance with a higher liability cap under Section 43.1, by mutual written agreement on the schedule of definitions.</w:t>
      </w:r>
    </w:p>
    <w:p>
      <w:pPr>
        <w:pStyle w:val="Heading1"/>
        <w:pageBreakBefore/>
        <w:spacing w:after="240" w:before="0"/>
      </w:pPr>
      <w:r>
        <w:rPr>
          <w:rFonts w:ascii="Calibri" w:cs="Calibri" w:eastAsia="Calibri" w:hAnsi="Calibri"/>
          <w:b/>
          <w:bCs/>
          <w:color w:val="1F3864"/>
          <w:sz w:val="36"/>
          <w:szCs w:val="36"/>
        </w:rPr>
        <w:t xml:space="preserve">46. Term, Renewal &amp; Termination</w:t>
      </w:r>
    </w:p>
    <w:p>
      <w:pPr>
        <w:pStyle w:val="Heading2"/>
        <w:spacing w:after="140" w:before="280"/>
      </w:pPr>
      <w:r>
        <w:rPr>
          <w:rFonts w:ascii="Calibri" w:cs="Calibri" w:eastAsia="Calibri" w:hAnsi="Calibri"/>
          <w:b/>
          <w:bCs/>
          <w:color w:val="1F3864"/>
          <w:sz w:val="28"/>
          <w:szCs w:val="28"/>
        </w:rPr>
        <w:t xml:space="preserve">46.1  Term</w:t>
      </w:r>
    </w:p>
    <w:p>
      <w:pPr>
        <w:spacing w:after="120" w:before="0"/>
      </w:pPr>
      <w:r>
        <w:rPr>
          <w:rFonts w:ascii="Calibri" w:cs="Calibri" w:eastAsia="Calibri" w:hAnsi="Calibri"/>
          <w:color w:val="1A1A1A"/>
          <w:sz w:val="20"/>
          <w:szCs w:val="20"/>
        </w:rPr>
        <w:t xml:space="preserve">This SOW takes effect on the Effective Date stated in Section 1 and continues until the later of: (a) acceptance of all in-scope deliverables under Section 24; and (b) the end of the post-implementation support window under Section 37 (12 calendar months from P4 acceptance), unless terminated earlier under this Section.</w:t>
      </w:r>
    </w:p>
    <w:p>
      <w:pPr>
        <w:pStyle w:val="Heading2"/>
        <w:spacing w:after="140" w:before="280"/>
      </w:pPr>
      <w:r>
        <w:rPr>
          <w:rFonts w:ascii="Calibri" w:cs="Calibri" w:eastAsia="Calibri" w:hAnsi="Calibri"/>
          <w:b/>
          <w:bCs/>
          <w:color w:val="1F3864"/>
          <w:sz w:val="28"/>
          <w:szCs w:val="28"/>
        </w:rPr>
        <w:t xml:space="preserve">46.2  Renewal</w:t>
      </w:r>
    </w:p>
    <w:p>
      <w:pPr>
        <w:spacing w:after="120" w:before="0"/>
      </w:pPr>
      <w:r>
        <w:rPr>
          <w:rFonts w:ascii="Calibri" w:cs="Calibri" w:eastAsia="Calibri" w:hAnsi="Calibri"/>
          <w:color w:val="1A1A1A"/>
          <w:sz w:val="20"/>
          <w:szCs w:val="20"/>
        </w:rPr>
        <w:t xml:space="preserve">This SOW does not auto-renew. Continuation of services beyond the Term — including additional phases, new audiences, new channels, ongoing managed services, or further support — requires either an executed Change Order (Section 41) or a new Statement of Work referencing the master engagement.</w:t>
      </w:r>
    </w:p>
    <w:p>
      <w:pPr>
        <w:pStyle w:val="Heading2"/>
        <w:spacing w:after="140" w:before="280"/>
      </w:pPr>
      <w:r>
        <w:rPr>
          <w:rFonts w:ascii="Calibri" w:cs="Calibri" w:eastAsia="Calibri" w:hAnsi="Calibri"/>
          <w:b/>
          <w:bCs/>
          <w:color w:val="1F3864"/>
          <w:sz w:val="28"/>
          <w:szCs w:val="28"/>
        </w:rPr>
        <w:t xml:space="preserve">46.3  Termination for convenience</w:t>
      </w:r>
    </w:p>
    <w:p>
      <w:pPr>
        <w:spacing w:after="120" w:before="0"/>
      </w:pPr>
      <w:r>
        <w:rPr>
          <w:rFonts w:ascii="Calibri" w:cs="Calibri" w:eastAsia="Calibri" w:hAnsi="Calibri"/>
          <w:color w:val="1A1A1A"/>
          <w:sz w:val="20"/>
          <w:szCs w:val="20"/>
        </w:rPr>
        <w:t xml:space="preserve">Either Party may terminate this SOW for convenience by providing 30 calendar days’ written notice to the other Party. On termination for convenience: (a) the Consultant ceases work in an orderly manner; (b) the Client pays for all consultant-days delivered up to the effective termination date plus any committed third-party costs the Consultant cannot mitigate; (c) any work-in-progress deliverables are handed over in their then-current state; and (d) the mobilisation advance is reconciled against work delivered, with any surplus refunded within 30 days.</w:t>
      </w:r>
    </w:p>
    <w:p>
      <w:pPr>
        <w:pStyle w:val="Heading2"/>
        <w:spacing w:after="140" w:before="280"/>
      </w:pPr>
      <w:r>
        <w:rPr>
          <w:rFonts w:ascii="Calibri" w:cs="Calibri" w:eastAsia="Calibri" w:hAnsi="Calibri"/>
          <w:b/>
          <w:bCs/>
          <w:color w:val="1F3864"/>
          <w:sz w:val="28"/>
          <w:szCs w:val="28"/>
        </w:rPr>
        <w:t xml:space="preserve">46.4  Termination for material breach</w:t>
      </w:r>
    </w:p>
    <w:p>
      <w:pPr>
        <w:spacing w:after="120" w:before="0"/>
      </w:pPr>
      <w:r>
        <w:rPr>
          <w:rFonts w:ascii="Calibri" w:cs="Calibri" w:eastAsia="Calibri" w:hAnsi="Calibri"/>
          <w:color w:val="1A1A1A"/>
          <w:sz w:val="20"/>
          <w:szCs w:val="20"/>
        </w:rPr>
        <w:t xml:space="preserve">Either Party may terminate this SOW for material breach if the other Party: (a) commits a material breach of this SOW capable of remedy and fails to remedy that breach within 15 calendar days of receiving written notice specifying the breach; (b) commits a material breach not capable of remedy; or (c) becomes insolvent, enters into liquidation (other than for solvent reconstruction), has a receiver appointed, files for protection from creditors, or ceases or threatens to cease carrying on business.</w:t>
      </w:r>
    </w:p>
    <w:p>
      <w:pPr>
        <w:spacing w:after="120" w:before="0"/>
      </w:pPr>
      <w:r>
        <w:rPr>
          <w:rFonts w:ascii="Calibri" w:cs="Calibri" w:eastAsia="Calibri" w:hAnsi="Calibri"/>
          <w:color w:val="1A1A1A"/>
          <w:sz w:val="20"/>
          <w:szCs w:val="20"/>
        </w:rPr>
        <w:t xml:space="preserve">“Material breach” includes, without limitation: persistent failure to meet phase acceptance criteria after rework cycles permitted under Section 24.3; non-payment of an undisputed invoice for more than 60 calendar days past due; breach of confidentiality obligations under Section 47; breach of data-protection obligations under Section 48; and any conduct by either Party’s personnel that creates a material regulatory or reputational risk to the other Party.</w:t>
      </w:r>
    </w:p>
    <w:p>
      <w:pPr>
        <w:pStyle w:val="Heading2"/>
        <w:spacing w:after="140" w:before="280"/>
      </w:pPr>
      <w:r>
        <w:rPr>
          <w:rFonts w:ascii="Calibri" w:cs="Calibri" w:eastAsia="Calibri" w:hAnsi="Calibri"/>
          <w:b/>
          <w:bCs/>
          <w:color w:val="1F3864"/>
          <w:sz w:val="28"/>
          <w:szCs w:val="28"/>
        </w:rPr>
        <w:t xml:space="preserve">46.5  Effects of termination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Effect</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Description</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Charges accrued</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pays Consultant for all services delivered up to the effective termination date, including any phase milestone where acceptance criteria have substantially been met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Hand-over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provides reasonable hand-over of in-progress work; final hand-over invoice may include up to 2 days of effort at the rate card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property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returns or destroys Client confidential information per Section 47.5</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Repository ownership</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Repository ownership transfers to Client (where not already vested) as soon as accrued and disputed amounts are settled</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Survival</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Sections 1, 2, 24 (for accrued acceptance), 38–41 (for accrued payments), 42–51 survive termination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relief from accrued obligations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Termination does not relieve either Party of any obligation accrued before the effective date</w:t>
            </w:r>
          </w:p>
        </w:tc>
      </w:tr>
    </w:tbl>
    <w:p>
      <w:pPr>
        <w:pStyle w:val="Heading1"/>
        <w:pageBreakBefore/>
        <w:spacing w:after="240" w:before="0"/>
      </w:pPr>
      <w:r>
        <w:rPr>
          <w:rFonts w:ascii="Calibri" w:cs="Calibri" w:eastAsia="Calibri" w:hAnsi="Calibri"/>
          <w:b/>
          <w:bCs/>
          <w:color w:val="1F3864"/>
          <w:sz w:val="36"/>
          <w:szCs w:val="36"/>
        </w:rPr>
        <w:t xml:space="preserve">47. Confidentiality, IP &amp; Data Ownership</w:t>
      </w:r>
    </w:p>
    <w:p>
      <w:pPr>
        <w:pStyle w:val="Heading2"/>
        <w:spacing w:after="140" w:before="280"/>
      </w:pPr>
      <w:r>
        <w:rPr>
          <w:rFonts w:ascii="Calibri" w:cs="Calibri" w:eastAsia="Calibri" w:hAnsi="Calibri"/>
          <w:b/>
          <w:bCs/>
          <w:color w:val="1F3864"/>
          <w:sz w:val="28"/>
          <w:szCs w:val="28"/>
        </w:rPr>
        <w:t xml:space="preserve">47.1  Confidential information</w:t>
      </w:r>
    </w:p>
    <w:p>
      <w:pPr>
        <w:spacing w:after="120" w:before="0"/>
      </w:pPr>
      <w:r>
        <w:rPr>
          <w:rFonts w:ascii="Calibri" w:cs="Calibri" w:eastAsia="Calibri" w:hAnsi="Calibri"/>
          <w:color w:val="1A1A1A"/>
          <w:sz w:val="20"/>
          <w:szCs w:val="20"/>
        </w:rPr>
        <w:t xml:space="preserve">“Confidential Information” means any non-public information disclosed by one Party to the other in connection with this SOW, in any form, that is identified as confidential or that a reasonable person would understand to be confidential. It includes Client business plans, customer data, operational metrics, partner relationships, internal documents, and the Consultant’s methodologies, prompt suites, skill code, and pricing.</w:t>
      </w:r>
    </w:p>
    <w:p>
      <w:pPr>
        <w:pStyle w:val="Heading2"/>
        <w:spacing w:after="140" w:before="280"/>
      </w:pPr>
      <w:r>
        <w:rPr>
          <w:rFonts w:ascii="Calibri" w:cs="Calibri" w:eastAsia="Calibri" w:hAnsi="Calibri"/>
          <w:b/>
          <w:bCs/>
          <w:color w:val="1F3864"/>
          <w:sz w:val="28"/>
          <w:szCs w:val="28"/>
        </w:rPr>
        <w:t xml:space="preserve">47.2  Obligations</w:t>
      </w:r>
    </w:p>
    <w:p>
      <w:pPr>
        <w:pStyle w:val="ListParagraph"/>
        <w:numPr>
          <w:ilvl w:val="0"/>
          <w:numId w:val="2"/>
        </w:numPr>
        <w:spacing w:after="80"/>
      </w:pPr>
      <w:r>
        <w:rPr>
          <w:rFonts w:ascii="Calibri" w:cs="Calibri" w:eastAsia="Calibri" w:hAnsi="Calibri"/>
          <w:color w:val="1A1A1A"/>
          <w:sz w:val="20"/>
          <w:szCs w:val="20"/>
        </w:rPr>
        <w:t xml:space="preserve">Each Party will hold the other’s Confidential Information in strict confidence; will use it only for the purpose of performing this SOW; and will protect it with at least the same degree of care it uses for its own confidential information of like importance, and in any event no less than reasonable care.</w:t>
      </w:r>
    </w:p>
    <w:p>
      <w:pPr>
        <w:pStyle w:val="ListParagraph"/>
        <w:numPr>
          <w:ilvl w:val="0"/>
          <w:numId w:val="2"/>
        </w:numPr>
        <w:spacing w:after="80"/>
      </w:pPr>
      <w:r>
        <w:rPr>
          <w:rFonts w:ascii="Calibri" w:cs="Calibri" w:eastAsia="Calibri" w:hAnsi="Calibri"/>
          <w:color w:val="1A1A1A"/>
          <w:sz w:val="20"/>
          <w:szCs w:val="20"/>
        </w:rPr>
        <w:t xml:space="preserve">Disclosure is permitted only to the receiving Party’s personnel, advisers and subcontractors who have a need to know, who are bound by written confidentiality obligations no less protective than this Section, and for whose acts and omissions the receiving Party remains responsible.</w:t>
      </w:r>
    </w:p>
    <w:p>
      <w:pPr>
        <w:pStyle w:val="ListParagraph"/>
        <w:numPr>
          <w:ilvl w:val="0"/>
          <w:numId w:val="2"/>
        </w:numPr>
        <w:spacing w:after="80"/>
      </w:pPr>
      <w:r>
        <w:rPr>
          <w:rFonts w:ascii="Calibri" w:cs="Calibri" w:eastAsia="Calibri" w:hAnsi="Calibri"/>
          <w:color w:val="1A1A1A"/>
          <w:sz w:val="20"/>
          <w:szCs w:val="20"/>
        </w:rPr>
        <w:t xml:space="preserve">Confidential Information does not include information that: (a) is or becomes publicly known other than through a breach of this Section; (b) was known to the receiving Party before disclosure without obligation of confidence; (c) is independently developed by the receiving Party without use of the other’s Confidential Information; or (d) is received from a third party without obligation of confidence and without breach of any duty owed to the disclosing Party.</w:t>
      </w:r>
    </w:p>
    <w:p>
      <w:pPr>
        <w:pStyle w:val="ListParagraph"/>
        <w:numPr>
          <w:ilvl w:val="0"/>
          <w:numId w:val="2"/>
        </w:numPr>
        <w:spacing w:after="80"/>
      </w:pPr>
      <w:r>
        <w:rPr>
          <w:rFonts w:ascii="Calibri" w:cs="Calibri" w:eastAsia="Calibri" w:hAnsi="Calibri"/>
          <w:color w:val="1A1A1A"/>
          <w:sz w:val="20"/>
          <w:szCs w:val="20"/>
        </w:rPr>
        <w:t xml:space="preserve">If the receiving Party is compelled by law, court order or regulator to disclose Confidential Information, it will (where lawful) notify the disclosing Party in advance and disclose only the minimum necessary.</w:t>
      </w:r>
    </w:p>
    <w:p>
      <w:pPr>
        <w:pStyle w:val="Heading2"/>
        <w:spacing w:after="140" w:before="280"/>
      </w:pPr>
      <w:r>
        <w:rPr>
          <w:rFonts w:ascii="Calibri" w:cs="Calibri" w:eastAsia="Calibri" w:hAnsi="Calibri"/>
          <w:b/>
          <w:bCs/>
          <w:color w:val="1F3864"/>
          <w:sz w:val="28"/>
          <w:szCs w:val="28"/>
        </w:rPr>
        <w:t xml:space="preserve">47.3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Class</w:t>
            </w:r>
          </w:p>
        </w:tc>
        <w:tc>
          <w:tcPr>
            <w:tcW w:type="dxa" w:w="3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w:t>
            </w:r>
          </w:p>
        </w:tc>
        <w:tc>
          <w:tcPr>
            <w:tcW w:type="dxa" w:w="36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Handling</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High</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ph_name, phone, email, PAN, bank_last4</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Tokenised in templates; never logged raw; audit-masked</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 — Medium</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policy_no, premium_amount, due_date</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Encrypted at rest; least-privilege access</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trigger_id, template_id, status</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use; safe to log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confidential</w:t>
            </w:r>
          </w:p>
        </w:tc>
        <w:tc>
          <w:tcPr>
            <w:tcW w:type="dxa" w:w="3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Disclaimer texts, brand-voice rules</w:t>
            </w:r>
          </w:p>
        </w:tc>
        <w:tc>
          <w:tcPr>
            <w:tcW w:type="dxa" w:w="36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Internal-only; no external sharing</w:t>
            </w:r>
          </w:p>
        </w:tc>
      </w:tr>
      <w:tr>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proprietary</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Skill code, methodologies, prompt suites</w:t>
            </w:r>
          </w:p>
        </w:tc>
        <w:tc>
          <w:tcPr>
            <w:tcW w:type="dxa" w:w="36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retains; licensed to Client per 47.4</w:t>
            </w:r>
          </w:p>
        </w:tc>
      </w:tr>
    </w:tbl>
    <w:p>
      <w:pPr>
        <w:pStyle w:val="Heading2"/>
        <w:spacing w:after="140" w:before="280"/>
      </w:pPr>
      <w:r>
        <w:rPr>
          <w:rFonts w:ascii="Calibri" w:cs="Calibri" w:eastAsia="Calibri" w:hAnsi="Calibri"/>
          <w:b/>
          <w:bCs/>
          <w:color w:val="1F3864"/>
          <w:sz w:val="28"/>
          <w:szCs w:val="28"/>
        </w:rPr>
        <w:t xml:space="preserve">47.4  Intellectual property</w:t>
      </w:r>
    </w:p>
    <w:p>
      <w:pPr>
        <w:spacing w:after="120" w:before="0"/>
      </w:pPr>
      <w:r>
        <w:rPr>
          <w:rFonts w:ascii="Calibri" w:cs="Calibri" w:eastAsia="Calibri" w:hAnsi="Calibri"/>
          <w:color w:val="1A1A1A"/>
          <w:sz w:val="20"/>
          <w:szCs w:val="20"/>
        </w:rPr>
        <w:t xml:space="preserve">Subject to full payment of the charges due under Part XI, all rights, title and interest in the deliverables specifically created for the Client under this SOW (including the Client-specific trigger catalogue, templates, compliance-rule definitions tailored to Client regimes, and Client-specific runbooks and documentation) vest in the Client on acceptance under Section 24.</w:t>
      </w:r>
    </w:p>
    <w:p>
      <w:pPr>
        <w:spacing w:after="120" w:before="0"/>
      </w:pPr>
      <w:r>
        <w:rPr>
          <w:rFonts w:ascii="Calibri" w:cs="Calibri" w:eastAsia="Calibri" w:hAnsi="Calibri"/>
          <w:color w:val="1A1A1A"/>
          <w:sz w:val="20"/>
          <w:szCs w:val="20"/>
        </w:rPr>
        <w:t xml:space="preserve">The Consultant retains all rights, title and interest in: (a) generic methodologies, frameworks, prompt patterns, skill scaffolds, slash-command structures, lint engines and authoring tools that are not Client-specific and that the Consultant brings to the engagement or develops independently of Client confidential information; (b) generic best-practice content that is not specific to TPE’s business; and (c) skills, knowledge, and experience gained during the engagement. The Consultant grants the Client a perpetual, irrevocable, royalty-free, worldwide, non-exclusive licence to use, reproduce, modify and create derivative works of items in (a) and (b) to the extent embedded in the Client deliverables.</w:t>
      </w:r>
    </w:p>
    <w:p>
      <w:pPr>
        <w:spacing w:after="120" w:before="0"/>
      </w:pPr>
      <w:r>
        <w:rPr>
          <w:rFonts w:ascii="Calibri" w:cs="Calibri" w:eastAsia="Calibri" w:hAnsi="Calibri"/>
          <w:color w:val="1A1A1A"/>
          <w:sz w:val="20"/>
          <w:szCs w:val="20"/>
        </w:rPr>
        <w:t xml:space="preserve">Open-source components incorporated in any deliverable are governed by their applicable licences. The Consultant identifies material open-source components in the runbook (Section 23 deliverables) and will not knowingly incorporate copyleft-licensed components that would impose additional obligations on the Client deliverables without prior written approval.</w:t>
      </w:r>
    </w:p>
    <w:p>
      <w:pPr>
        <w:pStyle w:val="Heading2"/>
        <w:spacing w:after="140" w:before="280"/>
      </w:pPr>
      <w:r>
        <w:rPr>
          <w:rFonts w:ascii="Calibri" w:cs="Calibri" w:eastAsia="Calibri" w:hAnsi="Calibri"/>
          <w:b/>
          <w:bCs/>
          <w:color w:val="1F3864"/>
          <w:sz w:val="28"/>
          <w:szCs w:val="28"/>
        </w:rPr>
        <w:t xml:space="preserve">47.5  Return or destruction</w:t>
      </w:r>
    </w:p>
    <w:p>
      <w:pPr>
        <w:spacing w:after="120" w:before="0"/>
      </w:pPr>
      <w:r>
        <w:rPr>
          <w:rFonts w:ascii="Calibri" w:cs="Calibri" w:eastAsia="Calibri" w:hAnsi="Calibri"/>
          <w:color w:val="1A1A1A"/>
          <w:sz w:val="20"/>
          <w:szCs w:val="20"/>
        </w:rPr>
        <w:t xml:space="preserve">On termination of this SOW or on the disclosing Party’s written request, the receiving Party will, within 30 calendar days, return or destroy (at the disclosing Party’s option) all Confidential Information of the disclosing Party in the receiving Party’s possession or control, and certify the same in writing. The receiving Party may retain copies required by law, by professional standards, or for archival purposes only — such retained copies remain subject to the confidentiality obligations of this Section.</w:t>
      </w:r>
    </w:p>
    <w:p>
      <w:pPr>
        <w:pStyle w:val="Heading2"/>
        <w:spacing w:after="140" w:before="280"/>
      </w:pPr>
      <w:r>
        <w:rPr>
          <w:rFonts w:ascii="Calibri" w:cs="Calibri" w:eastAsia="Calibri" w:hAnsi="Calibri"/>
          <w:b/>
          <w:bCs/>
          <w:color w:val="1F3864"/>
          <w:sz w:val="28"/>
          <w:szCs w:val="28"/>
        </w:rPr>
        <w:t xml:space="preserve">47.6  Duration</w:t>
      </w:r>
    </w:p>
    <w:p>
      <w:pPr>
        <w:spacing w:after="120" w:before="0"/>
      </w:pPr>
      <w:r>
        <w:rPr>
          <w:rFonts w:ascii="Calibri" w:cs="Calibri" w:eastAsia="Calibri" w:hAnsi="Calibri"/>
          <w:color w:val="1A1A1A"/>
          <w:sz w:val="20"/>
          <w:szCs w:val="20"/>
        </w:rPr>
        <w:t xml:space="preserve">Confidentiality obligations under this Section survive termination of this SOW for: (a) 5 years from termination, in respect of general business and operational information; (b) indefinitely, in respect of trade secrets and personal data; and (c) the period required by law, in respect of regulated information.</w:t>
      </w:r>
    </w:p>
    <w:p>
      <w:pPr>
        <w:pStyle w:val="Heading1"/>
        <w:pageBreakBefore/>
        <w:spacing w:after="240" w:before="0"/>
      </w:pPr>
      <w:r>
        <w:rPr>
          <w:rFonts w:ascii="Calibri" w:cs="Calibri" w:eastAsia="Calibri" w:hAnsi="Calibri"/>
          <w:b/>
          <w:bCs/>
          <w:color w:val="1F3864"/>
          <w:sz w:val="36"/>
          <w:szCs w:val="36"/>
        </w:rPr>
        <w:t xml:space="preserve">48. Data Protection (DPDPA) &amp; Data Processing Agreement</w:t>
      </w:r>
    </w:p>
    <w:p>
      <w:pPr>
        <w:spacing w:after="120" w:before="0"/>
      </w:pPr>
      <w:r>
        <w:rPr>
          <w:rFonts w:ascii="Calibri" w:cs="Calibri" w:eastAsia="Calibri" w:hAnsi="Calibri"/>
          <w:color w:val="1A1A1A"/>
          <w:sz w:val="20"/>
          <w:szCs w:val="20"/>
        </w:rPr>
        <w:t xml:space="preserve">To the extent the Consultant processes personal data on behalf of the Client in performing this SOW, the Parties’ respective obligations under the Digital Personal Data Protection Act, 2023 (DPDPA) are set out in a separate Data Processing Agreement (DPA) executed contemporaneously with, or before, this SOW. The DPA forms part of the contractual framework between the Parties; in case of conflict between this SOW and the DPA on data-protection matters, the DPA prevails.</w:t>
      </w:r>
    </w:p>
    <w:p>
      <w:pPr>
        <w:pStyle w:val="Heading2"/>
        <w:spacing w:after="140" w:before="280"/>
      </w:pPr>
      <w:r>
        <w:rPr>
          <w:rFonts w:ascii="Calibri" w:cs="Calibri" w:eastAsia="Calibri" w:hAnsi="Calibri"/>
          <w:b/>
          <w:bCs/>
          <w:color w:val="1F3864"/>
          <w:sz w:val="28"/>
          <w:szCs w:val="28"/>
        </w:rPr>
        <w:t xml:space="preserve">48.1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Data Fiduciary (Controller)</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Client, in respect of all personal data of policyholders, investors, partners, employees and other data principals processed in connection with the Client’s business</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Data Processor</w:t>
            </w:r>
          </w:p>
        </w:tc>
        <w:tc>
          <w:tcPr>
            <w:tcW w:type="dxa" w:w="7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Consultant, in respect of any personal data processed on behalf of the Client during this engagement</w:t>
            </w:r>
          </w:p>
        </w:tc>
      </w:tr>
      <w:tr>
        <w:tc>
          <w:tcPr>
            <w:tcW w:type="dxa" w:w="27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Sub-processors</w:t>
            </w:r>
          </w:p>
        </w:tc>
        <w:tc>
          <w:tcPr>
            <w:tcW w:type="dxa" w:w="7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Any third party engaged by the Consultant to process Client personal data; engagement requires Client prior written consent and equivalent data-protection obligations</w:t>
            </w:r>
          </w:p>
        </w:tc>
      </w:tr>
    </w:tbl>
    <w:p>
      <w:pPr>
        <w:pStyle w:val="Heading2"/>
        <w:spacing w:after="140" w:before="280"/>
      </w:pPr>
      <w:r>
        <w:rPr>
          <w:rFonts w:ascii="Calibri" w:cs="Calibri" w:eastAsia="Calibri" w:hAnsi="Calibri"/>
          <w:b/>
          <w:bCs/>
          <w:color w:val="1F3864"/>
          <w:sz w:val="28"/>
          <w:szCs w:val="28"/>
        </w:rPr>
        <w:t xml:space="preserve">48.2  Core obligations</w:t>
      </w:r>
    </w:p>
    <w:p>
      <w:pPr>
        <w:pStyle w:val="ListParagraph"/>
        <w:numPr>
          <w:ilvl w:val="0"/>
          <w:numId w:val="2"/>
        </w:numPr>
        <w:spacing w:after="80"/>
      </w:pPr>
      <w:r>
        <w:rPr>
          <w:rFonts w:ascii="Calibri" w:cs="Calibri" w:eastAsia="Calibri" w:hAnsi="Calibri"/>
          <w:color w:val="1A1A1A"/>
          <w:sz w:val="20"/>
          <w:szCs w:val="20"/>
        </w:rPr>
        <w:t xml:space="preserve">The Consultant processes Client personal data only on the documented instructions of the Client, including with regard to transfers outside India to the extent permitted by DPDPA.</w:t>
      </w:r>
    </w:p>
    <w:p>
      <w:pPr>
        <w:pStyle w:val="ListParagraph"/>
        <w:numPr>
          <w:ilvl w:val="0"/>
          <w:numId w:val="2"/>
        </w:numPr>
        <w:spacing w:after="80"/>
      </w:pPr>
      <w:r>
        <w:rPr>
          <w:rFonts w:ascii="Calibri" w:cs="Calibri" w:eastAsia="Calibri" w:hAnsi="Calibri"/>
          <w:color w:val="1A1A1A"/>
          <w:sz w:val="20"/>
          <w:szCs w:val="20"/>
        </w:rPr>
        <w:t xml:space="preserve">The Consultant ensures that personnel authorised to process Client personal data are bound by appropriate confidentiality obligations and have received reasonable data-protection training.</w:t>
      </w:r>
    </w:p>
    <w:p>
      <w:pPr>
        <w:pStyle w:val="ListParagraph"/>
        <w:numPr>
          <w:ilvl w:val="0"/>
          <w:numId w:val="2"/>
        </w:numPr>
        <w:spacing w:after="80"/>
      </w:pPr>
      <w:r>
        <w:rPr>
          <w:rFonts w:ascii="Calibri" w:cs="Calibri" w:eastAsia="Calibri" w:hAnsi="Calibri"/>
          <w:color w:val="1A1A1A"/>
          <w:sz w:val="20"/>
          <w:szCs w:val="20"/>
        </w:rPr>
        <w:t xml:space="preserve">The Consultant assists the Client, taking into account the nature of processing and the information available, in: (a) responding to data-principal requests under DPDPA; (b) ensuring security of processing; (c) notifying personal-data breaches; and (d) consulting the Data Protection Board of India where required.</w:t>
      </w:r>
    </w:p>
    <w:p>
      <w:pPr>
        <w:pStyle w:val="ListParagraph"/>
        <w:numPr>
          <w:ilvl w:val="0"/>
          <w:numId w:val="2"/>
        </w:numPr>
        <w:spacing w:after="80"/>
      </w:pPr>
      <w:r>
        <w:rPr>
          <w:rFonts w:ascii="Calibri" w:cs="Calibri" w:eastAsia="Calibri" w:hAnsi="Calibri"/>
          <w:color w:val="1A1A1A"/>
          <w:sz w:val="20"/>
          <w:szCs w:val="20"/>
        </w:rPr>
        <w:t xml:space="preserve">The Consultant notifies the Client without undue delay (and in any event within 24 hours) of becoming aware of any personal-data breach affecting Client personal data.</w:t>
      </w:r>
    </w:p>
    <w:p>
      <w:pPr>
        <w:pStyle w:val="ListParagraph"/>
        <w:numPr>
          <w:ilvl w:val="0"/>
          <w:numId w:val="2"/>
        </w:numPr>
        <w:spacing w:after="80"/>
      </w:pPr>
      <w:r>
        <w:rPr>
          <w:rFonts w:ascii="Calibri" w:cs="Calibri" w:eastAsia="Calibri" w:hAnsi="Calibri"/>
          <w:color w:val="1A1A1A"/>
          <w:sz w:val="20"/>
          <w:szCs w:val="20"/>
        </w:rPr>
        <w:t xml:space="preserve">On end of processing services, the Consultant deletes or returns all Client personal data, at the Client’s choice, save where retention is required by law.</w:t>
      </w:r>
    </w:p>
    <w:p>
      <w:pPr>
        <w:pStyle w:val="Heading2"/>
        <w:spacing w:after="140" w:before="280"/>
      </w:pPr>
      <w:r>
        <w:rPr>
          <w:rFonts w:ascii="Calibri" w:cs="Calibri" w:eastAsia="Calibri" w:hAnsi="Calibri"/>
          <w:b/>
          <w:bCs/>
          <w:color w:val="1F3864"/>
          <w:sz w:val="28"/>
          <w:szCs w:val="28"/>
        </w:rPr>
        <w:t xml:space="preserve">48.3  PII handling within this engagement</w:t>
      </w:r>
    </w:p>
    <w:p>
      <w:pPr>
        <w:spacing w:after="120" w:before="0"/>
      </w:pPr>
      <w:r>
        <w:rPr>
          <w:rFonts w:ascii="Calibri" w:cs="Calibri" w:eastAsia="Calibri" w:hAnsi="Calibri"/>
          <w:color w:val="1A1A1A"/>
          <w:sz w:val="20"/>
          <w:szCs w:val="20"/>
        </w:rPr>
        <w:t xml:space="preserve">In practice, this engagement does not require the Consultant to hold production PII at scale. Sample data used for design, render goldens and tests is tokenised PII (synthetic or anonymised) provided by the Client. Where genuine PII is exposed during pair-debugging or production-incident triage, it is handled per Section 20 (Security &amp; Privacy Framework) and is not retained beyond the immediate triage.</w:t>
      </w:r>
    </w:p>
    <w:p>
      <w:pPr>
        <w:pStyle w:val="Heading2"/>
        <w:spacing w:after="140" w:before="280"/>
      </w:pPr>
      <w:r>
        <w:rPr>
          <w:rFonts w:ascii="Calibri" w:cs="Calibri" w:eastAsia="Calibri" w:hAnsi="Calibri"/>
          <w:b/>
          <w:bCs/>
          <w:color w:val="1F3864"/>
          <w:sz w:val="28"/>
          <w:szCs w:val="28"/>
        </w:rPr>
        <w:t xml:space="preserve">48.4  Data residency</w:t>
      </w:r>
    </w:p>
    <w:p>
      <w:pPr>
        <w:spacing w:after="120" w:before="0"/>
      </w:pPr>
      <w:r>
        <w:rPr>
          <w:rFonts w:ascii="Calibri" w:cs="Calibri" w:eastAsia="Calibri" w:hAnsi="Calibri"/>
          <w:color w:val="1A1A1A"/>
          <w:sz w:val="20"/>
          <w:szCs w:val="20"/>
        </w:rPr>
        <w:t xml:space="preserve">The Novu deployment delivered under this SOW is self-hosted on Client-controlled infrastructure in India (AWS Mumbai region or equivalent). Personal data of policyholders, investors, partners, employees and other data principals processed by the system is resident within India in normal operation. Egress to channel-provider APIs (Gupshup, MSG91, Karix, Meta WhatsApp Cloud API via BSP) is limited to the message content, addressing data and DLT identifiers required for dispatch; bulk transfers of resident PII to such providers are not part of normal operation. Cross-border transfers, if any, occur only on documented Client instruction and only to the extent permitted by DPDPA.</w:t>
      </w:r>
    </w:p>
    <w:p>
      <w:pPr>
        <w:pStyle w:val="Heading1"/>
        <w:pageBreakBefore/>
        <w:spacing w:after="240" w:before="0"/>
      </w:pPr>
      <w:r>
        <w:rPr>
          <w:rFonts w:ascii="Calibri" w:cs="Calibri" w:eastAsia="Calibri" w:hAnsi="Calibri"/>
          <w:b/>
          <w:bCs/>
          <w:color w:val="1F3864"/>
          <w:sz w:val="36"/>
          <w:szCs w:val="36"/>
        </w:rPr>
        <w:t xml:space="preserve">49. Force Majeure</w:t>
      </w:r>
    </w:p>
    <w:p>
      <w:pPr>
        <w:spacing w:after="120" w:before="0"/>
      </w:pPr>
      <w:r>
        <w:rPr>
          <w:rFonts w:ascii="Calibri" w:cs="Calibri" w:eastAsia="Calibri" w:hAnsi="Calibri"/>
          <w:color w:val="1A1A1A"/>
          <w:sz w:val="20"/>
          <w:szCs w:val="20"/>
        </w:rPr>
        <w:t xml:space="preserve">Neither Party is liable for any delay or failure to perform any obligation under this SOW (other than the obligation to pay money due) where the delay or failure results from a Force Majeure Event, provided the affected Party (a) notifies the other Party promptly with details and expected impact; (b) takes reasonable steps to mitigate; and (c) resumes performance as soon as reasonably practicable.</w:t>
      </w:r>
    </w:p>
    <w:p>
      <w:pPr>
        <w:pStyle w:val="Heading2"/>
        <w:spacing w:after="140" w:before="280"/>
      </w:pPr>
      <w:r>
        <w:rPr>
          <w:rFonts w:ascii="Calibri" w:cs="Calibri" w:eastAsia="Calibri" w:hAnsi="Calibri"/>
          <w:b/>
          <w:bCs/>
          <w:color w:val="1F3864"/>
          <w:sz w:val="28"/>
          <w:szCs w:val="28"/>
        </w:rPr>
        <w:t xml:space="preserve">49.1  Force Majeure Events</w:t>
      </w:r>
    </w:p>
    <w:p>
      <w:pPr>
        <w:spacing w:after="120" w:before="0"/>
      </w:pPr>
      <w:r>
        <w:rPr>
          <w:rFonts w:ascii="Calibri" w:cs="Calibri" w:eastAsia="Calibri" w:hAnsi="Calibri"/>
          <w:color w:val="1A1A1A"/>
          <w:sz w:val="20"/>
          <w:szCs w:val="20"/>
        </w:rPr>
        <w:t xml:space="preserve">“Force Majeure Event” means any event beyond the reasonable control of the affected Party, including: acts of God; natural disasters (earthquake, flood, fire, cyclone); epidemics and pandemics, and public-health measures imposed in response; war, terrorism, civil unrest and acts of public enemies; acts or omissions of government, regulator, court or other competent authority including new laws or restrictions; failure or unavailability of public utilities (power, water) for a sustained period; nationwide strike or lockout not localised to one Party. The following are expressly not Force Majeure Events: (i) ordinary internet outages affecting an individual Party’s premises; (ii) the affected Party’s own internal labour disputes; (iii) inability to pay; (iv) failure of an affected Party’s subcontractor or supplier unless that failure itself qualifies as a Force Majeure Event.</w:t>
      </w:r>
    </w:p>
    <w:p>
      <w:pPr>
        <w:pStyle w:val="Heading2"/>
        <w:spacing w:after="140" w:before="280"/>
      </w:pPr>
      <w:r>
        <w:rPr>
          <w:rFonts w:ascii="Calibri" w:cs="Calibri" w:eastAsia="Calibri" w:hAnsi="Calibri"/>
          <w:b/>
          <w:bCs/>
          <w:color w:val="1F3864"/>
          <w:sz w:val="28"/>
          <w:szCs w:val="28"/>
        </w:rPr>
        <w:t xml:space="preserve">49.2  Termination for prolonged Force Majeure</w:t>
      </w:r>
    </w:p>
    <w:p>
      <w:pPr>
        <w:spacing w:after="120" w:before="0"/>
      </w:pPr>
      <w:r>
        <w:rPr>
          <w:rFonts w:ascii="Calibri" w:cs="Calibri" w:eastAsia="Calibri" w:hAnsi="Calibri"/>
          <w:color w:val="1A1A1A"/>
          <w:sz w:val="20"/>
          <w:szCs w:val="20"/>
        </w:rPr>
        <w:t xml:space="preserve">If a Force Majeure Event continues to prevent material performance for more than 30 consecutive calendar days, either Party may terminate this SOW by written notice with no liability beyond charges accrued to the date of the Event. Section 46.5 (Effects of termination) applies.</w:t>
      </w:r>
    </w:p>
    <w:p>
      <w:pPr>
        <w:pStyle w:val="Heading1"/>
        <w:pageBreakBefore/>
        <w:spacing w:after="240" w:before="0"/>
      </w:pPr>
      <w:r>
        <w:rPr>
          <w:rFonts w:ascii="Calibri" w:cs="Calibri" w:eastAsia="Calibri" w:hAnsi="Calibri"/>
          <w:b/>
          <w:bCs/>
          <w:color w:val="1F3864"/>
          <w:sz w:val="36"/>
          <w:szCs w:val="36"/>
        </w:rPr>
        <w:t xml:space="preserve">50. Governing Law &amp; Dispute Resolution</w:t>
      </w:r>
    </w:p>
    <w:p>
      <w:pPr>
        <w:pStyle w:val="Heading2"/>
        <w:spacing w:after="140" w:before="280"/>
      </w:pPr>
      <w:r>
        <w:rPr>
          <w:rFonts w:ascii="Calibri" w:cs="Calibri" w:eastAsia="Calibri" w:hAnsi="Calibri"/>
          <w:b/>
          <w:bCs/>
          <w:color w:val="1F3864"/>
          <w:sz w:val="28"/>
          <w:szCs w:val="28"/>
        </w:rPr>
        <w:t xml:space="preserve">50.1  Governing law</w:t>
      </w:r>
    </w:p>
    <w:p>
      <w:pPr>
        <w:spacing w:after="120" w:before="0"/>
      </w:pPr>
      <w:r>
        <w:rPr>
          <w:rFonts w:ascii="Calibri" w:cs="Calibri" w:eastAsia="Calibri" w:hAnsi="Calibri"/>
          <w:color w:val="1A1A1A"/>
          <w:sz w:val="20"/>
          <w:szCs w:val="20"/>
        </w:rPr>
        <w:t xml:space="preserve">This SOW, and any non-contractual obligation arising in connection with it, is governed by and construed in accordance with the laws of the Republic of India, without giving effect to any conflict-of-laws principles that would result in the application of the laws of another jurisdiction.</w:t>
      </w:r>
    </w:p>
    <w:p>
      <w:pPr>
        <w:pStyle w:val="Heading2"/>
        <w:spacing w:after="140" w:before="280"/>
      </w:pPr>
      <w:r>
        <w:rPr>
          <w:rFonts w:ascii="Calibri" w:cs="Calibri" w:eastAsia="Calibri" w:hAnsi="Calibri"/>
          <w:b/>
          <w:bCs/>
          <w:color w:val="1F3864"/>
          <w:sz w:val="28"/>
          <w:szCs w:val="28"/>
        </w:rPr>
        <w:t xml:space="preserve">50.2  Tier 1 — Negotiation</w:t>
      </w:r>
    </w:p>
    <w:p>
      <w:pPr>
        <w:spacing w:after="120" w:before="0"/>
      </w:pPr>
      <w:r>
        <w:rPr>
          <w:rFonts w:ascii="Calibri" w:cs="Calibri" w:eastAsia="Calibri" w:hAnsi="Calibri"/>
          <w:color w:val="1A1A1A"/>
          <w:sz w:val="20"/>
          <w:szCs w:val="20"/>
        </w:rPr>
        <w:t xml:space="preserve">The Parties will attempt in good faith to resolve any dispute arising out of or in connection with this SOW (“Dispute”) by negotiation between the Client Sponsor and the Consultant Engagement Lead. Either Party may initiate negotiation by written notice to the other identifying the Dispute. If the Dispute is not resolved within 30 calendar days of the notice, either Party may proceed to Tier 2.</w:t>
      </w:r>
    </w:p>
    <w:p>
      <w:pPr>
        <w:pStyle w:val="Heading2"/>
        <w:spacing w:after="140" w:before="280"/>
      </w:pPr>
      <w:r>
        <w:rPr>
          <w:rFonts w:ascii="Calibri" w:cs="Calibri" w:eastAsia="Calibri" w:hAnsi="Calibri"/>
          <w:b/>
          <w:bCs/>
          <w:color w:val="1F3864"/>
          <w:sz w:val="28"/>
          <w:szCs w:val="28"/>
        </w:rPr>
        <w:t xml:space="preserve">50.3  Tier 2 — Arbitration</w:t>
      </w:r>
    </w:p>
    <w:p>
      <w:pPr>
        <w:spacing w:after="120" w:before="0"/>
      </w:pPr>
      <w:r>
        <w:rPr>
          <w:rFonts w:ascii="Calibri" w:cs="Calibri" w:eastAsia="Calibri" w:hAnsi="Calibri"/>
          <w:color w:val="1A1A1A"/>
          <w:sz w:val="20"/>
          <w:szCs w:val="20"/>
        </w:rPr>
        <w:t xml:space="preserve">Any Dispute not resolved under Section 50.2 will be referred to and finally resolved by arbitration conducted under the Arbitration and Conciliation Act, 1996 (as amended), and the rules thereunder. The arbitration will be conducted by a sole arbitrator appointed by mutual agreement of the Parties; failing such agreement within 15 business days of the request for arbitration, the appointment will be made in accordance with the Act. The seat and venue of arbitration is New Delhi, India. The language of arbitration is English. The award is final and binding on the Parties.</w:t>
      </w:r>
    </w:p>
    <w:p>
      <w:pPr>
        <w:pStyle w:val="Heading2"/>
        <w:spacing w:after="140" w:before="280"/>
      </w:pPr>
      <w:r>
        <w:rPr>
          <w:rFonts w:ascii="Calibri" w:cs="Calibri" w:eastAsia="Calibri" w:hAnsi="Calibri"/>
          <w:b/>
          <w:bCs/>
          <w:color w:val="1F3864"/>
          <w:sz w:val="28"/>
          <w:szCs w:val="28"/>
        </w:rPr>
        <w:t xml:space="preserve">50.4  Jurisdiction</w:t>
      </w:r>
    </w:p>
    <w:p>
      <w:pPr>
        <w:spacing w:after="120" w:before="0"/>
      </w:pPr>
      <w:r>
        <w:rPr>
          <w:rFonts w:ascii="Calibri" w:cs="Calibri" w:eastAsia="Calibri" w:hAnsi="Calibri"/>
          <w:color w:val="1A1A1A"/>
          <w:sz w:val="20"/>
          <w:szCs w:val="20"/>
        </w:rPr>
        <w:t xml:space="preserve">Subject to Section 50.3, the courts at New Delhi have exclusive jurisdiction in respect of any matter not required to be submitted to arbitration, including applications for interim relief and enforcement of an arbitral award.</w:t>
      </w:r>
    </w:p>
    <w:p>
      <w:pPr>
        <w:pStyle w:val="Heading2"/>
        <w:spacing w:after="140" w:before="280"/>
      </w:pPr>
      <w:r>
        <w:rPr>
          <w:rFonts w:ascii="Calibri" w:cs="Calibri" w:eastAsia="Calibri" w:hAnsi="Calibri"/>
          <w:b/>
          <w:bCs/>
          <w:color w:val="1F3864"/>
          <w:sz w:val="28"/>
          <w:szCs w:val="28"/>
        </w:rPr>
        <w:t xml:space="preserve">50.5  Continued performance</w:t>
      </w:r>
    </w:p>
    <w:p>
      <w:pPr>
        <w:spacing w:after="120" w:before="0"/>
      </w:pPr>
      <w:r>
        <w:rPr>
          <w:rFonts w:ascii="Calibri" w:cs="Calibri" w:eastAsia="Calibri" w:hAnsi="Calibri"/>
          <w:color w:val="1A1A1A"/>
          <w:sz w:val="20"/>
          <w:szCs w:val="20"/>
        </w:rPr>
        <w:t xml:space="preserve">During the pendency of any Dispute, both Parties continue to perform their obligations under this SOW (other than the disputed obligations) and the Client continues to pay all undisputed amounts when due.</w:t>
      </w:r>
    </w:p>
    <w:p>
      <w:pPr>
        <w:pStyle w:val="Heading2"/>
        <w:spacing w:after="140" w:before="280"/>
      </w:pPr>
      <w:r>
        <w:rPr>
          <w:rFonts w:ascii="Calibri" w:cs="Calibri" w:eastAsia="Calibri" w:hAnsi="Calibri"/>
          <w:b/>
          <w:bCs/>
          <w:color w:val="1F3864"/>
          <w:sz w:val="28"/>
          <w:szCs w:val="28"/>
        </w:rPr>
        <w:t xml:space="preserve">50.6  Equitable relief</w:t>
      </w:r>
    </w:p>
    <w:p>
      <w:pPr>
        <w:spacing w:after="120" w:before="0"/>
      </w:pPr>
      <w:r>
        <w:rPr>
          <w:rFonts w:ascii="Calibri" w:cs="Calibri" w:eastAsia="Calibri" w:hAnsi="Calibri"/>
          <w:color w:val="1A1A1A"/>
          <w:sz w:val="20"/>
          <w:szCs w:val="20"/>
        </w:rPr>
        <w:t xml:space="preserve">Notwithstanding Sections 50.2 and 50.3, either Party may at any time apply to a court of competent jurisdiction for interim or injunctive relief to protect its confidential information, intellectual property, or to enforce payment obligations, without first exhausting the negotiation and arbitration tiers.</w:t>
      </w:r>
    </w:p>
    <w:p>
      <w:pPr>
        <w:pStyle w:val="Heading1"/>
        <w:pageBreakBefore/>
        <w:spacing w:after="240" w:before="0"/>
      </w:pPr>
      <w:r>
        <w:rPr>
          <w:rFonts w:ascii="Calibri" w:cs="Calibri" w:eastAsia="Calibri" w:hAnsi="Calibri"/>
          <w:b/>
          <w:bCs/>
          <w:color w:val="1F3864"/>
          <w:sz w:val="36"/>
          <w:szCs w:val="36"/>
        </w:rPr>
        <w:t xml:space="preserve">51. General Provisions</w:t>
      </w:r>
    </w:p>
    <w:p>
      <w:pPr>
        <w:pStyle w:val="Heading2"/>
        <w:spacing w:after="140" w:before="280"/>
      </w:pPr>
      <w:r>
        <w:rPr>
          <w:rFonts w:ascii="Calibri" w:cs="Calibri" w:eastAsia="Calibri" w:hAnsi="Calibri"/>
          <w:b/>
          <w:bCs/>
          <w:color w:val="1F3864"/>
          <w:sz w:val="28"/>
          <w:szCs w:val="28"/>
        </w:rPr>
        <w:t xml:space="preserve">51.1  Independent contractor</w:t>
      </w:r>
    </w:p>
    <w:p>
      <w:pPr>
        <w:spacing w:after="120" w:before="0"/>
      </w:pPr>
      <w:r>
        <w:rPr>
          <w:rFonts w:ascii="Calibri" w:cs="Calibri" w:eastAsia="Calibri" w:hAnsi="Calibri"/>
          <w:color w:val="1A1A1A"/>
          <w:sz w:val="20"/>
          <w:szCs w:val="20"/>
        </w:rPr>
        <w:t xml:space="preserve">The Consultant is engaged as an independent contractor. Nothing in this SOW creates a partnership, joint venture, agency, employer-employee, or fiduciary relationship between the Parties. Neither Party has authority to bind the other or to incur any obligation on behalf of the other except as expressly stated in this SOW. The Consultant is solely responsible for any income tax, professional tax, social-security or other statutory contributions arising from the charges payable under this SOW.</w:t>
      </w:r>
    </w:p>
    <w:p>
      <w:pPr>
        <w:pStyle w:val="Heading2"/>
        <w:spacing w:after="140" w:before="280"/>
      </w:pPr>
      <w:r>
        <w:rPr>
          <w:rFonts w:ascii="Calibri" w:cs="Calibri" w:eastAsia="Calibri" w:hAnsi="Calibri"/>
          <w:b/>
          <w:bCs/>
          <w:color w:val="1F3864"/>
          <w:sz w:val="28"/>
          <w:szCs w:val="28"/>
        </w:rPr>
        <w:t xml:space="preserve">51.2  Non-solicitation</w:t>
      </w:r>
    </w:p>
    <w:p>
      <w:pPr>
        <w:spacing w:after="120" w:before="0"/>
      </w:pPr>
      <w:r>
        <w:rPr>
          <w:rFonts w:ascii="Calibri" w:cs="Calibri" w:eastAsia="Calibri" w:hAnsi="Calibri"/>
          <w:color w:val="1A1A1A"/>
          <w:sz w:val="20"/>
          <w:szCs w:val="20"/>
        </w:rPr>
        <w:t xml:space="preserve">During the Term and for 12 calendar months thereafter, neither Party will, directly or indirectly, solicit for employment or engagement any employee or contractor of the other Party who was actively involved in this engagement, except: (a) through general public advertisements not specifically targeted at such persons; or (b) with the prior written consent of the other Party. Hire of an applicant who responds to a general public advertisement is permitted.</w:t>
      </w:r>
    </w:p>
    <w:p>
      <w:pPr>
        <w:pStyle w:val="Heading2"/>
        <w:spacing w:after="140" w:before="280"/>
      </w:pPr>
      <w:r>
        <w:rPr>
          <w:rFonts w:ascii="Calibri" w:cs="Calibri" w:eastAsia="Calibri" w:hAnsi="Calibri"/>
          <w:b/>
          <w:bCs/>
          <w:color w:val="1F3864"/>
          <w:sz w:val="28"/>
          <w:szCs w:val="28"/>
        </w:rPr>
        <w:t xml:space="preserve">51.3  Anti-bribery and anti-corruption</w:t>
      </w:r>
    </w:p>
    <w:p>
      <w:pPr>
        <w:spacing w:after="120" w:before="0"/>
      </w:pPr>
      <w:r>
        <w:rPr>
          <w:rFonts w:ascii="Calibri" w:cs="Calibri" w:eastAsia="Calibri" w:hAnsi="Calibri"/>
          <w:color w:val="1A1A1A"/>
          <w:sz w:val="20"/>
          <w:szCs w:val="20"/>
        </w:rPr>
        <w:t xml:space="preserve">Each Party will comply with all applicable anti-bribery and anti-corruption laws, including the Prevention of Corruption Act, 1988 (India). Neither Party will offer, give, or accept any bribe, kickback or improper benefit in connection with this SOW. Each Party may terminate this SOW immediately on written notice for breach of this Section, treating it as material breach not capable of remedy under Section 46.4.</w:t>
      </w:r>
    </w:p>
    <w:p>
      <w:pPr>
        <w:pStyle w:val="Heading2"/>
        <w:spacing w:after="140" w:before="280"/>
      </w:pPr>
      <w:r>
        <w:rPr>
          <w:rFonts w:ascii="Calibri" w:cs="Calibri" w:eastAsia="Calibri" w:hAnsi="Calibri"/>
          <w:b/>
          <w:bCs/>
          <w:color w:val="1F3864"/>
          <w:sz w:val="28"/>
          <w:szCs w:val="28"/>
        </w:rPr>
        <w:t xml:space="preserve">51.4  Severability</w:t>
      </w:r>
    </w:p>
    <w:p>
      <w:pPr>
        <w:spacing w:after="120" w:before="0"/>
      </w:pPr>
      <w:r>
        <w:rPr>
          <w:rFonts w:ascii="Calibri" w:cs="Calibri" w:eastAsia="Calibri" w:hAnsi="Calibri"/>
          <w:color w:val="1A1A1A"/>
          <w:sz w:val="20"/>
          <w:szCs w:val="20"/>
        </w:rPr>
        <w:t xml:space="preserve">If any provision of this SOW is held by a court or arbitrator of competent jurisdiction to be invalid or unenforceable, the remainder of the SOW remains in full force and effect, and the Parties will negotiate in good faith to replace the invalid or unenforceable provision with a valid and enforceable one that achieves the original commercial intent as closely as possible.</w:t>
      </w:r>
    </w:p>
    <w:p>
      <w:pPr>
        <w:pStyle w:val="Heading2"/>
        <w:spacing w:after="140" w:before="280"/>
      </w:pPr>
      <w:r>
        <w:rPr>
          <w:rFonts w:ascii="Calibri" w:cs="Calibri" w:eastAsia="Calibri" w:hAnsi="Calibri"/>
          <w:b/>
          <w:bCs/>
          <w:color w:val="1F3864"/>
          <w:sz w:val="28"/>
          <w:szCs w:val="28"/>
        </w:rPr>
        <w:t xml:space="preserve">51.5  Entire agreement</w:t>
      </w:r>
    </w:p>
    <w:p>
      <w:pPr>
        <w:spacing w:after="120" w:before="0"/>
      </w:pPr>
      <w:r>
        <w:rPr>
          <w:rFonts w:ascii="Calibri" w:cs="Calibri" w:eastAsia="Calibri" w:hAnsi="Calibri"/>
          <w:color w:val="1A1A1A"/>
          <w:sz w:val="20"/>
          <w:szCs w:val="20"/>
        </w:rPr>
        <w:t xml:space="preserve">This SOW (together with any Change Orders and the DPA referenced in Section 48) constitutes the entire agreement between the Parties with respect to its subject matter and supersedes all prior or contemporaneous proposals, negotiations, understandings, and agreements (whether written or oral), including any prior version of this SOW (v1.0 through v3.0). The Parties have not relied on any statement, representation, assurance or warranty not expressly set out in this SOW.</w:t>
      </w:r>
    </w:p>
    <w:p>
      <w:pPr>
        <w:pStyle w:val="Heading2"/>
        <w:spacing w:after="140" w:before="280"/>
      </w:pPr>
      <w:r>
        <w:rPr>
          <w:rFonts w:ascii="Calibri" w:cs="Calibri" w:eastAsia="Calibri" w:hAnsi="Calibri"/>
          <w:b/>
          <w:bCs/>
          <w:color w:val="1F3864"/>
          <w:sz w:val="28"/>
          <w:szCs w:val="28"/>
        </w:rPr>
        <w:t xml:space="preserve">51.6  Amendment</w:t>
      </w:r>
    </w:p>
    <w:p>
      <w:pPr>
        <w:spacing w:after="120" w:before="0"/>
      </w:pPr>
      <w:r>
        <w:rPr>
          <w:rFonts w:ascii="Calibri" w:cs="Calibri" w:eastAsia="Calibri" w:hAnsi="Calibri"/>
          <w:color w:val="1A1A1A"/>
          <w:sz w:val="20"/>
          <w:szCs w:val="20"/>
        </w:rPr>
        <w:t xml:space="preserve">No amendment, modification or waiver of any provision of this SOW is effective unless in writing and signed by an authorised representative of each Party. Email exchanges, even if explicit, do not amend this SOW unless the email is countersigned by an authorised representative or attaches a signed amendment instrument.</w:t>
      </w:r>
    </w:p>
    <w:p>
      <w:pPr>
        <w:pStyle w:val="Heading2"/>
        <w:spacing w:after="140" w:before="280"/>
      </w:pPr>
      <w:r>
        <w:rPr>
          <w:rFonts w:ascii="Calibri" w:cs="Calibri" w:eastAsia="Calibri" w:hAnsi="Calibri"/>
          <w:b/>
          <w:bCs/>
          <w:color w:val="1F3864"/>
          <w:sz w:val="28"/>
          <w:szCs w:val="28"/>
        </w:rPr>
        <w:t xml:space="preserve">51.7  Notices</w:t>
      </w:r>
    </w:p>
    <w:p>
      <w:pPr>
        <w:spacing w:after="120" w:before="0"/>
      </w:pPr>
      <w:r>
        <w:rPr>
          <w:rFonts w:ascii="Calibri" w:cs="Calibri" w:eastAsia="Calibri" w:hAnsi="Calibri"/>
          <w:color w:val="1A1A1A"/>
          <w:sz w:val="20"/>
          <w:szCs w:val="20"/>
        </w:rPr>
        <w:t xml:space="preserve">Any notice required or permitted under this SOW must be in writing and will be deemed to have been duly given: (a) on personal delivery to the addressee; (b) on delivery confirmation if sent by registered post; or (c) on transmission confirmation if sent by email to the address designated by the Party. Each Party may change its notice address by written notice to the other.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Notices to Client</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[Client to insert: name, address, email of designated notice recipient]</w:t>
            </w:r>
          </w:p>
        </w:tc>
      </w:tr>
      <w:tr>
        <w:tc>
          <w:tcPr>
            <w:tcW w:type="dxa" w:w="3000"/>
            <w:tcBorders>
              <w:top w:val="single" w:color="BFBFBF" w:sz="4"/>
              <w:left w:val="single" w:color="BFBFBF" w:sz="4"/>
              <w:bottom w:val="single" w:color="BFBFBF" w:sz="4"/>
              <w:right w:val="single" w:color="BFBFBF" w:sz="4"/>
            </w:tcBorders>
            <w:shd w:fill="E7E6E6" w:color="auto" w:val="clear"/>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Notices to Consultant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[Consultant to insert: name, address, email of designated notice recipient]</w:t>
            </w:r>
          </w:p>
        </w:tc>
      </w:tr>
    </w:tbl>
    <w:p>
      <w:pPr>
        <w:pStyle w:val="Heading2"/>
        <w:spacing w:after="140" w:before="280"/>
      </w:pPr>
      <w:r>
        <w:rPr>
          <w:rFonts w:ascii="Calibri" w:cs="Calibri" w:eastAsia="Calibri" w:hAnsi="Calibri"/>
          <w:b/>
          <w:bCs/>
          <w:color w:val="1F3864"/>
          <w:sz w:val="28"/>
          <w:szCs w:val="28"/>
        </w:rPr>
        <w:t xml:space="preserve">51.8  Assignment</w:t>
      </w:r>
    </w:p>
    <w:p>
      <w:pPr>
        <w:spacing w:after="120" w:before="0"/>
      </w:pPr>
      <w:r>
        <w:rPr>
          <w:rFonts w:ascii="Calibri" w:cs="Calibri" w:eastAsia="Calibri" w:hAnsi="Calibri"/>
          <w:color w:val="1A1A1A"/>
          <w:sz w:val="20"/>
          <w:szCs w:val="20"/>
        </w:rPr>
        <w:t xml:space="preserve">Neither Party may assign, transfer or sub-contract any of its rights or obligations under this SOW without the prior written consent of the other Party, such consent not to be unreasonably withheld. Notwithstanding the foregoing: (a) the Consultant may sub-contract specific tasks to qualified personnel provided the Consultant remains primarily responsible to the Client and obtains equivalent confidentiality and IP protections; and (b) either Party may assign this SOW to a successor in connection with a merger, acquisition, or sale of substantially all of its assets, on written notice to the other Party.</w:t>
      </w:r>
    </w:p>
    <w:p>
      <w:pPr>
        <w:pStyle w:val="Heading2"/>
        <w:spacing w:after="140" w:before="280"/>
      </w:pPr>
      <w:r>
        <w:rPr>
          <w:rFonts w:ascii="Calibri" w:cs="Calibri" w:eastAsia="Calibri" w:hAnsi="Calibri"/>
          <w:b/>
          <w:bCs/>
          <w:color w:val="1F3864"/>
          <w:sz w:val="28"/>
          <w:szCs w:val="28"/>
        </w:rPr>
        <w:t xml:space="preserve">51.9  Counterparts and electronic signatures</w:t>
      </w:r>
    </w:p>
    <w:p>
      <w:pPr>
        <w:spacing w:after="120" w:before="0"/>
      </w:pPr>
      <w:r>
        <w:rPr>
          <w:rFonts w:ascii="Calibri" w:cs="Calibri" w:eastAsia="Calibri" w:hAnsi="Calibri"/>
          <w:color w:val="1A1A1A"/>
          <w:sz w:val="20"/>
          <w:szCs w:val="20"/>
        </w:rPr>
        <w:t xml:space="preserve">This SOW may be executed in counterparts, each of which is an original and which together constitute one and the same instrument. Electronic signatures (including DSC under the Information Technology Act, 2000) are valid and binding.</w:t>
      </w:r>
    </w:p>
    <w:p>
      <w:pPr>
        <w:pStyle w:val="Heading2"/>
        <w:spacing w:after="140" w:before="280"/>
      </w:pPr>
      <w:r>
        <w:rPr>
          <w:rFonts w:ascii="Calibri" w:cs="Calibri" w:eastAsia="Calibri" w:hAnsi="Calibri"/>
          <w:b/>
          <w:bCs/>
          <w:color w:val="1F3864"/>
          <w:sz w:val="28"/>
          <w:szCs w:val="28"/>
        </w:rPr>
        <w:t xml:space="preserve">51.10  No third-party beneficiaries</w:t>
      </w:r>
    </w:p>
    <w:p>
      <w:pPr>
        <w:spacing w:after="120" w:before="0"/>
      </w:pPr>
      <w:r>
        <w:rPr>
          <w:rFonts w:ascii="Calibri" w:cs="Calibri" w:eastAsia="Calibri" w:hAnsi="Calibri"/>
          <w:color w:val="1A1A1A"/>
          <w:sz w:val="20"/>
          <w:szCs w:val="20"/>
        </w:rPr>
        <w:t xml:space="preserve">This SOW is for the benefit of the Parties and their respective successors and permitted assigns. It does not create any rights or remedies in any third party.</w:t>
      </w:r>
    </w:p>
    <w:p>
      <w:pPr>
        <w:pStyle w:val="Heading2"/>
        <w:spacing w:after="140" w:before="280"/>
      </w:pPr>
      <w:r>
        <w:rPr>
          <w:rFonts w:ascii="Calibri" w:cs="Calibri" w:eastAsia="Calibri" w:hAnsi="Calibri"/>
          <w:b/>
          <w:bCs/>
          <w:color w:val="1F3864"/>
          <w:sz w:val="28"/>
          <w:szCs w:val="28"/>
        </w:rPr>
        <w:t xml:space="preserve">51.11  Publicity</w:t>
      </w:r>
    </w:p>
    <w:p>
      <w:pPr>
        <w:spacing w:after="120" w:before="0"/>
      </w:pPr>
      <w:r>
        <w:rPr>
          <w:rFonts w:ascii="Calibri" w:cs="Calibri" w:eastAsia="Calibri" w:hAnsi="Calibri"/>
          <w:color w:val="1A1A1A"/>
          <w:sz w:val="20"/>
          <w:szCs w:val="20"/>
        </w:rPr>
        <w:t xml:space="preserve">The Consultant may, with the Client’s prior written approval (not to be unreasonably withheld for general capability marketing), reference the Client’s name and a high-level description of the engagement on the Consultant’s website and proposals. The Consultant will not disclose specific commercial terms, customer data, or operational metrics without express written consent of the Client. The Client may reference the Consultant similarly, subject to the same constraints.</w:t>
      </w:r>
    </w:p>
    <w:p>
      <w:pPr>
        <w:pageBreakBefore/>
        <w:spacing w:after="200" w:before="4000"/>
        <w:jc w:val="center"/>
      </w:pPr>
      <w:r>
        <w:rPr>
          <w:rFonts w:ascii="Calibri" w:cs="Calibri" w:eastAsia="Calibri" w:hAnsi="Calibri"/>
          <w:b/>
          <w:bCs/>
          <w:caps/>
          <w:color w:val="808080"/>
          <w:sz w:val="22"/>
          <w:szCs w:val="22"/>
        </w:rPr>
        <w:t xml:space="preserve">Part XIII</w:t>
      </w:r>
    </w:p>
    <w:p>
      <w:pPr>
        <w:spacing w:after="1600" w:before="0"/>
        <w:jc w:val="center"/>
      </w:pPr>
      <w:r>
        <w:rPr>
          <w:rFonts w:ascii="Calibri" w:cs="Calibri" w:eastAsia="Calibri" w:hAnsi="Calibri"/>
          <w:b/>
          <w:bCs/>
          <w:color w:val="1F3864"/>
          <w:sz w:val="56"/>
          <w:szCs w:val="56"/>
        </w:rPr>
        <w:t xml:space="preserve">Reference &amp; Sign-off</w:t>
      </w:r>
    </w:p>
    <w:p>
      <w:pPr>
        <w:pStyle w:val="Heading1"/>
        <w:pageBreakBefore/>
        <w:spacing w:after="240" w:before="0"/>
      </w:pPr>
      <w:r>
        <w:rPr>
          <w:rFonts w:ascii="Calibri" w:cs="Calibri" w:eastAsia="Calibri" w:hAnsi="Calibri"/>
          <w:b/>
          <w:bCs/>
          <w:color w:val="1F3864"/>
          <w:sz w:val="36"/>
          <w:szCs w:val="36"/>
        </w:rPr>
        <w:t xml:space="preserve">52. Glossary</w:t>
      </w:r>
    </w:p>
    <w:p>
      <w:pPr>
        <w:spacing w:after="120" w:before="0"/>
      </w:pPr>
      <w:r>
        <w:rPr>
          <w:rFonts w:ascii="Calibri" w:cs="Calibri" w:eastAsia="Calibri" w:hAnsi="Calibri"/>
          <w:color w:val="1A1A1A"/>
          <w:sz w:val="20"/>
          <w:szCs w:val="20"/>
        </w:rPr>
        <w:t xml:space="preserve">Defined terms used in this SOW. Where a term is not defined here but is in capitalised form, its meaning is taken from the relevant statute or industry standard.</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Term</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Meaning</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ap-south-1</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Mumbai region; the default India-resident hosting region for the self-hosted Novu deployment delivered under this SOW</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Business Solution Provider — Meta-authorised reseller for WhatsApp Business Cloud API (e.g. MSG91, Karix, Gupshup)</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CCB</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Control Board — the cross-party body that decides on Material and Critical change requests (Section 27.2)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Change Request — a formal proposal to alter the scope, effort, timeline or terms of this SOW (Section 27)</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Distributed Ledger Technology — the TRAI mandate for SMS sender registration in India; in this SOW, refers to Principal Entity ID (PE ID) and Template ID assignment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DPA</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Data Processing Agreement — the separate agreement governing personal-data processing (Section 48)</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Digital Personal Data Protection Act, 2023 — India’s primary data-protection statute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DSC</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Digital Signature Certificate — issued under the Information Technology Act, 2000</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ECS / EKS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Elastic Container Service / Elastic Kubernetes Service — AWS container hosting options for the Novu API and Worker tiers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Foreign Account Tax Compliance Act — US legislation requiring reporting on US-person investors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IaC</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as Code — Terraform / Helm definitions delivered with the engagement (Section 17.4)</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Insurance Regulatory and Development Authority of India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ISmsProvider / IChatProvider / IEmailProvider</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provider plugin interfaces (Apache-2.0). Implemented by the Consultant for MSG91 and Karix custom plugins (Section 18.1)</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MIS Pipeline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TPE’s existing automated batch-process generating monthly remittance attachments to insurer partners (used by workflow INS-02)</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Multi-AZ</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AWS deployment topology spanning two or more Availability Zones within a region for high availability (Section 17.2)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Open-source / source-available notification infrastructure platform (novu.co) on which the v4.0 deployment is built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Bridge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Component that synchronises workflow code from the Client repository into the running Novu instance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Framework</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TypeScript SDK in which workflows are authored as code; deployed via Novu Bridge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Web</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dashboard for Novu (subscribers, integrations, executions); access-controlled to Client SSO in this deployment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NPV</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Net Present Value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OOP</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Out-of-Pocket — reimbursable expenses (Section 40.3)</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 ID</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Principal Entity ID — DLT registration identifier required on every transactional / promotional SMS in India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PII</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Personally Identifiable Information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RACI</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Responsible / Accountable / Consulted / Informed (Section 25)</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Rich Communication Services — a SMS-successor messaging standard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RDS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Amazon Relational Database Service — managed Postgres in this deployment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RPO / RTO</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Recovery Point Objective / Recovery Time Objective — backup-recovery targets (Section 20)</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SAR</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Subject Access Request — a data-principal request under DPDPA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Sev-1 / Sev-2 / Sev-3 / Sev-4</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Defect severity levels (Section 21.2)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Service Level Agreement (Section 28)</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SOW</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Statement of Work — this document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step.custom</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Framework primitive used to invoke a custom step in a workflow (e.g. compliance-check, audit-emit) — Section 18.2 and 18.3</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Novu’s representation of a recipient (policyholder, investor, partner contact, internal user). Carries channel addresses and per-channel preferences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T&amp;M</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Time and Materials — billing model based on consultant-days at rate-card rates (Section 41)</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TDS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Tax Deducted at Source — under the Income Tax Act, 1961</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Policy Exchange — operating brand of Fairvalue Insuretech Pvt. Ltd., the Client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Telecom Regulatory Authority of India</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WA Cloud API</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Business Cloud API; since 23 Oct 2025 the only supported WhatsApp Business API path, accessed in this deployment via a BSP</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 category</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Marketing / Utility / Authentication — Meta’s template categorisation that gates send eligibility</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 Novu, a TypeScript-defined unit that ties a trigger payload to channel steps, cadence and provider routing. The 49 lifecycle triggers in Section 14 each map to one workflow</w:t>
            </w:r>
          </w:p>
        </w:tc>
      </w:tr>
    </w:tbl>
    <w:p>
      <w:pPr>
        <w:pStyle w:val="Heading1"/>
        <w:pageBreakBefore/>
        <w:spacing w:after="240" w:before="0"/>
      </w:pPr>
      <w:r>
        <w:rPr>
          <w:rFonts w:ascii="Calibri" w:cs="Calibri" w:eastAsia="Calibri" w:hAnsi="Calibri"/>
          <w:b/>
          <w:bCs/>
          <w:color w:val="1F3864"/>
          <w:sz w:val="36"/>
          <w:szCs w:val="36"/>
        </w:rPr>
        <w:t xml:space="preserve">53. References</w:t>
      </w:r>
    </w:p>
    <w:p>
      <w:pPr>
        <w:spacing w:after="120" w:before="0"/>
      </w:pPr>
      <w:r>
        <w:rPr>
          <w:rFonts w:ascii="Calibri" w:cs="Calibri" w:eastAsia="Calibri" w:hAnsi="Calibri"/>
          <w:color w:val="1A1A1A"/>
          <w:sz w:val="20"/>
          <w:szCs w:val="20"/>
        </w:rPr>
        <w:t xml:space="preserve">Sources and reference frameworks consulted in preparing this SOW. References are non-exhaustive and are provided for traceability; the Parties’ obligations are governed by the body of this SOW and applicable law as in force from time to time.</w:t>
      </w:r>
    </w:p>
    <w:p>
      <w:pPr>
        <w:pStyle w:val="Heading2"/>
        <w:spacing w:after="140" w:before="280"/>
      </w:pPr>
      <w:r>
        <w:rPr>
          <w:rFonts w:ascii="Calibri" w:cs="Calibri" w:eastAsia="Calibri" w:hAnsi="Calibri"/>
          <w:b/>
          <w:bCs/>
          <w:color w:val="1F3864"/>
          <w:sz w:val="28"/>
          <w:szCs w:val="28"/>
        </w:rPr>
        <w:t xml:space="preserve">53.1  Statutes and regulations</w:t>
      </w:r>
    </w:p>
    <w:p>
      <w:pPr>
        <w:pStyle w:val="ListParagraph"/>
        <w:numPr>
          <w:ilvl w:val="0"/>
          <w:numId w:val="2"/>
        </w:numPr>
        <w:spacing w:after="80"/>
      </w:pPr>
      <w:r>
        <w:rPr>
          <w:rFonts w:ascii="Calibri" w:cs="Calibri" w:eastAsia="Calibri" w:hAnsi="Calibri"/>
          <w:color w:val="1A1A1A"/>
          <w:sz w:val="20"/>
          <w:szCs w:val="20"/>
        </w:rPr>
        <w:t xml:space="preserve">Information Technology Act, 2000 (India), and the Information Technology (Reasonable Security Practices) Rules, 2011.</w:t>
      </w:r>
    </w:p>
    <w:p>
      <w:pPr>
        <w:pStyle w:val="ListParagraph"/>
        <w:numPr>
          <w:ilvl w:val="0"/>
          <w:numId w:val="2"/>
        </w:numPr>
        <w:spacing w:after="80"/>
      </w:pPr>
      <w:r>
        <w:rPr>
          <w:rFonts w:ascii="Calibri" w:cs="Calibri" w:eastAsia="Calibri" w:hAnsi="Calibri"/>
          <w:color w:val="1A1A1A"/>
          <w:sz w:val="20"/>
          <w:szCs w:val="20"/>
        </w:rPr>
        <w:t xml:space="preserve">Digital Personal Data Protection Act, 2023 (India).</w:t>
      </w:r>
    </w:p>
    <w:p>
      <w:pPr>
        <w:pStyle w:val="ListParagraph"/>
        <w:numPr>
          <w:ilvl w:val="0"/>
          <w:numId w:val="2"/>
        </w:numPr>
        <w:spacing w:after="80"/>
      </w:pPr>
      <w:r>
        <w:rPr>
          <w:rFonts w:ascii="Calibri" w:cs="Calibri" w:eastAsia="Calibri" w:hAnsi="Calibri"/>
          <w:color w:val="1A1A1A"/>
          <w:sz w:val="20"/>
          <w:szCs w:val="20"/>
        </w:rPr>
        <w:t xml:space="preserve">Insurance Act, 1938; Insurance Regulatory and Development Authority Act, 1999; relevant IRDAI regulations and circulars in force.</w:t>
      </w:r>
    </w:p>
    <w:p>
      <w:pPr>
        <w:pStyle w:val="ListParagraph"/>
        <w:numPr>
          <w:ilvl w:val="0"/>
          <w:numId w:val="2"/>
        </w:numPr>
        <w:spacing w:after="80"/>
      </w:pPr>
      <w:r>
        <w:rPr>
          <w:rFonts w:ascii="Calibri" w:cs="Calibri" w:eastAsia="Calibri" w:hAnsi="Calibri"/>
          <w:color w:val="1A1A1A"/>
          <w:sz w:val="20"/>
          <w:szCs w:val="20"/>
        </w:rPr>
        <w:t xml:space="preserve">Income Tax Act, 1961 (TDS, statutory documentation).</w:t>
      </w:r>
    </w:p>
    <w:p>
      <w:pPr>
        <w:pStyle w:val="ListParagraph"/>
        <w:numPr>
          <w:ilvl w:val="0"/>
          <w:numId w:val="2"/>
        </w:numPr>
        <w:spacing w:after="80"/>
      </w:pPr>
      <w:r>
        <w:rPr>
          <w:rFonts w:ascii="Calibri" w:cs="Calibri" w:eastAsia="Calibri" w:hAnsi="Calibri"/>
          <w:color w:val="1A1A1A"/>
          <w:sz w:val="20"/>
          <w:szCs w:val="20"/>
        </w:rPr>
        <w:t xml:space="preserve">Goods and Services Tax (Compensation to States) Act, 2017; Central / State / Integrated Goods and Services Tax Acts, 2017.</w:t>
      </w:r>
    </w:p>
    <w:p>
      <w:pPr>
        <w:pStyle w:val="ListParagraph"/>
        <w:numPr>
          <w:ilvl w:val="0"/>
          <w:numId w:val="2"/>
        </w:numPr>
        <w:spacing w:after="80"/>
      </w:pPr>
      <w:r>
        <w:rPr>
          <w:rFonts w:ascii="Calibri" w:cs="Calibri" w:eastAsia="Calibri" w:hAnsi="Calibri"/>
          <w:color w:val="1A1A1A"/>
          <w:sz w:val="20"/>
          <w:szCs w:val="20"/>
        </w:rPr>
        <w:t xml:space="preserve">Telecom Regulatory Authority of India Act, 1997; TRAI Telecom Commercial Communications Customer Preference Regulations, 2018 (DLT framework).</w:t>
      </w:r>
    </w:p>
    <w:p>
      <w:pPr>
        <w:pStyle w:val="ListParagraph"/>
        <w:numPr>
          <w:ilvl w:val="0"/>
          <w:numId w:val="2"/>
        </w:numPr>
        <w:spacing w:after="80"/>
      </w:pPr>
      <w:r>
        <w:rPr>
          <w:rFonts w:ascii="Calibri" w:cs="Calibri" w:eastAsia="Calibri" w:hAnsi="Calibri"/>
          <w:color w:val="1A1A1A"/>
          <w:sz w:val="20"/>
          <w:szCs w:val="20"/>
        </w:rPr>
        <w:t xml:space="preserve">Arbitration and Conciliation Act, 1996 (as amended).</w:t>
      </w:r>
    </w:p>
    <w:p>
      <w:pPr>
        <w:pStyle w:val="ListParagraph"/>
        <w:numPr>
          <w:ilvl w:val="0"/>
          <w:numId w:val="2"/>
        </w:numPr>
        <w:spacing w:after="80"/>
      </w:pPr>
      <w:r>
        <w:rPr>
          <w:rFonts w:ascii="Calibri" w:cs="Calibri" w:eastAsia="Calibri" w:hAnsi="Calibri"/>
          <w:color w:val="1A1A1A"/>
          <w:sz w:val="20"/>
          <w:szCs w:val="20"/>
        </w:rPr>
        <w:t xml:space="preserve">Indian Contract Act, 1872; Sale of Goods Act, 1930.</w:t>
      </w:r>
    </w:p>
    <w:p>
      <w:pPr>
        <w:pStyle w:val="ListParagraph"/>
        <w:numPr>
          <w:ilvl w:val="0"/>
          <w:numId w:val="2"/>
        </w:numPr>
        <w:spacing w:after="80"/>
      </w:pPr>
      <w:r>
        <w:rPr>
          <w:rFonts w:ascii="Calibri" w:cs="Calibri" w:eastAsia="Calibri" w:hAnsi="Calibri"/>
          <w:color w:val="1A1A1A"/>
          <w:sz w:val="20"/>
          <w:szCs w:val="20"/>
        </w:rPr>
        <w:t xml:space="preserve">Prevention of Corruption Act, 1988.</w:t>
      </w:r>
    </w:p>
    <w:p>
      <w:pPr>
        <w:pStyle w:val="Heading2"/>
        <w:spacing w:after="140" w:before="280"/>
      </w:pPr>
      <w:r>
        <w:rPr>
          <w:rFonts w:ascii="Calibri" w:cs="Calibri" w:eastAsia="Calibri" w:hAnsi="Calibri"/>
          <w:b/>
          <w:bCs/>
          <w:color w:val="1F3864"/>
          <w:sz w:val="28"/>
          <w:szCs w:val="28"/>
        </w:rPr>
        <w:t xml:space="preserve">53.2  Industry standards and guidance</w:t>
      </w:r>
    </w:p>
    <w:p>
      <w:pPr>
        <w:pStyle w:val="ListParagraph"/>
        <w:numPr>
          <w:ilvl w:val="0"/>
          <w:numId w:val="2"/>
        </w:numPr>
        <w:spacing w:after="80"/>
      </w:pPr>
      <w:r>
        <w:rPr>
          <w:rFonts w:ascii="Calibri" w:cs="Calibri" w:eastAsia="Calibri" w:hAnsi="Calibri"/>
          <w:color w:val="1A1A1A"/>
          <w:sz w:val="20"/>
          <w:szCs w:val="20"/>
        </w:rPr>
        <w:t xml:space="preserve">WhatsApp Business Solution Terms; Meta Business Messaging policies (template categories: Marketing / Utility / Authentication).</w:t>
      </w:r>
    </w:p>
    <w:p>
      <w:pPr>
        <w:pStyle w:val="ListParagraph"/>
        <w:numPr>
          <w:ilvl w:val="0"/>
          <w:numId w:val="2"/>
        </w:numPr>
        <w:spacing w:after="80"/>
      </w:pPr>
      <w:r>
        <w:rPr>
          <w:rFonts w:ascii="Calibri" w:cs="Calibri" w:eastAsia="Calibri" w:hAnsi="Calibri"/>
          <w:color w:val="1A1A1A"/>
          <w:sz w:val="20"/>
          <w:szCs w:val="20"/>
        </w:rPr>
        <w:t xml:space="preserve">ISO/IEC 27001:2022 — Information security management (referenced for Section 20 controls).</w:t>
      </w:r>
    </w:p>
    <w:p>
      <w:pPr>
        <w:pStyle w:val="ListParagraph"/>
        <w:numPr>
          <w:ilvl w:val="0"/>
          <w:numId w:val="2"/>
        </w:numPr>
        <w:spacing w:after="80"/>
      </w:pPr>
      <w:r>
        <w:rPr>
          <w:rFonts w:ascii="Calibri" w:cs="Calibri" w:eastAsia="Calibri" w:hAnsi="Calibri"/>
          <w:color w:val="1A1A1A"/>
          <w:sz w:val="20"/>
          <w:szCs w:val="20"/>
        </w:rPr>
        <w:t xml:space="preserve">OWASP ASVS — Application Security Verification Standard (where relevant to renderer code).</w:t>
      </w:r>
    </w:p>
    <w:p>
      <w:pPr>
        <w:pStyle w:val="Heading2"/>
        <w:spacing w:after="140" w:before="280"/>
      </w:pPr>
      <w:r>
        <w:rPr>
          <w:rFonts w:ascii="Calibri" w:cs="Calibri" w:eastAsia="Calibri" w:hAnsi="Calibri"/>
          <w:b/>
          <w:bCs/>
          <w:color w:val="1F3864"/>
          <w:sz w:val="28"/>
          <w:szCs w:val="28"/>
        </w:rPr>
        <w:t xml:space="preserve">53.3  Internal references</w:t>
      </w:r>
    </w:p>
    <w:p>
      <w:pPr>
        <w:pStyle w:val="ListParagraph"/>
        <w:numPr>
          <w:ilvl w:val="0"/>
          <w:numId w:val="2"/>
        </w:numPr>
        <w:spacing w:after="80"/>
      </w:pPr>
      <w:r>
        <w:rPr>
          <w:rFonts w:ascii="Calibri" w:cs="Calibri" w:eastAsia="Calibri" w:hAnsi="Calibri"/>
          <w:color w:val="1A1A1A"/>
          <w:sz w:val="20"/>
          <w:szCs w:val="20"/>
        </w:rPr>
        <w:t xml:space="preserve">TPE current message templates spreadsheet (provided by Client at scoping).</w:t>
      </w:r>
    </w:p>
    <w:p>
      <w:pPr>
        <w:pStyle w:val="ListParagraph"/>
        <w:numPr>
          <w:ilvl w:val="0"/>
          <w:numId w:val="2"/>
        </w:numPr>
        <w:spacing w:after="80"/>
      </w:pPr>
      <w:r>
        <w:rPr>
          <w:rFonts w:ascii="Calibri" w:cs="Calibri" w:eastAsia="Calibri" w:hAnsi="Calibri"/>
          <w:color w:val="1A1A1A"/>
          <w:sz w:val="20"/>
          <w:szCs w:val="20"/>
        </w:rPr>
        <w:t xml:space="preserve">Existing MIS Pipeline runbook (used by workflow INS-02).</w:t>
      </w:r>
    </w:p>
    <w:p>
      <w:pPr>
        <w:pStyle w:val="ListParagraph"/>
        <w:numPr>
          <w:ilvl w:val="0"/>
          <w:numId w:val="2"/>
        </w:numPr>
        <w:spacing w:after="80"/>
      </w:pPr>
      <w:r>
        <w:rPr>
          <w:rFonts w:ascii="Calibri" w:cs="Calibri" w:eastAsia="Calibri" w:hAnsi="Calibri"/>
          <w:color w:val="1A1A1A"/>
          <w:sz w:val="20"/>
          <w:szCs w:val="20"/>
        </w:rPr>
        <w:t xml:space="preserve">Brand voice samples and style guide (Client).</w:t>
      </w:r>
    </w:p>
    <w:p>
      <w:pPr>
        <w:pStyle w:val="ListParagraph"/>
        <w:numPr>
          <w:ilvl w:val="0"/>
          <w:numId w:val="2"/>
        </w:numPr>
        <w:spacing w:after="80"/>
      </w:pPr>
      <w:r>
        <w:rPr>
          <w:rFonts w:ascii="Calibri" w:cs="Calibri" w:eastAsia="Calibri" w:hAnsi="Calibri"/>
          <w:color w:val="1A1A1A"/>
          <w:sz w:val="20"/>
          <w:szCs w:val="20"/>
        </w:rPr>
        <w:t xml:space="preserve">Novu documentation (docs.novu.co), in particular: workflow framework, Gupshup native provider integration with DLT overrides, subscriber model, Bridge sync model, and self-hosting guide — as in force on the SOW signing date.</w:t>
      </w:r>
    </w:p>
    <w:p>
      <w:pPr>
        <w:pStyle w:val="ListParagraph"/>
        <w:numPr>
          <w:ilvl w:val="0"/>
          <w:numId w:val="2"/>
        </w:numPr>
        <w:spacing w:after="80"/>
      </w:pPr>
      <w:r>
        <w:rPr>
          <w:rFonts w:ascii="Calibri" w:cs="Calibri" w:eastAsia="Calibri" w:hAnsi="Calibri"/>
          <w:color w:val="1A1A1A"/>
          <w:sz w:val="20"/>
          <w:szCs w:val="20"/>
        </w:rPr>
        <w:t xml:space="preserve">MSG91 Flow / SMS / WhatsApp API documentation; Karix transactional and conversational messaging API documentation — referenced for custom Novu provider plugin development under Section 18.1.</w:t>
      </w:r>
    </w:p>
    <w:p>
      <w:pPr>
        <w:pStyle w:val="ListParagraph"/>
        <w:numPr>
          <w:ilvl w:val="0"/>
          <w:numId w:val="2"/>
        </w:numPr>
        <w:spacing w:after="80"/>
      </w:pPr>
      <w:r>
        <w:rPr>
          <w:rFonts w:ascii="Calibri" w:cs="Calibri" w:eastAsia="Calibri" w:hAnsi="Calibri"/>
          <w:color w:val="1A1A1A"/>
          <w:sz w:val="20"/>
          <w:szCs w:val="20"/>
        </w:rPr>
        <w:t xml:space="preserve">WhatsApp Business Cloud API documentation; Meta Business Messaging policies (template categorisation, 24-hour session window).</w:t>
      </w:r>
    </w:p>
    <w:p>
      <w:pPr>
        <w:pStyle w:val="Heading1"/>
        <w:pageBreakBefore/>
        <w:spacing w:after="240" w:before="0"/>
      </w:pPr>
      <w:r>
        <w:rPr>
          <w:rFonts w:ascii="Calibri" w:cs="Calibri" w:eastAsia="Calibri" w:hAnsi="Calibri"/>
          <w:b/>
          <w:bCs/>
          <w:color w:val="1F3864"/>
          <w:sz w:val="36"/>
          <w:szCs w:val="36"/>
        </w:rPr>
        <w:t xml:space="preserve">54. Sign-off</w:t>
      </w:r>
    </w:p>
    <w:p>
      <w:pPr>
        <w:spacing w:after="120" w:before="0"/>
      </w:pPr>
      <w:r>
        <w:rPr>
          <w:rFonts w:ascii="Calibri" w:cs="Calibri" w:eastAsia="Calibri" w:hAnsi="Calibri"/>
          <w:color w:val="1A1A1A"/>
          <w:sz w:val="20"/>
          <w:szCs w:val="20"/>
        </w:rPr>
        <w:t xml:space="preserve">In witness of the terms set out in this Statement of Work, the duly authorised representatives of the Parties have signed below on the dates indicated. By signing, each Party represents that it has reviewed this SOW in full, that it has had the opportunity to obtain independent advice, and that the person signing has authority to bind the Party named.</w:t>
      </w:r>
    </w:p>
    <w:p>
      <w:pPr>
        <w:spacing w:after="100"/>
      </w:pPr>
      <w:r>
        <w:t xml:space="preserve"/>
      </w:r>
    </w:p>
    <w:p>
      <w:pPr>
        <w:spacing w:after="120" w:before="0"/>
      </w:pPr>
      <w:r>
        <w:rPr>
          <w:rFonts w:ascii="Calibri" w:cs="Calibri" w:eastAsia="Calibri" w:hAnsi="Calibri"/>
          <w:i/>
          <w:iCs/>
          <w:color w:val="1A1A1A"/>
          <w:sz w:val="18"/>
          <w:szCs w:val="18"/>
        </w:rPr>
        <w:t xml:space="preserve">This Statement of Work — Document ID TPE-COMMS-SOW-2026-001, Version 3.0 — comprises 54 sections in 13 Parts and is incorporated in full by signature.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FBFBF" w:sz="4"/>
              <w:left w:val="single" w:color="BFBFBF" w:sz="4"/>
              <w:bottom w:val="single" w:color="BFBFBF" w:sz="4"/>
              <w:right w:val="single" w:color="BFBFBF" w:sz="4"/>
            </w:tcBorders>
            <w:shd w:fill="1F3864" w:color="auto" w:val="clear"/>
            <w:tcMar>
              <w:top w:type="dxa" w:w="120"/>
              <w:left w:type="dxa" w:w="240"/>
              <w:bottom w:type="dxa" w:w="120"/>
              <w:right w:type="dxa" w:w="240"/>
            </w:tcMar>
          </w:tcPr>
          <w:p>
            <w:pPr>
              <w:jc w:val="center"/>
            </w:pPr>
            <w:r>
              <w:rPr>
                <w:rFonts w:ascii="Calibri" w:cs="Calibri" w:eastAsia="Calibri" w:hAnsi="Calibri"/>
                <w:b/>
                <w:bCs/>
                <w:caps/>
                <w:color w:val="FFFFFF"/>
                <w:sz w:val="16"/>
                <w:szCs w:val="16"/>
              </w:rPr>
              <w:t xml:space="preserve">FOR THE CLIENT</w:t>
            </w:r>
          </w:p>
        </w:tc>
        <w:tc>
          <w:tcPr>
            <w:tcW w:type="dxa" w:w="4873"/>
            <w:tcBorders>
              <w:top w:val="single" w:color="BFBFBF" w:sz="4"/>
              <w:left w:val="single" w:color="BFBFBF" w:sz="4"/>
              <w:bottom w:val="single" w:color="BFBFBF" w:sz="4"/>
              <w:right w:val="single" w:color="BFBFBF" w:sz="4"/>
            </w:tcBorders>
            <w:shd w:fill="1F3864" w:color="auto" w:val="clear"/>
            <w:tcMar>
              <w:top w:type="dxa" w:w="120"/>
              <w:left w:type="dxa" w:w="240"/>
              <w:bottom w:type="dxa" w:w="120"/>
              <w:right w:type="dxa" w:w="240"/>
            </w:tcMar>
          </w:tcPr>
          <w:p>
            <w:pPr>
              <w:jc w:val="center"/>
            </w:pPr>
            <w:r>
              <w:rPr>
                <w:rFonts w:ascii="Calibri" w:cs="Calibri" w:eastAsia="Calibri" w:hAnsi="Calibri"/>
                <w:b/>
                <w:bCs/>
                <w:caps/>
                <w:color w:val="FFFFFF"/>
                <w:sz w:val="16"/>
                <w:szCs w:val="16"/>
              </w:rPr>
              <w:t xml:space="preserve">FOR THE CONSULTANT</w:t>
            </w:r>
          </w:p>
        </w:tc>
      </w:tr>
      <w:tr>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80"/>
              <w:jc w:val="center"/>
            </w:pPr>
            <w:r>
              <w:rPr>
                <w:rFonts w:ascii="Calibri" w:cs="Calibri" w:eastAsia="Calibri" w:hAnsi="Calibri"/>
                <w:b/>
                <w:bCs/>
                <w:caps/>
                <w:color w:val="FFFFFF"/>
                <w:sz w:val="14"/>
                <w:szCs w:val="14"/>
              </w:rPr>
              <w:t xml:space="preserve">PRIMARY SIGNATORY</w:t>
            </w:r>
          </w:p>
          <w:p>
            <w:pPr>
              <w:spacing w:after="60"/>
              <w:jc w:val="center"/>
            </w:pPr>
            <w:r>
              <w:rPr>
                <w:rFonts w:ascii="Calibri" w:cs="Calibri" w:eastAsia="Calibri" w:hAnsi="Calibri"/>
                <w:b/>
                <w:bCs/>
                <w:color w:val="1F3864"/>
                <w:sz w:val="20"/>
                <w:szCs w:val="20"/>
              </w:rPr>
              <w:t xml:space="preserve">Fairvalue Insuretech Pvt. Ltd.</w:t>
            </w:r>
          </w:p>
          <w:p>
            <w:pPr>
              <w:spacing w:after="80"/>
              <w:jc w:val="center"/>
            </w:pPr>
            <w:r>
              <w:rPr>
                <w:rFonts w:ascii="Calibri" w:cs="Calibri" w:eastAsia="Calibri" w:hAnsi="Calibri"/>
                <w:i/>
                <w:iCs/>
                <w:color w:val="1A1A1A"/>
                <w:sz w:val="14"/>
                <w:szCs w:val="14"/>
              </w:rPr>
              <w:t xml:space="preserve">Authorised representative</w:t>
            </w:r>
          </w:p>
          <w:p>
            <w:pPr>
              <w:spacing w:after="320"/>
              <w:jc w:val="center"/>
            </w:pPr>
            <w:r>
              <w:rPr>
                <w:rFonts w:ascii="Calibri" w:cs="Calibri" w:eastAsia="Calibri" w:hAnsi="Calibri"/>
                <w:color w:val="808080"/>
                <w:sz w:val="12"/>
                <w:szCs w:val="12"/>
              </w:rPr>
              <w:t xml:space="preserve">(operating as “The Policy Exchange”), Noida, UP, India</w:t>
            </w:r>
          </w:p>
          <w:p>
            <w:pPr>
              <w:spacing w:after="60"/>
            </w:pPr>
            <w:r>
              <w:rPr>
                <w:rFonts w:ascii="Calibri" w:cs="Calibri" w:eastAsia="Calibri" w:hAnsi="Calibri"/>
                <w:color w:val="1A1A1A"/>
                <w:sz w:val="14"/>
                <w:szCs w:val="14"/>
              </w:rPr>
              <w:t xml:space="preserve">Signature:  __________________________________</w:t>
            </w:r>
          </w:p>
          <w:p>
            <w:pPr>
              <w:spacing w:after="200"/>
            </w:pPr>
            <w:r>
              <w:rPr>
                <w:rFonts w:ascii="Calibri" w:cs="Calibri" w:eastAsia="Calibri" w:hAnsi="Calibri"/>
                <w:color w:val="1A1A1A"/>
                <w:sz w:val="14"/>
                <w:szCs w:val="14"/>
              </w:rPr>
              <w:t xml:space="preserve">Name:  ____________________________________</w:t>
            </w:r>
          </w:p>
          <w:p>
            <w:pPr>
              <w:spacing w:after="200"/>
            </w:pPr>
            <w:r>
              <w:rPr>
                <w:rFonts w:ascii="Calibri" w:cs="Calibri" w:eastAsia="Calibri" w:hAnsi="Calibri"/>
                <w:color w:val="1A1A1A"/>
                <w:sz w:val="14"/>
                <w:szCs w:val="14"/>
              </w:rPr>
              <w:t xml:space="preserve">Title:  ____________________________________</w:t>
            </w:r>
          </w:p>
          <w:p>
            <w:pPr>
              <w:spacing w:after="200"/>
            </w:pPr>
            <w:r>
              <w:rPr>
                <w:rFonts w:ascii="Calibri" w:cs="Calibri" w:eastAsia="Calibri" w:hAnsi="Calibri"/>
                <w:color w:val="1A1A1A"/>
                <w:sz w:val="14"/>
                <w:szCs w:val="14"/>
              </w:rPr>
              <w:t xml:space="preserve">Date:  ____________________________________</w:t>
            </w:r>
          </w:p>
          <w:p>
            <w:pPr>
              <w:spacing w:after="0"/>
            </w:pPr>
            <w:r>
              <w:rPr>
                <w:rFonts w:ascii="Calibri" w:cs="Calibri" w:eastAsia="Calibri" w:hAnsi="Calibri"/>
                <w:color w:val="1A1A1A"/>
                <w:sz w:val="14"/>
                <w:szCs w:val="14"/>
              </w:rPr>
              <w:t xml:space="preserve">Place:  ____________________________________</w:t>
            </w:r>
          </w:p>
        </w:tc>
        <w:tc>
          <w:tcPr>
            <w:tcW w:type="dxa" w:w="4873"/>
            <w:tcBorders>
              <w:top w:val="single" w:color="BFBFBF" w:sz="4"/>
              <w:left w:val="single" w:color="BFBFBF" w:sz="4"/>
              <w:bottom w:val="single" w:color="BFBFBF" w:sz="4"/>
              <w:right w:val="single" w:color="BFBFBF" w:sz="4"/>
            </w:tcBorders>
            <w:tcMar>
              <w:top w:type="dxa" w:w="200"/>
              <w:left w:type="dxa" w:w="240"/>
              <w:bottom w:type="dxa" w:w="200"/>
              <w:right w:type="dxa" w:w="240"/>
            </w:tcMar>
            <w:vAlign w:val="top"/>
          </w:tcPr>
          <w:p>
            <w:pPr>
              <w:spacing w:after="80"/>
              <w:jc w:val="center"/>
            </w:pPr>
            <w:r>
              <w:rPr>
                <w:rFonts w:ascii="Calibri" w:cs="Calibri" w:eastAsia="Calibri" w:hAnsi="Calibri"/>
                <w:b/>
                <w:bCs/>
                <w:caps/>
                <w:color w:val="FFFFFF"/>
                <w:sz w:val="14"/>
                <w:szCs w:val="14"/>
              </w:rPr>
              <w:t xml:space="preserve">PRIMARY SIGNATORY</w:t>
            </w:r>
          </w:p>
          <w:p>
            <w:pPr>
              <w:spacing w:after="60"/>
              <w:jc w:val="center"/>
            </w:pPr>
            <w:r>
              <w:rPr>
                <w:rFonts w:ascii="Calibri" w:cs="Calibri" w:eastAsia="Calibri" w:hAnsi="Calibri"/>
                <w:b/>
                <w:bCs/>
                <w:color w:val="1F3864"/>
                <w:sz w:val="20"/>
                <w:szCs w:val="20"/>
              </w:rPr>
              <w:t xml:space="preserve">Ashish Kumar Satyam</w:t>
            </w:r>
          </w:p>
          <w:p>
            <w:pPr>
              <w:spacing w:after="80"/>
              <w:jc w:val="center"/>
            </w:pPr>
            <w:r>
              <w:rPr>
                <w:rFonts w:ascii="Calibri" w:cs="Calibri" w:eastAsia="Calibri" w:hAnsi="Calibri"/>
                <w:i/>
                <w:iCs/>
                <w:color w:val="1A1A1A"/>
                <w:sz w:val="14"/>
                <w:szCs w:val="14"/>
              </w:rPr>
              <w:t xml:space="preserve">Independent Consultant — Principal Engineer &amp; Solution Architect</w:t>
            </w:r>
          </w:p>
          <w:p>
            <w:pPr>
              <w:spacing w:after="320"/>
              <w:jc w:val="center"/>
            </w:pPr>
            <w:r>
              <w:rPr>
                <w:rFonts w:ascii="Calibri" w:cs="Calibri" w:eastAsia="Calibri" w:hAnsi="Calibri"/>
                <w:color w:val="808080"/>
                <w:sz w:val="12"/>
                <w:szCs w:val="12"/>
              </w:rPr>
              <w:t xml:space="preserve">BFSI &amp; Insurtech</w:t>
            </w:r>
          </w:p>
          <w:p>
            <w:pPr>
              <w:spacing w:after="60"/>
            </w:pPr>
            <w:r>
              <w:rPr>
                <w:rFonts w:ascii="Calibri" w:cs="Calibri" w:eastAsia="Calibri" w:hAnsi="Calibri"/>
                <w:color w:val="1A1A1A"/>
                <w:sz w:val="14"/>
                <w:szCs w:val="14"/>
              </w:rPr>
              <w:t xml:space="preserve">Signature:  __________________________________</w:t>
            </w:r>
          </w:p>
          <w:p>
            <w:pPr>
              <w:spacing w:after="200"/>
            </w:pPr>
            <w:r>
              <w:rPr>
                <w:rFonts w:ascii="Calibri" w:cs="Calibri" w:eastAsia="Calibri" w:hAnsi="Calibri"/>
                <w:color w:val="1A1A1A"/>
                <w:sz w:val="14"/>
                <w:szCs w:val="14"/>
              </w:rPr>
              <w:t xml:space="preserve">Name:  ____________________________________</w:t>
            </w:r>
          </w:p>
          <w:p>
            <w:pPr>
              <w:spacing w:after="200"/>
            </w:pPr>
            <w:r>
              <w:rPr>
                <w:rFonts w:ascii="Calibri" w:cs="Calibri" w:eastAsia="Calibri" w:hAnsi="Calibri"/>
                <w:color w:val="1A1A1A"/>
                <w:sz w:val="14"/>
                <w:szCs w:val="14"/>
              </w:rPr>
              <w:t xml:space="preserve">Title:  ____________________________________</w:t>
            </w:r>
          </w:p>
          <w:p>
            <w:pPr>
              <w:spacing w:after="200"/>
            </w:pPr>
            <w:r>
              <w:rPr>
                <w:rFonts w:ascii="Calibri" w:cs="Calibri" w:eastAsia="Calibri" w:hAnsi="Calibri"/>
                <w:color w:val="1A1A1A"/>
                <w:sz w:val="14"/>
                <w:szCs w:val="14"/>
              </w:rPr>
              <w:t xml:space="preserve">Date:  ____________________________________</w:t>
            </w:r>
          </w:p>
          <w:p>
            <w:pPr>
              <w:spacing w:after="0"/>
            </w:pPr>
            <w:r>
              <w:rPr>
                <w:rFonts w:ascii="Calibri" w:cs="Calibri" w:eastAsia="Calibri" w:hAnsi="Calibri"/>
                <w:color w:val="1A1A1A"/>
                <w:sz w:val="14"/>
                <w:szCs w:val="14"/>
              </w:rPr>
              <w:t xml:space="preserve">Place:  ____________________________________</w:t>
            </w:r>
          </w:p>
        </w:tc>
      </w:tr>
    </w:tbl>
    <w:p>
      <w:pPr>
        <w:spacing w:after="100"/>
      </w:pPr>
      <w:r>
        <w:t xml:space="preserve"/>
      </w:r>
    </w:p>
    <w:p>
      <w:pPr>
        <w:pStyle w:val="Heading3"/>
        <w:spacing w:after="100" w:before="200"/>
      </w:pPr>
      <w:r>
        <w:rPr>
          <w:rFonts w:ascii="Calibri" w:cs="Calibri" w:eastAsia="Calibri" w:hAnsi="Calibri"/>
          <w:b/>
          <w:bCs/>
          <w:color w:val="1A1A1A"/>
          <w:sz w:val="24"/>
          <w:szCs w:val="24"/>
        </w:rPr>
        <w:t xml:space="preserve">Counter-signatures (for Client internal endorsement)</w:t>
      </w:r>
    </w:p>
    <w:p>
      <w:pPr>
        <w:spacing w:after="120" w:before="0"/>
      </w:pPr>
      <w:r>
        <w:rPr>
          <w:rFonts w:ascii="Calibri" w:cs="Calibri" w:eastAsia="Calibri" w:hAnsi="Calibri"/>
          <w:color w:val="1A1A1A"/>
          <w:sz w:val="20"/>
          <w:szCs w:val="20"/>
        </w:rPr>
        <w:t xml:space="preserve">The signatures below are for internal endorsement and document control only. They do not constitute additional contracting parties; the contractual signatories are those in the table above.</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300"/>
        <w:gridCol w:w="154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Endorser role</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Name</w:t>
            </w:r>
          </w:p>
        </w:tc>
        <w:tc>
          <w:tcPr>
            <w:tcW w:type="dxa" w:w="23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Signature</w:t>
            </w:r>
          </w:p>
        </w:tc>
        <w:tc>
          <w:tcPr>
            <w:tcW w:type="dxa" w:w="1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Date</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Chief Technology Officer</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Compliance</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1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Head of Customer Experience</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_____________________</w:t>
            </w:r>
          </w:p>
        </w:tc>
        <w:tc>
          <w:tcPr>
            <w:tcW w:type="dxa" w:w="1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_______</w:t>
            </w:r>
          </w:p>
        </w:tc>
      </w:tr>
    </w:tbl>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8F00" w:sz="4"/>
              <w:left w:val="single" w:color="BF8F00" w:sz="18"/>
              <w:bottom w:val="single" w:color="BF8F00" w:sz="4"/>
              <w:right w:val="single" w:color="BF8F00" w:sz="4"/>
            </w:tcBorders>
            <w:shd w:fill="FFF2CC" w:color="auto" w:val="clear"/>
            <w:tcMar>
              <w:top w:type="dxa" w:w="160"/>
              <w:left w:type="dxa" w:w="200"/>
              <w:bottom w:type="dxa" w:w="160"/>
              <w:right w:type="dxa" w:w="200"/>
            </w:tcMar>
          </w:tcPr>
          <w:p>
            <w:pPr>
              <w:spacing w:after="0"/>
            </w:pPr>
            <w:r>
              <w:rPr>
                <w:rFonts w:ascii="Calibri" w:cs="Calibri" w:eastAsia="Calibri" w:hAnsi="Calibri"/>
                <w:b/>
                <w:bCs/>
                <w:color w:val="1F3864"/>
                <w:sz w:val="20"/>
                <w:szCs w:val="20"/>
              </w:rPr>
              <w:t xml:space="preserve">Effective date.</w:t>
            </w:r>
            <w:r>
              <w:rPr>
                <w:rFonts w:ascii="Calibri" w:cs="Calibri" w:eastAsia="Calibri" w:hAnsi="Calibri"/>
                <w:sz w:val="20"/>
                <w:szCs w:val="20"/>
              </w:rPr>
              <w:t xml:space="preserve">  </w:t>
            </w:r>
            <w:r>
              <w:rPr>
                <w:rFonts w:ascii="Calibri" w:cs="Calibri" w:eastAsia="Calibri" w:hAnsi="Calibri"/>
                <w:i w:val="false"/>
                <w:iCs w:val="false"/>
                <w:color w:val="1A1A1A"/>
                <w:sz w:val="18"/>
                <w:szCs w:val="18"/>
              </w:rPr>
              <w:t xml:space="preserve">This SOW takes effect on the latest of the dates shown in the FOR THE CLIENT and FOR THE CONSULTANT signature blocks above. The Effective Date is recorded in Section 1 once both signatures are complete.</w:t>
            </w:r>
          </w:p>
        </w:tc>
      </w:tr>
    </w:tbl>
    <w:sectPr>
      <w:headerReference w:type="default" r:id="rId7"/>
      <w:footerReference w:type="default" r:id="rId8"/>
      <w:pgSz w:w="11906" w:h="16838"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center" w:pos="4873"/>
        <w:tab w:val="right" w:pos="9746"/>
      </w:tabs>
      <w:spacing w:before="0"/>
    </w:pPr>
    <w:r>
      <w:rPr>
        <w:rFonts w:ascii="Calibri" w:cs="Calibri" w:eastAsia="Calibri" w:hAnsi="Calibri"/>
        <w:color w:val="808080"/>
        <w:sz w:val="14"/>
        <w:szCs w:val="14"/>
      </w:rPr>
      <w:t xml:space="preserve">Fairvalue Insuretech Pvt. Ltd.  |  TPE-COMMS-SOW-2026-001-v4</w:t>
    </w:r>
    <w:r>
      <w:rPr>
        <w:rFonts w:ascii="Calibri" w:cs="Calibri" w:eastAsia="Calibri" w:hAnsi="Calibri"/>
        <w:sz w:val="14"/>
        <w:szCs w:val="14"/>
      </w:rPr>
      <w:t xml:space="preserve">	</w:t>
    </w:r>
    <w:r>
      <w:rPr>
        <w:rFonts w:ascii="Calibri" w:cs="Calibri" w:eastAsia="Calibri" w:hAnsi="Calibri"/>
        <w:color w:val="808080"/>
        <w:sz w:val="14"/>
        <w:szCs w:val="14"/>
      </w:rPr>
      <w:t xml:space="preserve">Page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of </w:t>
    </w:r>
    <w:r>
      <w:rPr>
        <w:rFonts w:ascii="Calibri" w:cs="Calibri" w:eastAsia="Calibri" w:hAnsi="Calibri"/>
        <w:color w:val="808080"/>
        <w:sz w:val="14"/>
        <w:szCs w:val="14"/>
      </w:rPr>
      <w:fldChar w:fldCharType="begin"/>
      <w:instrText xml:space="preserve">NUMPAGES</w:instrText>
      <w:fldChar w:fldCharType="separate"/>
      <w:fldChar w:fldCharType="end"/>
    </w:r>
    <w:r>
      <w:rPr>
        <w:rFonts w:ascii="Calibri" w:cs="Calibri" w:eastAsia="Calibri" w:hAnsi="Calibri"/>
        <w:sz w:val="14"/>
        <w:szCs w:val="14"/>
      </w:rPr>
      <w:t xml:space="preserve">	</w:t>
    </w:r>
    <w:r>
      <w:rPr>
        <w:rFonts w:ascii="Calibri" w:cs="Calibri" w:eastAsia="Calibri" w:hAnsi="Calibri"/>
        <w:i/>
        <w:iCs/>
        <w:color w:val="808080"/>
        <w:sz w:val="14"/>
        <w:szCs w:val="14"/>
      </w:rPr>
      <w:t xml:space="preserv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746"/>
      </w:tabs>
      <w:spacing w:after="0"/>
    </w:pPr>
    <w:r>
      <w:rPr>
        <w:rFonts w:ascii="Calibri" w:cs="Calibri" w:eastAsia="Calibri" w:hAnsi="Calibri"/>
        <w:color w:val="808080"/>
        <w:sz w:val="16"/>
        <w:szCs w:val="16"/>
      </w:rPr>
      <w:t xml:space="preserve">TPE Communication System  |  Statement of Work  |  v4.0 (Novu)</w:t>
    </w:r>
    <w:r>
      <w:rPr>
        <w:rFonts w:ascii="Calibri" w:cs="Calibri" w:eastAsia="Calibri" w:hAnsi="Calibri"/>
        <w:sz w:val="16"/>
        <w:szCs w:val="16"/>
      </w:rPr>
      <w:t xml:space="preserve">	</w:t>
    </w:r>
    <w:r>
      <w:rPr>
        <w:rFonts w:ascii="Calibri" w:cs="Calibri" w:eastAsia="Calibri" w:hAnsi="Calibri"/>
        <w:i/>
        <w:iCs/>
        <w:color w:val="808080"/>
        <w:sz w:val="16"/>
        <w:szCs w:val="16"/>
      </w:rPr>
      <w:t xml:space="preserve">Internal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360" w:hanging="3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6"/>
      <w:szCs w:val="36"/>
    </w:rPr>
  </w:style>
  <w:style w:type="paragraph" w:styleId="Heading2">
    <w:name w:val="Heading 2"/>
    <w:basedOn w:val="Normal"/>
    <w:next w:val="Normal"/>
    <w:qFormat/>
    <w:rPr>
      <w:rFonts w:ascii="Calibri" w:cs="Calibri" w:eastAsia="Calibri" w:hAnsi="Calibri"/>
      <w:b/>
      <w:bCs/>
      <w:color w:val="1F3864"/>
      <w:sz w:val="28"/>
      <w:szCs w:val="28"/>
    </w:rPr>
  </w:style>
  <w:style w:type="paragraph" w:styleId="Heading3">
    <w:name w:val="Heading 3"/>
    <w:basedOn w:val="Normal"/>
    <w:next w:val="Normal"/>
    <w:qFormat/>
    <w:rPr>
      <w:rFonts w:ascii="Calibri" w:cs="Calibri" w:eastAsia="Calibri" w:hAnsi="Calibri"/>
      <w:b/>
      <w:b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TPE Communication System — Statement of Work v4.0 (Novu)</dc:title>
  <dc:subject>Statement of Work between Fairvalue Insuretech Pvt. Ltd. and the Consultant</dc:subject>
  <dc:creator>Ashish Kumar Satyam (Consultant)</dc:creator>
  <dc:description>Comprehensive SOW with Novu-based architecture, commercial and legal terms; v4.0</dc:description>
  <cp:lastModifiedBy>Un-named</cp:lastModifiedBy>
  <cp:revision>1</cp:revision>
  <dcterms:created xsi:type="dcterms:W3CDTF">2026-04-26T14:42:20.160Z</dcterms:created>
  <dcterms:modified xsi:type="dcterms:W3CDTF">2026-04-26T14:42:20.168Z</dcterms:modified>
</cp:coreProperties>
</file>

<file path=docProps/custom.xml><?xml version="1.0" encoding="utf-8"?>
<Properties xmlns="http://schemas.openxmlformats.org/officeDocument/2006/custom-properties" xmlns:vt="http://schemas.openxmlformats.org/officeDocument/2006/docPropsVTypes"/>
</file>