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Calibri" w:cs="Calibri" w:eastAsia="Calibri" w:hAnsi="Calibri"/>
          <w:b/>
          <w:bCs/>
          <w:caps/>
          <w:color w:val="808080"/>
          <w:sz w:val="40"/>
          <w:szCs w:val="40"/>
        </w:rPr>
        <w:t xml:space="preserve">STATEMENT OF WORK</w:t>
      </w:r>
    </w:p>
    <w:p>
      <w:pPr>
        <w:spacing w:after="600" w:before="0"/>
        <w:jc w:val="center"/>
      </w:pPr>
      <w:r>
        <w:rPr>
          <w:rFonts w:ascii="Calibri" w:cs="Calibri" w:eastAsia="Calibri" w:hAnsi="Calibri"/>
          <w:i/>
          <w:iCs/>
          <w:color w:val="808080"/>
          <w:sz w:val="18"/>
          <w:szCs w:val="18"/>
        </w:rPr>
        <w:t xml:space="preserve">Confidential — Between the Parties Named Below</w:t>
      </w:r>
    </w:p>
    <w:p>
      <w:pPr>
        <w:spacing w:after="100"/>
        <w:jc w:val="center"/>
      </w:pPr>
      <w:r>
        <w:rPr>
          <w:rFonts w:ascii="Calibri" w:cs="Calibri" w:eastAsia="Calibri" w:hAnsi="Calibri"/>
          <w:b/>
          <w:bCs/>
          <w:color w:val="1F3864"/>
          <w:sz w:val="48"/>
          <w:szCs w:val="48"/>
        </w:rPr>
        <w:t xml:space="preserve">TPE COMMUNICATION SYSTEM</w:t>
      </w:r>
    </w:p>
    <w:p>
      <w:pPr>
        <w:spacing w:after="200"/>
        <w:jc w:val="center"/>
      </w:pPr>
      <w:r>
        <w:rPr>
          <w:rFonts w:ascii="Calibri" w:cs="Calibri" w:eastAsia="Calibri" w:hAnsi="Calibri"/>
          <w:b/>
          <w:bCs/>
          <w:color w:val="8FAADC"/>
          <w:sz w:val="32"/>
          <w:szCs w:val="32"/>
        </w:rPr>
        <w:t xml:space="preserve">Built on Self-hosted Novu</w:t>
      </w:r>
    </w:p>
    <w:p>
      <w:pPr>
        <w:spacing w:after="800"/>
        <w:jc w:val="center"/>
      </w:pPr>
      <w:r>
        <w:rPr>
          <w:rFonts w:ascii="Calibri" w:cs="Calibri" w:eastAsia="Calibri" w:hAnsi="Calibri"/>
          <w:i/>
          <w:iCs/>
          <w:color w:val="1A1A1A"/>
          <w:sz w:val="22"/>
          <w:szCs w:val="22"/>
        </w:rPr>
        <w:t xml:space="preserve">A unified, multi-audience, multi-channel, workflow-driven
communication engine for the Indian insurtech secondary market</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49</w:t>
            </w:r>
          </w:p>
          <w:p>
            <w:pPr>
              <w:spacing w:after="0"/>
              <w:jc w:val="center"/>
            </w:pPr>
            <w:r>
              <w:rPr>
                <w:rFonts w:ascii="Calibri" w:cs="Calibri" w:eastAsia="Calibri" w:hAnsi="Calibri"/>
                <w:b/>
                <w:bCs/>
                <w:color w:val="FFFFFF"/>
                <w:sz w:val="16"/>
                <w:szCs w:val="16"/>
              </w:rPr>
              <w:t xml:space="preserve">Workflows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5</w:t>
            </w:r>
          </w:p>
          <w:p>
            <w:pPr>
              <w:spacing w:after="0"/>
              <w:jc w:val="center"/>
            </w:pPr>
            <w:r>
              <w:rPr>
                <w:rFonts w:ascii="Calibri" w:cs="Calibri" w:eastAsia="Calibri" w:hAnsi="Calibri"/>
                <w:b/>
                <w:bCs/>
                <w:color w:val="FFFFFF"/>
                <w:sz w:val="16"/>
                <w:szCs w:val="16"/>
              </w:rPr>
              <w:t xml:space="preserve">Audiences</w:t>
            </w:r>
          </w:p>
        </w:tc>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3</w:t>
            </w:r>
          </w:p>
          <w:p>
            <w:pPr>
              <w:spacing w:after="0"/>
              <w:jc w:val="center"/>
            </w:pPr>
            <w:r>
              <w:rPr>
                <w:rFonts w:ascii="Calibri" w:cs="Calibri" w:eastAsia="Calibri" w:hAnsi="Calibri"/>
                <w:b/>
                <w:bCs/>
                <w:color w:val="FFFFFF"/>
                <w:sz w:val="16"/>
                <w:szCs w:val="16"/>
              </w:rPr>
              <w:t xml:space="preserve">Indian BSPs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25</w:t>
            </w:r>
          </w:p>
          <w:p>
            <w:pPr>
              <w:spacing w:after="0"/>
              <w:jc w:val="center"/>
            </w:pPr>
            <w:r>
              <w:rPr>
                <w:rFonts w:ascii="Calibri" w:cs="Calibri" w:eastAsia="Calibri" w:hAnsi="Calibri"/>
                <w:b/>
                <w:bCs/>
                <w:color w:val="FFFFFF"/>
                <w:sz w:val="16"/>
                <w:szCs w:val="16"/>
              </w:rPr>
              <w:t xml:space="preserve">Engineering Days</w:t>
            </w:r>
          </w:p>
        </w:tc>
      </w:tr>
    </w:tbl>
    <w:p>
      <w:pPr>
        <w:spacing w:after="100"/>
      </w:pPr>
      <w:r>
        <w:t xml:space="preserve"/>
      </w:r>
    </w:p>
    <w:p>
      <w:pPr>
        <w:spacing w:after="100"/>
      </w:pPr>
      <w:r>
        <w:t xml:space="preserve"/>
      </w:r>
    </w:p>
    <w:p>
      <w:pPr>
        <w:spacing w:after="100" w:before="400"/>
        <w:jc w:val="center"/>
      </w:pPr>
      <w:r>
        <w:rPr>
          <w:rFonts w:ascii="Calibri" w:cs="Calibri" w:eastAsia="Calibri" w:hAnsi="Calibri"/>
          <w:b/>
          <w:bCs/>
          <w:caps/>
          <w:color w:val="808080"/>
          <w:sz w:val="18"/>
          <w:szCs w:val="18"/>
        </w:rPr>
        <w:t xml:space="preserve">BETWEEN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6"/>
                <w:szCs w:val="16"/>
              </w:rPr>
              <w:t xml:space="preserve">THE CLIENT</w:t>
            </w:r>
          </w:p>
        </w:tc>
        <w:tc>
          <w:tcPr>
            <w:tcW w:type="dxa" w:w="48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6"/>
                <w:szCs w:val="16"/>
              </w:rPr>
              <w:t xml:space="preserve">THE CONSULTANT</w:t>
            </w:r>
          </w:p>
        </w:tc>
      </w:tr>
      <w:tr>
        <w:tc>
          <w:tcPr>
            <w:tcW w:type="dxa" w:w="4873"/>
            <w:tcBorders>
              <w:top w:val="single" w:color="BFBFBF" w:sz="4"/>
              <w:left w:val="single" w:color="BFBFBF" w:sz="4"/>
              <w:bottom w:val="single" w:color="BFBFBF" w:sz="4"/>
              <w:right w:val="single" w:color="BFBFBF" w:sz="4"/>
            </w:tcBorders>
            <w:tcMar>
              <w:top w:type="dxa" w:w="200"/>
              <w:left w:type="dxa" w:w="200"/>
              <w:bottom w:type="dxa" w:w="200"/>
              <w:right w:type="dxa" w:w="200"/>
            </w:tcMar>
          </w:tcPr>
          <w:p>
            <w:pPr>
              <w:spacing w:after="80"/>
              <w:jc w:val="center"/>
            </w:pPr>
            <w:r>
              <w:rPr>
                <w:rFonts w:ascii="Calibri" w:cs="Calibri" w:eastAsia="Calibri" w:hAnsi="Calibri"/>
                <w:b/>
                <w:bCs/>
                <w:color w:val="1F3864"/>
                <w:sz w:val="22"/>
                <w:szCs w:val="22"/>
              </w:rPr>
              <w:t xml:space="preserve">Fairvalue Insuretech Pvt. Ltd.</w:t>
            </w:r>
          </w:p>
          <w:p>
            <w:pPr>
              <w:spacing w:after="60"/>
              <w:jc w:val="center"/>
            </w:pPr>
            <w:r>
              <w:rPr>
                <w:rFonts w:ascii="Calibri" w:cs="Calibri" w:eastAsia="Calibri" w:hAnsi="Calibri"/>
                <w:i/>
                <w:iCs/>
                <w:color w:val="1A1A1A"/>
                <w:sz w:val="16"/>
                <w:szCs w:val="16"/>
              </w:rPr>
              <w:t xml:space="preserve">(operating as “The Policy Exchange”)</w:t>
            </w:r>
          </w:p>
          <w:p>
            <w:pPr>
              <w:spacing w:after="20"/>
              <w:jc w:val="center"/>
            </w:pPr>
            <w:r>
              <w:rPr>
                <w:rFonts w:ascii="Calibri" w:cs="Calibri" w:eastAsia="Calibri" w:hAnsi="Calibri"/>
                <w:color w:val="1A1A1A"/>
                <w:sz w:val="16"/>
                <w:szCs w:val="16"/>
              </w:rPr>
              <w:t xml:space="preserve">Registered office: Noida, Uttar Pradesh, India</w:t>
            </w:r>
          </w:p>
          <w:p>
            <w:pPr>
              <w:spacing w:after="60"/>
              <w:jc w:val="center"/>
            </w:pPr>
            <w:r>
              <w:rPr>
                <w:rFonts w:ascii="Calibri" w:cs="Calibri" w:eastAsia="Calibri" w:hAnsi="Calibri"/>
                <w:color w:val="1A1A1A"/>
                <w:sz w:val="16"/>
                <w:szCs w:val="16"/>
              </w:rPr>
              <w:t xml:space="preserve">CIN: [Client to insert]</w:t>
            </w:r>
          </w:p>
          <w:p>
            <w:pPr>
              <w:spacing w:after="0"/>
              <w:jc w:val="center"/>
            </w:pPr>
            <w:r>
              <w:rPr>
                <w:rFonts w:ascii="Calibri" w:cs="Calibri" w:eastAsia="Calibri" w:hAnsi="Calibri"/>
                <w:b/>
                <w:bCs/>
                <w:color w:val="1F3864"/>
                <w:sz w:val="16"/>
                <w:szCs w:val="16"/>
              </w:rPr>
              <w:t xml:space="preserve">(“Client” / “TPE”)</w:t>
            </w:r>
          </w:p>
        </w:tc>
        <w:tc>
          <w:tcPr>
            <w:tcW w:type="dxa" w:w="4873"/>
            <w:tcBorders>
              <w:top w:val="single" w:color="BFBFBF" w:sz="4"/>
              <w:left w:val="single" w:color="BFBFBF" w:sz="4"/>
              <w:bottom w:val="single" w:color="BFBFBF" w:sz="4"/>
              <w:right w:val="single" w:color="BFBFBF" w:sz="4"/>
            </w:tcBorders>
            <w:tcMar>
              <w:top w:type="dxa" w:w="200"/>
              <w:left w:type="dxa" w:w="200"/>
              <w:bottom w:type="dxa" w:w="200"/>
              <w:right w:type="dxa" w:w="200"/>
            </w:tcMar>
          </w:tcPr>
          <w:p>
            <w:pPr>
              <w:spacing w:after="80"/>
              <w:jc w:val="center"/>
            </w:pPr>
            <w:r>
              <w:rPr>
                <w:rFonts w:ascii="Calibri" w:cs="Calibri" w:eastAsia="Calibri" w:hAnsi="Calibri"/>
                <w:b/>
                <w:bCs/>
                <w:color w:val="1F3864"/>
                <w:sz w:val="22"/>
                <w:szCs w:val="22"/>
              </w:rPr>
              <w:t xml:space="preserve">Ashish Kumar Satyam</w:t>
            </w:r>
          </w:p>
          <w:p>
            <w:pPr>
              <w:spacing w:after="60"/>
              <w:jc w:val="center"/>
            </w:pPr>
            <w:r>
              <w:rPr>
                <w:rFonts w:ascii="Calibri" w:cs="Calibri" w:eastAsia="Calibri" w:hAnsi="Calibri"/>
                <w:i/>
                <w:iCs/>
                <w:color w:val="1A1A1A"/>
                <w:sz w:val="16"/>
                <w:szCs w:val="16"/>
              </w:rPr>
              <w:t xml:space="preserve">Principal Engineer &amp; Solution Architect</w:t>
            </w:r>
          </w:p>
          <w:p>
            <w:pPr>
              <w:spacing w:after="20"/>
              <w:jc w:val="center"/>
            </w:pPr>
            <w:r>
              <w:rPr>
                <w:rFonts w:ascii="Calibri" w:cs="Calibri" w:eastAsia="Calibri" w:hAnsi="Calibri"/>
                <w:color w:val="1A1A1A"/>
                <w:sz w:val="16"/>
                <w:szCs w:val="16"/>
              </w:rPr>
              <w:t xml:space="preserve">Independent Consultant, BFSI &amp; Insurtech</w:t>
            </w:r>
          </w:p>
          <w:p>
            <w:pPr>
              <w:spacing w:after="60"/>
              <w:jc w:val="center"/>
            </w:pPr>
            <w:r>
              <w:rPr>
                <w:rFonts w:ascii="Calibri" w:cs="Calibri" w:eastAsia="Calibri" w:hAnsi="Calibri"/>
                <w:color w:val="1A1A1A"/>
                <w:sz w:val="16"/>
                <w:szCs w:val="16"/>
              </w:rPr>
              <w:t xml:space="preserve">PAN / GSTIN: [Consultant to insert]</w:t>
            </w:r>
          </w:p>
          <w:p>
            <w:pPr>
              <w:spacing w:after="0"/>
              <w:jc w:val="center"/>
            </w:pPr>
            <w:r>
              <w:rPr>
                <w:rFonts w:ascii="Calibri" w:cs="Calibri" w:eastAsia="Calibri" w:hAnsi="Calibri"/>
                <w:b/>
                <w:bCs/>
                <w:color w:val="1F3864"/>
                <w:sz w:val="16"/>
                <w:szCs w:val="16"/>
              </w:rPr>
              <w:t xml:space="preserve">(“Consultant”)</w:t>
            </w:r>
          </w:p>
        </w:tc>
      </w:tr>
    </w:tbl>
    <w:p>
      <w:pPr>
        <w:spacing w:after="100"/>
      </w:pPr>
      <w:r>
        <w:t xml:space="preserve"/>
      </w:r>
    </w:p>
    <w:p>
      <w:pPr>
        <w:spacing w:after="80" w:before="400"/>
        <w:jc w:val="center"/>
      </w:pPr>
      <w:r>
        <w:rPr>
          <w:rFonts w:ascii="Calibri" w:cs="Calibri" w:eastAsia="Calibri" w:hAnsi="Calibri"/>
          <w:color w:val="808080"/>
          <w:sz w:val="16"/>
          <w:szCs w:val="16"/>
        </w:rPr>
        <w:t xml:space="preserve">Document ID: TPE-COMMS-SOW-2026-001-v5  |  Version 5.0  |  Effective Date: 26 April 2026</w:t>
      </w:r>
    </w:p>
    <w:p>
      <w:pPr>
        <w:spacing w:after="0"/>
        <w:jc w:val="center"/>
      </w:pPr>
      <w:r>
        <w:rPr>
          <w:rFonts w:ascii="Calibri" w:cs="Calibri" w:eastAsia="Calibri" w:hAnsi="Calibri"/>
          <w:i/>
          <w:iCs/>
          <w:color w:val="808080"/>
          <w:sz w:val="16"/>
          <w:szCs w:val="16"/>
        </w:rPr>
        <w:t xml:space="preserve">Classification: Internal &amp; Confidential — Distribution per Section 4</w:t>
      </w:r>
    </w:p>
    <w:p>
      <w:pPr>
        <w:pStyle w:val="Heading1"/>
        <w:pageBreakBefore/>
        <w:spacing w:after="240" w:before="0"/>
      </w:pPr>
      <w:r>
        <w:rPr>
          <w:rFonts w:ascii="Calibri" w:cs="Calibri" w:eastAsia="Calibri" w:hAnsi="Calibri"/>
          <w:b/>
          <w:bCs/>
          <w:color w:val="1F3864"/>
          <w:sz w:val="36"/>
          <w:szCs w:val="36"/>
        </w:rPr>
        <w:t xml:space="preserve">Table of Contents</w:t>
      </w:r>
    </w:p>
    <w:p>
      <w:pPr>
        <w:spacing w:after="120" w:before="0"/>
      </w:pPr>
      <w:r>
        <w:rPr>
          <w:rFonts w:ascii="Calibri" w:cs="Calibri" w:eastAsia="Calibri" w:hAnsi="Calibri"/>
          <w:color w:val="1A1A1A"/>
          <w:sz w:val="20"/>
          <w:szCs w:val="20"/>
        </w:rPr>
        <w:t xml:space="preserve">v5.0 is the SOW-only revision of this engagement. Sections that previously held detailed solution design, audience personas, full trigger cadence, deployment topology, sizing, IaC layout, provider plugin code and audit-event schemas have been compressed to SOW-level statements; the engineering detail moves to a companion Technical Solution Document (TSD) referenced from this SOW. Everything required to commit to this engagement — scope, deliverables, phases, acceptance, governance, risk, resourcing, commercial and legal terms — remains in this document. Total contract value, day rate, milestone structure and phase length are unchanged from v4.0.</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 — DOCUMENT CONTROL &amp; EXECUTIVE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Information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Control &amp; Approval Matrix</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Version History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Distribution List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Executive Summary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Executive Dashboard</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 Case &amp; ROI Analysis</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II — CONTEXT &amp; SCOPE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 Context — The Policy Exchange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Problem Statement &amp; Current State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Project Vision, Objectives &amp; Success Metrics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Scope (In / Out)</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III — STAKEHOLDERS &amp; AUDIENCE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Stakeholder Register</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Audiences (5; summary)</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IV — DOMAIN OVERVIEW</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Inventory (49 triggers, summary; full catalogue in companion solution document)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 Coverage (summary)</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 — SOLUTION OVERVIEW (SUMMARY)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Solution Approach (Novu — summary)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Overview (summary; full TSD separate)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Engineering Layers (summary; full TSD separate)</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VI — COMPLIANCE, SECURITY &amp; QUALITY (SUMMARY)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Regulatory Regimes Covered</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Security &amp; Privacy (summary)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Assurance &amp; Defect SLAs</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VII — DELIVERY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Implementation Phases &amp; Timeline (5 phases, all in core)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Deliverables (per phase)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Criteria &amp; Procedure</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VIII — GOVERNANCE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Roles &amp; Responsibilities (RACI)</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Communication Management Plan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Management Process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Service Level Agreements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Governance &amp; Review Cadence</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IX — RISK &amp; DEPENDENCIES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Assumptions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Dependencies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Risk Register</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 — RESOURCING &amp; READINESS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Effort Estimation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Resource Plan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Readiness &amp; Go-Live Criteria</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Knowledge Transfer &amp; Training Plan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Post-Implementation Support &amp; Maintenance</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XI — COMMERCIAL TERMS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Charges &amp; Engagement Model</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Payment Schedule &amp; Milestones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Invoicing, Taxes &amp; Out-of-Pocket Reimbursements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Orders &amp; Rate Card</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XII — LEGAL &amp; CONTRACT TERMS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Warranty &amp; Service Standards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Limitation of Liability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Indemnification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Requirements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Term, Renewal &amp; Termination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Confidentiality, IP &amp; Data Ownership</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Protection (DPDPA) &amp; DPA Reference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Force Majeure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Governing Law &amp; Dispute Resolution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General Provisions</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XIII — REFERENCE &amp; SIGN-OFF</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Glossary (incl. Novu terms)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References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Sign-off</w:t>
            </w:r>
          </w:p>
        </w:tc>
      </w:tr>
    </w:tbl>
    <w:p>
      <w:pPr>
        <w:pStyle w:val="Heading1"/>
        <w:pageBreakBefore/>
        <w:spacing w:after="240" w:before="0"/>
      </w:pPr>
      <w:r>
        <w:rPr>
          <w:rFonts w:ascii="Calibri" w:cs="Calibri" w:eastAsia="Calibri" w:hAnsi="Calibri"/>
          <w:b/>
          <w:bCs/>
          <w:color w:val="1F3864"/>
          <w:sz w:val="36"/>
          <w:szCs w:val="36"/>
        </w:rPr>
        <w:t xml:space="preserve">Executive Briefing</w:t>
      </w:r>
    </w:p>
    <w:p>
      <w:pPr>
        <w:spacing w:after="120" w:before="0"/>
      </w:pPr>
      <w:r>
        <w:rPr>
          <w:rFonts w:ascii="Calibri" w:cs="Calibri" w:eastAsia="Calibri" w:hAnsi="Calibri"/>
          <w:i/>
          <w:iCs/>
          <w:color w:val="808080"/>
          <w:sz w:val="18"/>
          <w:szCs w:val="18"/>
        </w:rPr>
        <w:t xml:space="preserve">For the Founders, CTO, Head of Compliance and Head of Customer Experience.</w:t>
      </w:r>
    </w:p>
    <w:p>
      <w:pPr>
        <w:spacing w:after="100"/>
      </w:pPr>
      <w:r>
        <w:t xml:space="preserve"/>
      </w:r>
    </w:p>
    <w:p>
      <w:pPr>
        <w:spacing w:after="120" w:before="0"/>
      </w:pPr>
      <w:r>
        <w:rPr>
          <w:rFonts w:ascii="Calibri" w:cs="Calibri" w:eastAsia="Calibri" w:hAnsi="Calibri"/>
          <w:color w:val="1A1A1A"/>
          <w:sz w:val="20"/>
          <w:szCs w:val="20"/>
        </w:rPr>
        <w:t xml:space="preserve">v5.0 is the SOW-only revision of this engagement. v4.0 mixed the Statement of Work with substantial Technical Solution Document (TSD) content — deployment topology, sizing tables, repository layouts, provider-plugin TypeScript, audit-event JSON schemas. v5.0 separates concerns: this document is the SOW — scope, deliverables, phases, acceptance, governance, risk, resourcing, commercial and legal terms only. The engineering detail moves to a companion Technical Solution Document, referenced from this SOW where relevant. Both documents are required artefacts of the engagement; the SOW is the contractual instrument and the TSD is the technical design.</w:t>
      </w:r>
    </w:p>
    <w:p>
      <w:pPr>
        <w:spacing w:after="120" w:before="0"/>
      </w:pPr>
      <w:r>
        <w:rPr>
          <w:rFonts w:ascii="Calibri" w:cs="Calibri" w:eastAsia="Calibri" w:hAnsi="Calibri"/>
          <w:color w:val="1A1A1A"/>
          <w:sz w:val="20"/>
          <w:szCs w:val="20"/>
        </w:rPr>
        <w:t xml:space="preserve">Architecture in one paragraph. The system is delivered on self-hosted Novu — the open-source notification infrastructure platform — deployed on Client-controlled infrastructure in India for DPDPA-clean data residency. Forty-nine lifecycle workflows are authored in TypeScript and wired to four channels (Email, SMS, WhatsApp via Cloud API + BSP, RCS). Three Indian channel providers are integrated: Gupshup natively (with first-class DLT pass-through) and MSG91 + Karix as custom Novu provider plugins built in this engagement. A Consultant-built compliance middleware enforces DLT, IRDAI, WhatsApp BSP and DPDPA rules at workflow execution. Observability and audit produce regulator-grade evidence per dispatched message. A multi-tenant routing layer recognises the eleven insurance partners as distinct sender identities. Detail and engineering rationale are in the companion TSD.</w:t>
      </w:r>
    </w:p>
    <w:p>
      <w:pPr>
        <w:spacing w:after="120" w:before="0"/>
      </w:pPr>
      <w:r>
        <w:rPr>
          <w:rFonts w:ascii="Calibri" w:cs="Calibri" w:eastAsia="Calibri" w:hAnsi="Calibri"/>
          <w:color w:val="1A1A1A"/>
          <w:sz w:val="20"/>
          <w:szCs w:val="20"/>
        </w:rPr>
        <w:t xml:space="preserve">Engagement shape is unchanged from v4.0. Five phases, all in core, twenty-five working consultant-days at INR 8,75,000 plus GST. Mobilisation 20%; phases 1–5 at 15 / 18 / 20 / 15 / 12% of total. Reviewer time on Client side is approximately fifteen days across CX, Compliance, Brand, CTO, Infra/DevOps and Insurer Ops. Success metrics are unchanged from v3.0: seven baselined objectives, of which the headline is a target twenty-percent reduction in investor premium-default rate within six months of go-live.</w:t>
      </w:r>
    </w:p>
    <w:p>
      <w:pPr>
        <w:spacing w:after="120" w:before="0"/>
      </w:pPr>
      <w:r>
        <w:rPr>
          <w:rFonts w:ascii="Calibri" w:cs="Calibri" w:eastAsia="Calibri" w:hAnsi="Calibri"/>
          <w:color w:val="1A1A1A"/>
          <w:sz w:val="20"/>
          <w:szCs w:val="20"/>
        </w:rPr>
        <w:t xml:space="preserve">Sections that change materially from v4.0 are identified in Section 3 (Version History). The commercial total is held; the legal and contract terms (Part XII) carry over verbatim; phases, milestones and acceptance procedure are unchanged. Sections 13, 14, 15, 16, 17, 18, 19, 20, 21 are compressed to SOW-level statements and reference the companion TSD for detail.</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What changed from v4.0.</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Document positioned as SOW-only. Sections 13 (Audience), 14 (Trigger Catalogue), 15 (Channel Strategy) compressed to summary. Sections 16, 17, 18 (Solution / Architecture / Operational Engineering) compressed to SOW-level statements; engineering detail moves to a companion Technical Solution Document. Sections 19, 20, 21 (Compliance / Security / Quality) compressed to summary tables. Section 7 (Business Case / ROI) removed — it is sponsor-pack material and not contractually relevant. Phases, deliverables, acceptance, governance, risk, resourcing, commercial and legal terms are unchanged. Total contract value held at INR 8,75,000 ex-GST.</w:t>
            </w:r>
          </w:p>
        </w:tc>
      </w:tr>
    </w:tbl>
    <w:p>
      <w:pPr>
        <w:pageBreakBefore/>
        <w:spacing w:after="200" w:before="4000"/>
        <w:jc w:val="center"/>
      </w:pPr>
      <w:r>
        <w:rPr>
          <w:rFonts w:ascii="Calibri" w:cs="Calibri" w:eastAsia="Calibri" w:hAnsi="Calibri"/>
          <w:b/>
          <w:bCs/>
          <w:caps/>
          <w:color w:val="808080"/>
          <w:sz w:val="22"/>
          <w:szCs w:val="22"/>
        </w:rPr>
        <w:t xml:space="preserve">Part I</w:t>
      </w:r>
    </w:p>
    <w:p>
      <w:pPr>
        <w:spacing w:after="1600" w:before="0"/>
        <w:jc w:val="center"/>
      </w:pPr>
      <w:r>
        <w:rPr>
          <w:rFonts w:ascii="Calibri" w:cs="Calibri" w:eastAsia="Calibri" w:hAnsi="Calibri"/>
          <w:b/>
          <w:bCs/>
          <w:color w:val="1F3864"/>
          <w:sz w:val="56"/>
          <w:szCs w:val="56"/>
        </w:rPr>
        <w:t xml:space="preserve">Document Control &amp; Executive</w:t>
      </w:r>
    </w:p>
    <w:p>
      <w:pPr>
        <w:pStyle w:val="Heading1"/>
        <w:pageBreakBefore/>
        <w:spacing w:after="240" w:before="0"/>
      </w:pPr>
      <w:r>
        <w:rPr>
          <w:rFonts w:ascii="Calibri" w:cs="Calibri" w:eastAsia="Calibri" w:hAnsi="Calibri"/>
          <w:b/>
          <w:bCs/>
          <w:color w:val="1F3864"/>
          <w:sz w:val="36"/>
          <w:szCs w:val="36"/>
        </w:rPr>
        <w:t xml:space="preserve">1. Document Information</w:t>
      </w:r>
    </w:p>
    <w:p>
      <w:pPr>
        <w:spacing w:after="120" w:before="0"/>
      </w:pPr>
      <w:r>
        <w:rPr>
          <w:rFonts w:ascii="Calibri" w:cs="Calibri" w:eastAsia="Calibri" w:hAnsi="Calibri"/>
          <w:color w:val="1A1A1A"/>
          <w:sz w:val="20"/>
          <w:szCs w:val="20"/>
        </w:rPr>
        <w:t xml:space="preserve">This Statement of Work (“SOW”) formalises the scope, architecture, deliverables, effort, commercial terms, legal terms and acceptance criteria for the TPE Communication System. Once signed by both Parties (Section 54), it becomes the source of truth for the engagement and the brief for downstream implementation. It supersedes any prior verbal understanding.</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Document Name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Communication System — Statement of Work</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Document ID</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TPE-COMMS-SOW-2026-001-v5</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Version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5.0 — Novu-based architecture, SOW-only</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Effective Date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April 2026</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Engagement Type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Time-bounded fixed-scope consulting; phase-billed; T&amp;M for change orders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Parties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Fairvalue Insuretech Pvt. Ltd. (“Client” / “TPE”) and Ashish Kumar Satyam (“Consultant”)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Author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Ashish Kumar Satyam (Consultant)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Counter-signatories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Founder / CTO / Head of Compliance / Head of CX (Client)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Status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Pending counter-signature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Review Cycle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phase gate; quarterly post go-live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Classification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&amp; Confidential</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Retention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Active term + 7 years (per Income Tax / Companies Act archival requirements)</w:t>
            </w:r>
          </w:p>
        </w:tc>
      </w:tr>
    </w:tbl>
    <w:p>
      <w:pPr>
        <w:pStyle w:val="Heading1"/>
        <w:pageBreakBefore/>
        <w:spacing w:after="240" w:before="0"/>
      </w:pPr>
      <w:r>
        <w:rPr>
          <w:rFonts w:ascii="Calibri" w:cs="Calibri" w:eastAsia="Calibri" w:hAnsi="Calibri"/>
          <w:b/>
          <w:bCs/>
          <w:color w:val="1F3864"/>
          <w:sz w:val="36"/>
          <w:szCs w:val="36"/>
        </w:rPr>
        <w:t xml:space="preserve">2. Document Control &amp; Approval Matrix</w:t>
      </w:r>
    </w:p>
    <w:p>
      <w:pPr>
        <w:spacing w:after="120" w:before="0"/>
      </w:pPr>
      <w:r>
        <w:rPr>
          <w:rFonts w:ascii="Calibri" w:cs="Calibri" w:eastAsia="Calibri" w:hAnsi="Calibri"/>
          <w:color w:val="1A1A1A"/>
          <w:sz w:val="20"/>
          <w:szCs w:val="20"/>
        </w:rPr>
        <w:t xml:space="preserve">This section formalises ownership, review and approval of this SOW as a controlled document. Any change to scope, effort, deliverables, commercial terms or legal terms requires re-approval through the matrix below before the change takes effect. The full Change Management Process is in Section 27.</w:t>
      </w:r>
    </w:p>
    <w:p>
      <w:pPr>
        <w:pStyle w:val="Heading2"/>
        <w:spacing w:after="140" w:before="280"/>
      </w:pPr>
      <w:r>
        <w:rPr>
          <w:rFonts w:ascii="Calibri" w:cs="Calibri" w:eastAsia="Calibri" w:hAnsi="Calibri"/>
          <w:b/>
          <w:bCs/>
          <w:color w:val="1F3864"/>
          <w:sz w:val="28"/>
          <w:szCs w:val="28"/>
        </w:rPr>
        <w:t xml:space="preserve">2.1  Approval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19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Party</w:t>
            </w:r>
          </w:p>
        </w:tc>
        <w:tc>
          <w:tcPr>
            <w:tcW w:type="dxa" w:w="3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Approval scope</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Mechanism</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Founder</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 Naveen Gupta / Safia Anwar / Tarun Bahri</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Commercial terms; strategic intent; final sign-off</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Wet or electronic signature on Section 54</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Chief Technology Officer</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integrations; security posture</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Electronic signature; phase-gate review</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Compliance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Regulatory scope (DLT, IRDAI, DPDPA, FATCA, TDS)</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Electronic signature; lint-rule sign-off</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CX</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catalogue; brand voice; audience map</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Electronic signature; review queue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Lead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Ashish Kumar Satyam</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Scope decomposition; plan integrity; weekly status; deliverable quality</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Owns this document; cuts new versions</w:t>
            </w:r>
          </w:p>
        </w:tc>
      </w:tr>
    </w:tbl>
    <w:p>
      <w:pPr>
        <w:pStyle w:val="Heading2"/>
        <w:spacing w:after="140" w:before="280"/>
      </w:pPr>
      <w:r>
        <w:rPr>
          <w:rFonts w:ascii="Calibri" w:cs="Calibri" w:eastAsia="Calibri" w:hAnsi="Calibri"/>
          <w:b/>
          <w:bCs/>
          <w:color w:val="1F3864"/>
          <w:sz w:val="28"/>
          <w:szCs w:val="28"/>
        </w:rPr>
        <w:t xml:space="preserve">2.2  Document state machine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5346"/>
        <w:gridCol w:w="22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State</w:t>
            </w:r>
          </w:p>
        </w:tc>
        <w:tc>
          <w:tcPr>
            <w:tcW w:type="dxa" w:w="5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Meaning</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Permitted next states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draft</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 iterating; not yet circulated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in_review, archived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in_review</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Circulated to approvers; comments open</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 draft (returned)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 signed; document is the engagement bible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amended (new version), archived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amended</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Substantive change in flight; previous version retained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 archived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archived</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Superseded; read-only; retained for audit</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(terminal)</w:t>
            </w:r>
          </w:p>
        </w:tc>
      </w:tr>
    </w:tbl>
    <w:p>
      <w:pPr>
        <w:pStyle w:val="Heading2"/>
        <w:spacing w:after="140" w:before="280"/>
      </w:pPr>
      <w:r>
        <w:rPr>
          <w:rFonts w:ascii="Calibri" w:cs="Calibri" w:eastAsia="Calibri" w:hAnsi="Calibri"/>
          <w:b/>
          <w:bCs/>
          <w:color w:val="1F3864"/>
          <w:sz w:val="28"/>
          <w:szCs w:val="28"/>
        </w:rPr>
        <w:t xml:space="preserve">2.3  Document version control</w:t>
      </w:r>
    </w:p>
    <w:p>
      <w:pPr>
        <w:spacing w:after="120" w:before="0"/>
      </w:pPr>
      <w:r>
        <w:rPr>
          <w:rFonts w:ascii="Calibri" w:cs="Calibri" w:eastAsia="Calibri" w:hAnsi="Calibri"/>
          <w:color w:val="1A1A1A"/>
          <w:sz w:val="20"/>
          <w:szCs w:val="20"/>
        </w:rPr>
        <w:t xml:space="preserve">Version increments follow semantic-versioning conventions adapted for documents:</w:t>
      </w:r>
    </w:p>
    <w:p>
      <w:pPr>
        <w:pStyle w:val="ListParagraph"/>
        <w:numPr>
          <w:ilvl w:val="0"/>
          <w:numId w:val="2"/>
        </w:numPr>
        <w:spacing w:after="80"/>
      </w:pPr>
      <w:r>
        <w:rPr>
          <w:rFonts w:ascii="Calibri" w:cs="Calibri" w:eastAsia="Calibri" w:hAnsi="Calibri"/>
          <w:color w:val="1A1A1A"/>
          <w:sz w:val="20"/>
          <w:szCs w:val="20"/>
        </w:rPr>
        <w:t xml:space="preserve">MAJOR (x.0) — change in scope, deliverables, effort, commercial terms or legal terms. Requires counter-signature by all roles in 2.1.</w:t>
      </w:r>
    </w:p>
    <w:p>
      <w:pPr>
        <w:pStyle w:val="ListParagraph"/>
        <w:numPr>
          <w:ilvl w:val="0"/>
          <w:numId w:val="2"/>
        </w:numPr>
        <w:spacing w:after="80"/>
      </w:pPr>
      <w:r>
        <w:rPr>
          <w:rFonts w:ascii="Calibri" w:cs="Calibri" w:eastAsia="Calibri" w:hAnsi="Calibri"/>
          <w:color w:val="1A1A1A"/>
          <w:sz w:val="20"/>
          <w:szCs w:val="20"/>
        </w:rPr>
        <w:t xml:space="preserve">MINOR (3.x) — clarification, additional detail, error correction; no scope or commercial impact. Approval by Engagement Lead and one Client approver.</w:t>
      </w:r>
    </w:p>
    <w:p>
      <w:pPr>
        <w:pStyle w:val="ListParagraph"/>
        <w:numPr>
          <w:ilvl w:val="0"/>
          <w:numId w:val="2"/>
        </w:numPr>
        <w:spacing w:after="80"/>
      </w:pPr>
      <w:r>
        <w:rPr>
          <w:rFonts w:ascii="Calibri" w:cs="Calibri" w:eastAsia="Calibri" w:hAnsi="Calibri"/>
          <w:color w:val="1A1A1A"/>
          <w:sz w:val="20"/>
          <w:szCs w:val="20"/>
        </w:rPr>
        <w:t xml:space="preserve">PATCH (3.0.x) — typographical or formatting only. Engagement Lead authority alone.</w:t>
      </w:r>
    </w:p>
    <w:p>
      <w:pPr>
        <w:pStyle w:val="ListParagraph"/>
        <w:numPr>
          <w:ilvl w:val="0"/>
          <w:numId w:val="2"/>
        </w:numPr>
        <w:spacing w:after="80"/>
      </w:pPr>
      <w:r>
        <w:rPr>
          <w:rFonts w:ascii="Calibri" w:cs="Calibri" w:eastAsia="Calibri" w:hAnsi="Calibri"/>
          <w:color w:val="1A1A1A"/>
          <w:sz w:val="20"/>
          <w:szCs w:val="20"/>
        </w:rPr>
        <w:t xml:space="preserve">Every version cuts a new entry in Section 3 with rationale.</w:t>
      </w:r>
    </w:p>
    <w:p>
      <w:pPr>
        <w:pStyle w:val="ListParagraph"/>
        <w:numPr>
          <w:ilvl w:val="0"/>
          <w:numId w:val="2"/>
        </w:numPr>
        <w:spacing w:after="80"/>
      </w:pPr>
      <w:r>
        <w:rPr>
          <w:rFonts w:ascii="Calibri" w:cs="Calibri" w:eastAsia="Calibri" w:hAnsi="Calibri"/>
          <w:color w:val="1A1A1A"/>
          <w:sz w:val="20"/>
          <w:szCs w:val="20"/>
        </w:rPr>
        <w:t xml:space="preserve">Comments and redlines are captured in-document during in_review; final approval clears comments.</w:t>
      </w:r>
    </w:p>
    <w:p>
      <w:pPr>
        <w:pStyle w:val="Heading1"/>
        <w:pageBreakBefore/>
        <w:spacing w:after="240" w:before="0"/>
      </w:pPr>
      <w:r>
        <w:rPr>
          <w:rFonts w:ascii="Calibri" w:cs="Calibri" w:eastAsia="Calibri" w:hAnsi="Calibri"/>
          <w:b/>
          <w:bCs/>
          <w:color w:val="1F3864"/>
          <w:sz w:val="36"/>
          <w:szCs w:val="36"/>
        </w:rPr>
        <w:t xml:space="preserve">3. Version History</w:t>
      </w:r>
    </w:p>
    <w:p>
      <w:pPr>
        <w:spacing w:after="120" w:before="0"/>
      </w:pPr>
      <w:r>
        <w:rPr>
          <w:rFonts w:ascii="Calibri" w:cs="Calibri" w:eastAsia="Calibri" w:hAnsi="Calibri"/>
          <w:color w:val="1A1A1A"/>
          <w:sz w:val="20"/>
          <w:szCs w:val="20"/>
        </w:rPr>
        <w:t xml:space="preserve">Version history is curated to substantive business-level changes. Editorial passes, formatting fixes and cosmetic refinements are tracked in the document repository, not here.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400"/>
        <w:gridCol w:w="444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Version</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Date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Author</w:t>
            </w:r>
          </w:p>
        </w:tc>
        <w:tc>
          <w:tcPr>
            <w:tcW w:type="dxa" w:w="4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Substantive changes</w:t>
            </w:r>
          </w:p>
        </w:tc>
      </w:tr>
      <w:tr>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Initial SOW: scope, audience map, 49-trigger catalogue, channel strategy, template-management architecture, compliance layer, phased delivery, effort estimate.</w:t>
            </w:r>
          </w:p>
        </w:tc>
      </w:tr>
      <w:tr>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1.1</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Reframed audience and approval routing for TPE-internal review; updated RACI and effort estimates.</w:t>
            </w:r>
          </w:p>
        </w:tc>
      </w:tr>
      <w:tr>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expanded from 26 to 41 sections in eleven thematic parts. Fifteen new sections added across governance (Approval Matrix, Distribution List, Stakeholder Register, Communication Plan, Change Management, SLA, Resource Plan, Operational Readiness, Knowledge Transfer, Post-Implementation Support) and assurance (Security &amp; Privacy, QA &amp; Testing, Confidentiality &amp; IP). Risks expanded into a full Risk Register.</w:t>
            </w:r>
          </w:p>
        </w:tc>
      </w:tr>
      <w:tr>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Reframed from internal artefact to external Consultant→Client SOW. Added Part XI Commercial Terms (charges, payment milestones, invoicing, taxes, change orders, rate card). Added Part XII Legal &amp; Contract Terms (warranty, liability cap, indemnification, insurance, termination, governing law, dispute resolution, force majeure, DPA reference, general provisions). Tightened Acceptance (Section 24) with deemed-acceptance window and rework cap. Cleaned Distribution List and consolidated Sign-off into single counter-signature page.</w:t>
            </w:r>
          </w:p>
        </w:tc>
      </w:tr>
      <w:tr>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4.0</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Architectural pivot from self-built YAML library + Claude Code skills to self-hosted Novu platform deployment in India. Sections 16, 17, 18 rewritten for Novu workflow architecture, custom provider plugins (Gupshup native + MSG91 and Karix as custom plugins), compliance middleware, observability stack, and multi-tenant insurer routing. Phase 5 (live dispatch) absorbed into core delivery; payment milestones redistributed across 5 phases of 5 days each. DPDPA story strengthened via India-resident self-hosting (Sections 20, 48). Total contract value held at INR 8,75,000 core (no separate gated phase). Risk Register updated with self-hosted infrastructure risks; Resource Plan adds Infrastructure / DevOps support. Glossary expanded with Novu terms. Legal terms (Part XII) unchanged.</w:t>
            </w:r>
          </w:p>
        </w:tc>
      </w:tr>
      <w:tr>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5.0</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repositioned as SOW-only. Technical Solution Document (TSD) content separated to a companion document referenced from this SOW where relevant. Compressed: Section 7 (Business Case / ROI) removed as sponsor-pack material; Sections 13 (Audience), 14 (Trigger Catalogue), 15 (Channel Strategy) compressed to summary; Sections 16, 17, 18 (Workflows / Architecture / Operational Engineering) compressed to SOW-level statements with engineering detail referred to companion TSD; Sections 19, 20, 21 (Compliance / Security / Quality) compressed to summary tables. Unchanged: scope (Section 11), phases (Section 22), deliverables (Section 23), acceptance (Section 24), governance (25–29), risk (30–32), resourcing (33–37), commercial (38–41), legal (42–51), reference (52–54). Total contract value held at INR 8,75,000 ex-GST.</w:t>
            </w:r>
          </w:p>
        </w:tc>
      </w:tr>
    </w:tbl>
    <w:p>
      <w:pPr>
        <w:pStyle w:val="Heading1"/>
        <w:pageBreakBefore/>
        <w:spacing w:after="240" w:before="0"/>
      </w:pPr>
      <w:r>
        <w:rPr>
          <w:rFonts w:ascii="Calibri" w:cs="Calibri" w:eastAsia="Calibri" w:hAnsi="Calibri"/>
          <w:b/>
          <w:bCs/>
          <w:color w:val="1F3864"/>
          <w:sz w:val="36"/>
          <w:szCs w:val="36"/>
        </w:rPr>
        <w:t xml:space="preserve">4. Distribution List</w:t>
      </w:r>
    </w:p>
    <w:p>
      <w:pPr>
        <w:spacing w:after="120" w:before="0"/>
      </w:pPr>
      <w:r>
        <w:rPr>
          <w:rFonts w:ascii="Calibri" w:cs="Calibri" w:eastAsia="Calibri" w:hAnsi="Calibri"/>
          <w:color w:val="1A1A1A"/>
          <w:sz w:val="20"/>
          <w:szCs w:val="20"/>
        </w:rPr>
        <w:t xml:space="preserve">Classified Internal &amp; Confidential. Distribution is restricted to the parties named below. Re-distribution, external sharing or use in external communications requires the Client Sponsor’s written approval. The Consultant will not distribute this SOW or any derivative beyond the parties listed without the Client’s prior consent.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74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Recipient</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Sponsor (Founders)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 signed PDF</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 scope; sign Section 54</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sign-off</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Head of Compliance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Regulatory sign-off</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Head of CX</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and trigger sign-off</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Operations Lead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Implementation owner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Day-to-day delivery</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Engineering Team</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Implementation pair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reference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Internal Audit (post-launch)</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PDF (read-only)</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Audit-trail evidence</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Engagement Lead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(master)</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Source of truth; controlled</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repository</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System of record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 PDF</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Versioned archive</w:t>
            </w:r>
          </w:p>
        </w:tc>
      </w:tr>
    </w:tbl>
    <w:p>
      <w:pPr>
        <w:pStyle w:val="Heading1"/>
        <w:pageBreakBefore/>
        <w:spacing w:after="240" w:before="0"/>
      </w:pPr>
      <w:r>
        <w:rPr>
          <w:rFonts w:ascii="Calibri" w:cs="Calibri" w:eastAsia="Calibri" w:hAnsi="Calibri"/>
          <w:b/>
          <w:bCs/>
          <w:color w:val="1F3864"/>
          <w:sz w:val="36"/>
          <w:szCs w:val="36"/>
        </w:rPr>
        <w:t xml:space="preserve">5. Executive Summary</w:t>
      </w:r>
    </w:p>
    <w:p>
      <w:pPr>
        <w:pStyle w:val="Heading3"/>
        <w:spacing w:after="100" w:before="200"/>
      </w:pPr>
      <w:r>
        <w:rPr>
          <w:rFonts w:ascii="Calibri" w:cs="Calibri" w:eastAsia="Calibri" w:hAnsi="Calibri"/>
          <w:b/>
          <w:bCs/>
          <w:color w:val="1A1A1A"/>
          <w:sz w:val="24"/>
          <w:szCs w:val="24"/>
        </w:rPr>
        <w:t xml:space="preserve">Why this matters</w:t>
      </w:r>
    </w:p>
    <w:p>
      <w:pPr>
        <w:spacing w:after="120" w:before="0"/>
      </w:pPr>
      <w:r>
        <w:rPr>
          <w:rFonts w:ascii="Calibri" w:cs="Calibri" w:eastAsia="Calibri" w:hAnsi="Calibri"/>
          <w:color w:val="1A1A1A"/>
          <w:sz w:val="20"/>
          <w:szCs w:val="20"/>
        </w:rPr>
        <w:t xml:space="preserve">TPE operates an unusual two-sided insurance marketplace: policyholders assign their policies to investors who then pay future premiums for 10 to 25 years until maturity. This creates a long-tail communication obligation that does not exist for standard insurers. Premium-due reminders to investors alone will dominate message volume across the next two decades. Today, content is held in spreadsheets, ad-hoc templates and individual mailboxes, with no compliance lint, no version control, no audit trail and no path to multi-language scaling.</w:t>
      </w:r>
    </w:p>
    <w:p>
      <w:pPr>
        <w:pStyle w:val="Heading3"/>
        <w:spacing w:after="100" w:before="200"/>
      </w:pPr>
      <w:r>
        <w:rPr>
          <w:rFonts w:ascii="Calibri" w:cs="Calibri" w:eastAsia="Calibri" w:hAnsi="Calibri"/>
          <w:b/>
          <w:bCs/>
          <w:color w:val="1A1A1A"/>
          <w:sz w:val="24"/>
          <w:szCs w:val="24"/>
        </w:rPr>
        <w:t xml:space="preserve">What this engagement delivers</w:t>
      </w:r>
    </w:p>
    <w:p>
      <w:pPr>
        <w:spacing w:after="120" w:before="0"/>
      </w:pPr>
      <w:r>
        <w:rPr>
          <w:rFonts w:ascii="Calibri" w:cs="Calibri" w:eastAsia="Calibri" w:hAnsi="Calibri"/>
          <w:color w:val="1A1A1A"/>
          <w:sz w:val="20"/>
          <w:szCs w:val="20"/>
        </w:rPr>
        <w:t xml:space="preserve">A self-hosted Novu deployment on Client-controlled India-resident infrastructure, with 49 lifecycle workflows authored as code (Novu Framework / TypeScript), each routed to one or more of four channels (Email, SMS, WhatsApp, RCS) for five distinct audiences. Three Indian channel providers wired in: Gupshup natively (with first-class DLT pass-through), MSG91 and Karix via custom Novu provider plugins built in this engagement. A custom compliance middleware enforces DLT, IRDAI, WhatsApp BSP and DPDPA rules at workflow-execution time. An observability stack delivers audit-grade evidence per dispatched message. A multi-tenant routing layer recognises the eleven insurance partners as distinct sender identities. Subscriber preferences, digest, throttle and quiet-hours come from Novu out of the box.</w:t>
      </w:r>
    </w:p>
    <w:p>
      <w:pPr>
        <w:pStyle w:val="Heading3"/>
        <w:spacing w:after="100" w:before="200"/>
      </w:pPr>
      <w:r>
        <w:rPr>
          <w:rFonts w:ascii="Calibri" w:cs="Calibri" w:eastAsia="Calibri" w:hAnsi="Calibri"/>
          <w:b/>
          <w:bCs/>
          <w:color w:val="1A1A1A"/>
          <w:sz w:val="24"/>
          <w:szCs w:val="24"/>
        </w:rPr>
        <w:t xml:space="preserve">Quantified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Dimension</w:t>
            </w:r>
          </w:p>
        </w:tc>
        <w:tc>
          <w:tcPr>
            <w:tcW w:type="dxa" w:w="32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v1 Scope</w:t>
            </w:r>
          </w:p>
        </w:tc>
        <w:tc>
          <w:tcPr>
            <w:tcW w:type="dxa" w:w="32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Steady-state</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Triggers</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49</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60+</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Audiences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Channels</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 voice</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Languages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 + 8 regional</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count (estimate)</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~120</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300+</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Unique content cells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~600</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3,000+</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partners (B2B)</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11</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regimes covered</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IRDAI, WhatsApp BSP, DPDPA, FATCA, TDS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GDPR-equivalent on cross-border data</w:t>
            </w:r>
          </w:p>
        </w:tc>
      </w:tr>
    </w:tbl>
    <w:p>
      <w:pPr>
        <w:pStyle w:val="Heading3"/>
        <w:spacing w:after="100" w:before="200"/>
      </w:pPr>
      <w:r>
        <w:rPr>
          <w:rFonts w:ascii="Calibri" w:cs="Calibri" w:eastAsia="Calibri" w:hAnsi="Calibri"/>
          <w:b/>
          <w:bCs/>
          <w:color w:val="1A1A1A"/>
          <w:sz w:val="24"/>
          <w:szCs w:val="24"/>
        </w:rPr>
        <w:t xml:space="preserve">Effort &amp; timeline at a glance</w:t>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1725"/>
        <w:gridCol w:w="280"/>
        <w:gridCol w:w="1725"/>
        <w:gridCol w:w="280"/>
        <w:gridCol w:w="1725"/>
        <w:gridCol w:w="280"/>
        <w:gridCol w:w="1725"/>
        <w:gridCol w:w="280"/>
        <w:gridCol w:w="1725"/>
      </w:tblGrid>
      <w:tr>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P1</w:t>
            </w:r>
          </w:p>
          <w:p>
            <w:pPr>
              <w:spacing w:after="20"/>
              <w:jc w:val="center"/>
            </w:pPr>
            <w:r>
              <w:rPr>
                <w:rFonts w:ascii="Calibri" w:cs="Calibri" w:eastAsia="Calibri" w:hAnsi="Calibri"/>
                <w:b/>
                <w:bCs/>
                <w:color w:val="FFFFFF"/>
                <w:sz w:val="16"/>
                <w:szCs w:val="16"/>
              </w:rPr>
              <w:t xml:space="preserve">Novu Foundation</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P2</w:t>
            </w:r>
          </w:p>
          <w:p>
            <w:pPr>
              <w:spacing w:after="20"/>
              <w:jc w:val="center"/>
            </w:pPr>
            <w:r>
              <w:rPr>
                <w:rFonts w:ascii="Calibri" w:cs="Calibri" w:eastAsia="Calibri" w:hAnsi="Calibri"/>
                <w:b/>
                <w:bCs/>
                <w:color w:val="FFFFFF"/>
                <w:sz w:val="16"/>
                <w:szCs w:val="16"/>
              </w:rPr>
              <w:t xml:space="preserve">PH Workflows</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P3</w:t>
            </w:r>
          </w:p>
          <w:p>
            <w:pPr>
              <w:spacing w:after="20"/>
              <w:jc w:val="center"/>
            </w:pPr>
            <w:r>
              <w:rPr>
                <w:rFonts w:ascii="Calibri" w:cs="Calibri" w:eastAsia="Calibri" w:hAnsi="Calibri"/>
                <w:b/>
                <w:bCs/>
                <w:color w:val="FFFFFF"/>
                <w:sz w:val="16"/>
                <w:szCs w:val="16"/>
              </w:rPr>
              <w:t xml:space="preserve">INV+INS+OPS+REG+HI+MT</w:t>
            </w:r>
          </w:p>
          <w:p>
            <w:pPr>
              <w:spacing w:after="0"/>
              <w:jc w:val="center"/>
            </w:pPr>
            <w:r>
              <w:rPr>
                <w:rFonts w:ascii="Calibri" w:cs="Calibri" w:eastAsia="Calibri" w:hAnsi="Calibri"/>
                <w:i/>
                <w:iCs/>
                <w:color w:val="FFFFFF"/>
                <w:sz w:val="14"/>
                <w:szCs w:val="14"/>
              </w:rPr>
              <w:t xml:space="preserve">6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P4</w:t>
            </w:r>
          </w:p>
          <w:p>
            <w:pPr>
              <w:spacing w:after="20"/>
              <w:jc w:val="center"/>
            </w:pPr>
            <w:r>
              <w:rPr>
                <w:rFonts w:ascii="Calibri" w:cs="Calibri" w:eastAsia="Calibri" w:hAnsi="Calibri"/>
                <w:b/>
                <w:bCs/>
                <w:color w:val="FFFFFF"/>
                <w:sz w:val="16"/>
                <w:szCs w:val="16"/>
              </w:rPr>
              <w:t xml:space="preserve">Compliance + Observability</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P5</w:t>
            </w:r>
          </w:p>
          <w:p>
            <w:pPr>
              <w:spacing w:after="20"/>
              <w:jc w:val="center"/>
            </w:pPr>
            <w:r>
              <w:rPr>
                <w:rFonts w:ascii="Calibri" w:cs="Calibri" w:eastAsia="Calibri" w:hAnsi="Calibri"/>
                <w:b/>
                <w:bCs/>
                <w:color w:val="FFFFFF"/>
                <w:sz w:val="16"/>
                <w:szCs w:val="16"/>
              </w:rPr>
              <w:t xml:space="preserve">Custom Providers + Hardening</w:t>
            </w:r>
          </w:p>
          <w:p>
            <w:pPr>
              <w:spacing w:after="0"/>
              <w:jc w:val="center"/>
            </w:pPr>
            <w:r>
              <w:rPr>
                <w:rFonts w:ascii="Calibri" w:cs="Calibri" w:eastAsia="Calibri" w:hAnsi="Calibri"/>
                <w:i/>
                <w:iCs/>
                <w:color w:val="FFFFFF"/>
                <w:sz w:val="14"/>
                <w:szCs w:val="14"/>
              </w:rPr>
              <w:t xml:space="preserve">4 days</w:t>
            </w:r>
          </w:p>
        </w:tc>
      </w:tr>
    </w:tbl>
    <w:p>
      <w:pPr>
        <w:spacing w:after="100"/>
      </w:pPr>
      <w:r>
        <w:t xml:space="preserve"/>
      </w:r>
    </w:p>
    <w:p>
      <w:pPr>
        <w:spacing w:after="120" w:before="0"/>
      </w:pPr>
      <w:r>
        <w:rPr>
          <w:rFonts w:ascii="Calibri" w:cs="Calibri" w:eastAsia="Calibri" w:hAnsi="Calibri"/>
          <w:i/>
          <w:iCs/>
          <w:color w:val="808080"/>
          <w:sz w:val="18"/>
          <w:szCs w:val="18"/>
        </w:rPr>
        <w:t xml:space="preserve">Core delivery (Phases 1–5): 25 working consultant-days. All phases are core in v4.0 — dispatch is no longer separately gated because Novu provides it natively for Gupshup; P5 effort is on custom MSG91 and Karix provider plugins and production hardening rather than on building dispatch from scratch.</w:t>
      </w:r>
    </w:p>
    <w:p>
      <w:pPr>
        <w:pStyle w:val="Heading1"/>
        <w:pageBreakBefore/>
        <w:spacing w:after="240" w:before="0"/>
      </w:pPr>
      <w:r>
        <w:rPr>
          <w:rFonts w:ascii="Calibri" w:cs="Calibri" w:eastAsia="Calibri" w:hAnsi="Calibri"/>
          <w:b/>
          <w:bCs/>
          <w:color w:val="1F3864"/>
          <w:sz w:val="36"/>
          <w:szCs w:val="36"/>
        </w:rPr>
        <w:t xml:space="preserve">6. Executive Dashboard</w:t>
      </w:r>
    </w:p>
    <w:p>
      <w:pPr>
        <w:spacing w:after="120" w:before="0"/>
      </w:pPr>
      <w:r>
        <w:rPr>
          <w:rFonts w:ascii="Calibri" w:cs="Calibri" w:eastAsia="Calibri" w:hAnsi="Calibri"/>
          <w:color w:val="1A1A1A"/>
          <w:sz w:val="20"/>
          <w:szCs w:val="20"/>
        </w:rPr>
        <w:t xml:space="preserve">Single-page snapshot for the Sponsor. Status badges show engagement readiness for each delivery dimension; metric tiles summarise what the Client is signing up for. Refreshed at every phase gate.</w:t>
      </w:r>
    </w:p>
    <w:p>
      <w:pPr>
        <w:pStyle w:val="Heading3"/>
        <w:spacing w:after="100" w:before="200"/>
      </w:pPr>
      <w:r>
        <w:rPr>
          <w:rFonts w:ascii="Calibri" w:cs="Calibri" w:eastAsia="Calibri" w:hAnsi="Calibri"/>
          <w:b/>
          <w:bCs/>
          <w:color w:val="1A1A1A"/>
          <w:sz w:val="24"/>
          <w:szCs w:val="24"/>
        </w:rPr>
        <w:t xml:space="preserve">Engagement readiness status</w:t>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c>
          <w:tcPr>
            <w:tcW w:type="dxa" w:w="1949"/>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Scope locked</w:t>
            </w:r>
          </w:p>
        </w:tc>
        <w:tc>
          <w:tcPr>
            <w:tcW w:type="dxa" w:w="194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Effort baselined</w:t>
            </w:r>
          </w:p>
        </w:tc>
        <w:tc>
          <w:tcPr>
            <w:tcW w:type="dxa" w:w="1949"/>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Risks cataloged</w:t>
            </w:r>
          </w:p>
        </w:tc>
        <w:tc>
          <w:tcPr>
            <w:tcW w:type="dxa" w:w="194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Compliance mapped</w:t>
            </w:r>
          </w:p>
        </w:tc>
        <w:tc>
          <w:tcPr>
            <w:tcW w:type="dxa" w:w="1949"/>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center"/>
            </w:pPr>
            <w:r>
              <w:rPr>
                <w:rFonts w:ascii="Calibri" w:cs="Calibri" w:eastAsia="Calibri" w:hAnsi="Calibri"/>
                <w:b/>
                <w:bCs/>
                <w:color w:val="BF8F00"/>
                <w:sz w:val="18"/>
                <w:szCs w:val="18"/>
              </w:rPr>
              <w:t xml:space="preserve">●  Phase 5 gated</w:t>
            </w:r>
          </w:p>
        </w:tc>
      </w:tr>
    </w:tbl>
    <w:p>
      <w:pPr>
        <w:pStyle w:val="Heading3"/>
        <w:spacing w:after="100" w:before="200"/>
      </w:pPr>
      <w:r>
        <w:rPr>
          <w:rFonts w:ascii="Calibri" w:cs="Calibri" w:eastAsia="Calibri" w:hAnsi="Calibri"/>
          <w:b/>
          <w:bCs/>
          <w:color w:val="1A1A1A"/>
          <w:sz w:val="24"/>
          <w:szCs w:val="24"/>
        </w:rPr>
        <w:t xml:space="preserve">Headline metrics</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49</w:t>
            </w:r>
          </w:p>
          <w:p>
            <w:pPr>
              <w:spacing w:after="0"/>
              <w:jc w:val="center"/>
            </w:pPr>
            <w:r>
              <w:rPr>
                <w:rFonts w:ascii="Calibri" w:cs="Calibri" w:eastAsia="Calibri" w:hAnsi="Calibri"/>
                <w:b/>
                <w:bCs/>
                <w:color w:val="FFFFFF"/>
                <w:sz w:val="16"/>
                <w:szCs w:val="16"/>
              </w:rPr>
              <w:t xml:space="preserve">Triggers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5</w:t>
            </w:r>
          </w:p>
          <w:p>
            <w:pPr>
              <w:spacing w:after="0"/>
              <w:jc w:val="center"/>
            </w:pPr>
            <w:r>
              <w:rPr>
                <w:rFonts w:ascii="Calibri" w:cs="Calibri" w:eastAsia="Calibri" w:hAnsi="Calibri"/>
                <w:b/>
                <w:bCs/>
                <w:color w:val="FFFFFF"/>
                <w:sz w:val="16"/>
                <w:szCs w:val="16"/>
              </w:rPr>
              <w:t xml:space="preserve">Audiences</w:t>
            </w:r>
          </w:p>
        </w:tc>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w:t>
            </w:r>
          </w:p>
          <w:p>
            <w:pPr>
              <w:spacing w:after="0"/>
              <w:jc w:val="center"/>
            </w:pPr>
            <w:r>
              <w:rPr>
                <w:rFonts w:ascii="Calibri" w:cs="Calibri" w:eastAsia="Calibri" w:hAnsi="Calibri"/>
                <w:b/>
                <w:bCs/>
                <w:color w:val="FFFFFF"/>
                <w:sz w:val="16"/>
                <w:szCs w:val="16"/>
              </w:rPr>
              <w:t xml:space="preserve">Channels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25</w:t>
            </w:r>
          </w:p>
          <w:p>
            <w:pPr>
              <w:spacing w:after="0"/>
              <w:jc w:val="center"/>
            </w:pPr>
            <w:r>
              <w:rPr>
                <w:rFonts w:ascii="Calibri" w:cs="Calibri" w:eastAsia="Calibri" w:hAnsi="Calibri"/>
                <w:b/>
                <w:bCs/>
                <w:color w:val="FFFFFF"/>
                <w:sz w:val="16"/>
                <w:szCs w:val="16"/>
              </w:rPr>
              <w:t xml:space="preserve">Eng days (core)</w:t>
            </w:r>
          </w:p>
        </w:tc>
      </w:tr>
    </w:tbl>
    <w:p>
      <w:pPr>
        <w:spacing w:after="100"/>
      </w:pPr>
      <w:r>
        <w:t xml:space="preserve"/>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9</w:t>
            </w:r>
          </w:p>
          <w:p>
            <w:pPr>
              <w:spacing w:after="0"/>
              <w:jc w:val="center"/>
            </w:pPr>
            <w:r>
              <w:rPr>
                <w:rFonts w:ascii="Calibri" w:cs="Calibri" w:eastAsia="Calibri" w:hAnsi="Calibri"/>
                <w:b/>
                <w:bCs/>
                <w:color w:val="FFFFFF"/>
                <w:sz w:val="16"/>
                <w:szCs w:val="16"/>
              </w:rPr>
              <w:t xml:space="preserve">Reviewer days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w:t>
            </w:r>
          </w:p>
          <w:p>
            <w:pPr>
              <w:spacing w:after="0"/>
              <w:jc w:val="center"/>
            </w:pPr>
            <w:r>
              <w:rPr>
                <w:rFonts w:ascii="Calibri" w:cs="Calibri" w:eastAsia="Calibri" w:hAnsi="Calibri"/>
                <w:b/>
                <w:bCs/>
                <w:color w:val="FFFFFF"/>
                <w:sz w:val="16"/>
                <w:szCs w:val="16"/>
              </w:rPr>
              <w:t xml:space="preserve">Phases (core)</w:t>
            </w:r>
          </w:p>
        </w:tc>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6</w:t>
            </w:r>
          </w:p>
          <w:p>
            <w:pPr>
              <w:spacing w:after="0"/>
              <w:jc w:val="center"/>
            </w:pPr>
            <w:r>
              <w:rPr>
                <w:rFonts w:ascii="Calibri" w:cs="Calibri" w:eastAsia="Calibri" w:hAnsi="Calibri"/>
                <w:b/>
                <w:bCs/>
                <w:color w:val="FFFFFF"/>
                <w:sz w:val="16"/>
                <w:szCs w:val="16"/>
              </w:rPr>
              <w:t xml:space="preserve">Compliance regimes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20%</w:t>
            </w:r>
          </w:p>
          <w:p>
            <w:pPr>
              <w:spacing w:after="0"/>
              <w:jc w:val="center"/>
            </w:pPr>
            <w:r>
              <w:rPr>
                <w:rFonts w:ascii="Calibri" w:cs="Calibri" w:eastAsia="Calibri" w:hAnsi="Calibri"/>
                <w:b/>
                <w:bCs/>
                <w:color w:val="FFFFFF"/>
                <w:sz w:val="16"/>
                <w:szCs w:val="16"/>
              </w:rPr>
              <w:t xml:space="preserve">Default-rate ↓</w:t>
            </w:r>
          </w:p>
        </w:tc>
      </w:tr>
    </w:tbl>
    <w:p>
      <w:pPr>
        <w:pStyle w:val="Heading3"/>
        <w:spacing w:after="100" w:before="200"/>
      </w:pPr>
      <w:r>
        <w:rPr>
          <w:rFonts w:ascii="Calibri" w:cs="Calibri" w:eastAsia="Calibri" w:hAnsi="Calibri"/>
          <w:b/>
          <w:bCs/>
          <w:color w:val="1A1A1A"/>
          <w:sz w:val="24"/>
          <w:szCs w:val="24"/>
        </w:rPr>
        <w:t xml:space="preserve">Phase-gate health (forecast)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000"/>
        <w:gridCol w:w="28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Health</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Forecast outcome</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Watch-item</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Novu Foundation</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L</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deployed in India; first PoC workflow</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AWS/India hosting access from Day 1</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 PH Workflows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L</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triggers as Novu workflows + templates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data model (one-time TPE→Novu sync)</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 INV+INS+OPS+REG+HI+MT</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M</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31 workflows + Hindi + multi-tenant insurer routing</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bandwidth; insurer-specific MIS rules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 Compliance Middleware + Observability</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L</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Framework step lints content pre-dispatch; audit dashboard</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text final from Compliance</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 Custom Providers + Hardening</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M</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plugins; production cutover; runbook</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 credentials + DLT IDs by start of P5</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What an approver is signing for.</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Twenty-five consultant-days, five phases all included in core, deployment on self-hosted Novu in Client-controlled India infrastructure, three Indian channel providers wired in (Gupshup native + MSG91 and Karix as custom plugins), custom compliance middleware enforcing Indian regulations at workflow execution, full audit trail, and a measurable twenty-percent target reduction in investor premium-default rate within six months of go-live. Commercial terms, including total contract value of INR 8,75,000 (ex-GST) and milestone payments, are in Part XI.</w:t>
            </w:r>
          </w:p>
        </w:tc>
      </w:tr>
    </w:tbl>
    <w:p>
      <w:pPr>
        <w:pStyle w:val="Heading1"/>
        <w:pageBreakBefore/>
        <w:spacing w:after="240" w:before="0"/>
      </w:pPr>
      <w:r>
        <w:rPr>
          <w:rFonts w:ascii="Calibri" w:cs="Calibri" w:eastAsia="Calibri" w:hAnsi="Calibri"/>
          <w:b/>
          <w:bCs/>
          <w:color w:val="1F3864"/>
          <w:sz w:val="36"/>
          <w:szCs w:val="36"/>
        </w:rPr>
        <w:t xml:space="preserve">7. Business Case &amp; ROI</w:t>
      </w:r>
    </w:p>
    <w:p>
      <w:pPr>
        <w:spacing w:after="120" w:before="0"/>
      </w:pPr>
      <w:r>
        <w:rPr>
          <w:rFonts w:ascii="Calibri" w:cs="Calibri" w:eastAsia="Calibri" w:hAnsi="Calibri"/>
          <w:color w:val="1A1A1A"/>
          <w:sz w:val="20"/>
          <w:szCs w:val="20"/>
        </w:rPr>
        <w:t xml:space="preserve">v5.0 of this Statement of Work is a contractual instrument and does not include the business case or return-on-investment analysis. The investment justification — covering investor premium-default-rate reduction targets, ops time saved, compliance-incident exposure reduction, and time-to-launch advantages — is captured in a separate sponsor-pack document outside this SOW. The success metrics that this SOW commits to and is measured against are in Section 10 (Vision, Objectives &amp; Success Metrics). The financial commitment is in Section 38 (Charges &amp; Engagement Model). Where readers expect a quantified payback model in this position, they should refer to the companion business case if commissioned, or treat Section 10 success metrics as the contractual measure.</w:t>
      </w:r>
    </w:p>
    <w:p>
      <w:pPr>
        <w:pageBreakBefore/>
        <w:spacing w:after="200" w:before="4000"/>
        <w:jc w:val="center"/>
      </w:pPr>
      <w:r>
        <w:rPr>
          <w:rFonts w:ascii="Calibri" w:cs="Calibri" w:eastAsia="Calibri" w:hAnsi="Calibri"/>
          <w:b/>
          <w:bCs/>
          <w:caps/>
          <w:color w:val="808080"/>
          <w:sz w:val="22"/>
          <w:szCs w:val="22"/>
        </w:rPr>
        <w:t xml:space="preserve">Part II</w:t>
      </w:r>
    </w:p>
    <w:p>
      <w:pPr>
        <w:spacing w:after="1600" w:before="0"/>
        <w:jc w:val="center"/>
      </w:pPr>
      <w:r>
        <w:rPr>
          <w:rFonts w:ascii="Calibri" w:cs="Calibri" w:eastAsia="Calibri" w:hAnsi="Calibri"/>
          <w:b/>
          <w:bCs/>
          <w:color w:val="1F3864"/>
          <w:sz w:val="56"/>
          <w:szCs w:val="56"/>
        </w:rPr>
        <w:t xml:space="preserve">Context &amp; Scope</w:t>
      </w:r>
    </w:p>
    <w:p>
      <w:pPr>
        <w:pStyle w:val="Heading1"/>
        <w:pageBreakBefore/>
        <w:spacing w:after="240" w:before="0"/>
      </w:pPr>
      <w:r>
        <w:rPr>
          <w:rFonts w:ascii="Calibri" w:cs="Calibri" w:eastAsia="Calibri" w:hAnsi="Calibri"/>
          <w:b/>
          <w:bCs/>
          <w:color w:val="1F3864"/>
          <w:sz w:val="36"/>
          <w:szCs w:val="36"/>
        </w:rPr>
        <w:t xml:space="preserve">8. Business Context — The Policy Exchange</w:t>
      </w:r>
    </w:p>
    <w:p>
      <w:pPr>
        <w:spacing w:after="120" w:before="0"/>
      </w:pPr>
      <w:r>
        <w:rPr>
          <w:rFonts w:ascii="Calibri" w:cs="Calibri" w:eastAsia="Calibri" w:hAnsi="Calibri"/>
          <w:color w:val="1A1A1A"/>
          <w:sz w:val="20"/>
          <w:szCs w:val="20"/>
        </w:rPr>
        <w:t xml:space="preserve">The Policy Exchange (“TPE”), operating under Fairvalue Insuretech Pvt. Ltd., is a Noida-headquartered insurtech founded in 2022 by Naveen Gupta, Safia Anwar and Tarun Bahri. TPE has raised approximately USD 2.49M across four rounds, including a USD 1.5M Pre-Series B (November 2025) led by VLS Finance, True Blue Holding and 1Crowd. TPE’s stated goal is to safeguard one million policyholders over the next three years.</w:t>
      </w:r>
    </w:p>
    <w:p>
      <w:pPr>
        <w:pStyle w:val="Heading3"/>
        <w:spacing w:after="100" w:before="200"/>
      </w:pPr>
      <w:r>
        <w:rPr>
          <w:rFonts w:ascii="Calibri" w:cs="Calibri" w:eastAsia="Calibri" w:hAnsi="Calibri"/>
          <w:b/>
          <w:bCs/>
          <w:color w:val="1A1A1A"/>
          <w:sz w:val="24"/>
          <w:szCs w:val="24"/>
        </w:rPr>
        <w:t xml:space="preserve">Two-sided business model</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8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Side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Customer</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Value provided</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Communication character</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Sell-side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Policyholders unable or unwilling to continue paying premiums</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Surrender value paid up-front; premium obligation transferred to investor</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Empathetic, simple, reassuring; often in vernacular</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Buy-side</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Retail and HNI investors seeking stable yield (~12–14% claimed)</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Access to pre-owned policies as an investable asset class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Professional, data-led, opportunity-framed; long-running for 10–25 years</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B2B</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11 insurance carriers (Aditya Birla, Aviva, Bajaj, Bharti, Edelweiss, Generali, India First, Bandhan, Reliance, Ageas, ...)</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continuity; formal assignment intimation; reconciliation</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Formal, structured, attachment-heavy (MIS files)</w:t>
            </w:r>
          </w:p>
        </w:tc>
      </w:tr>
    </w:tbl>
    <w:p>
      <w:pPr>
        <w:pStyle w:val="Heading3"/>
        <w:spacing w:after="100" w:before="200"/>
      </w:pPr>
      <w:r>
        <w:rPr>
          <w:rFonts w:ascii="Calibri" w:cs="Calibri" w:eastAsia="Calibri" w:hAnsi="Calibri"/>
          <w:b/>
          <w:bCs/>
          <w:color w:val="1A1A1A"/>
          <w:sz w:val="24"/>
          <w:szCs w:val="24"/>
        </w:rPr>
        <w:t xml:space="preserve">Adjacent products</w:t>
      </w:r>
    </w:p>
    <w:p>
      <w:pPr>
        <w:pStyle w:val="ListParagraph"/>
        <w:numPr>
          <w:ilvl w:val="0"/>
          <w:numId w:val="2"/>
        </w:numPr>
        <w:spacing w:after="80"/>
      </w:pPr>
      <w:r>
        <w:rPr>
          <w:rFonts w:ascii="Calibri" w:cs="Calibri" w:eastAsia="Calibri" w:hAnsi="Calibri"/>
          <w:color w:val="1A1A1A"/>
          <w:sz w:val="20"/>
          <w:szCs w:val="20"/>
        </w:rPr>
        <w:t xml:space="preserve">Loan against insurance policy — liquidity without surrender; introduces a multi-year EMI communication track.</w:t>
      </w:r>
    </w:p>
    <w:p>
      <w:pPr>
        <w:pStyle w:val="ListParagraph"/>
        <w:numPr>
          <w:ilvl w:val="0"/>
          <w:numId w:val="2"/>
        </w:numPr>
        <w:spacing w:after="80"/>
      </w:pPr>
      <w:r>
        <w:rPr>
          <w:rFonts w:ascii="Calibri" w:cs="Calibri" w:eastAsia="Calibri" w:hAnsi="Calibri"/>
          <w:color w:val="1A1A1A"/>
          <w:sz w:val="20"/>
          <w:szCs w:val="20"/>
        </w:rPr>
        <w:t xml:space="preserve">Maturity / claim coordination on assigned policies — TPE acts as agent between insurer and assignee investor.</w:t>
      </w:r>
    </w:p>
    <w:p>
      <w:pPr>
        <w:pStyle w:val="ListParagraph"/>
        <w:numPr>
          <w:ilvl w:val="0"/>
          <w:numId w:val="2"/>
        </w:numPr>
        <w:spacing w:after="80"/>
      </w:pPr>
      <w:r>
        <w:rPr>
          <w:rFonts w:ascii="Calibri" w:cs="Calibri" w:eastAsia="Calibri" w:hAnsi="Calibri"/>
          <w:color w:val="1A1A1A"/>
          <w:sz w:val="20"/>
          <w:szCs w:val="20"/>
        </w:rPr>
        <w:t xml:space="preserve">Future: re-investment products that roll matured policy proceeds into new assignments.</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Why this is different from generic insurance comms.</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Standard carriers communicate with one party (the policyholder). TPE communicates with up to five parties about the same policy (seller, buyer, carrier, internal ops, regulator), often simultaneously, and continues investor communication for the entire remaining term of the policy — which can exceed two decades. A copy-paste-from-Gmail approach does not scale past a few hundred active policies; the operational risk (missed premium → lapsed policy → litigation from investor) grows linearly with policy count.</w:t>
            </w:r>
          </w:p>
        </w:tc>
      </w:tr>
    </w:tbl>
    <w:p>
      <w:pPr>
        <w:pStyle w:val="Heading1"/>
        <w:pageBreakBefore/>
        <w:spacing w:after="240" w:before="0"/>
      </w:pPr>
      <w:r>
        <w:rPr>
          <w:rFonts w:ascii="Calibri" w:cs="Calibri" w:eastAsia="Calibri" w:hAnsi="Calibri"/>
          <w:b/>
          <w:bCs/>
          <w:color w:val="1F3864"/>
          <w:sz w:val="36"/>
          <w:szCs w:val="36"/>
        </w:rPr>
        <w:t xml:space="preserve">9. Problem Statement &amp; Current State</w:t>
      </w:r>
    </w:p>
    <w:p>
      <w:pPr>
        <w:spacing w:after="120" w:before="0"/>
      </w:pPr>
      <w:r>
        <w:rPr>
          <w:rFonts w:ascii="Calibri" w:cs="Calibri" w:eastAsia="Calibri" w:hAnsi="Calibri"/>
          <w:color w:val="1A1A1A"/>
          <w:sz w:val="20"/>
          <w:szCs w:val="20"/>
        </w:rPr>
        <w:t xml:space="preserve">The findings below were observed during scoping conversations with TPE Operations and CX leadership in April 2026. They constitute the baseline against which the v1 success criteria (Section 10) are measured.</w:t>
      </w:r>
    </w:p>
    <w:p>
      <w:pPr>
        <w:pStyle w:val="Heading3"/>
        <w:spacing w:after="100" w:before="200"/>
      </w:pPr>
      <w:r>
        <w:rPr>
          <w:rFonts w:ascii="Calibri" w:cs="Calibri" w:eastAsia="Calibri" w:hAnsi="Calibri"/>
          <w:b/>
          <w:bCs/>
          <w:color w:val="1A1A1A"/>
          <w:sz w:val="24"/>
          <w:szCs w:val="24"/>
        </w:rPr>
        <w:t xml:space="preserve">Observed today</w:t>
      </w:r>
    </w:p>
    <w:p>
      <w:pPr>
        <w:pStyle w:val="ListParagraph"/>
        <w:numPr>
          <w:ilvl w:val="0"/>
          <w:numId w:val="2"/>
        </w:numPr>
        <w:spacing w:after="80"/>
      </w:pPr>
      <w:r>
        <w:rPr>
          <w:rFonts w:ascii="Calibri" w:cs="Calibri" w:eastAsia="Calibri" w:hAnsi="Calibri"/>
          <w:color w:val="1A1A1A"/>
          <w:sz w:val="20"/>
          <w:szCs w:val="20"/>
        </w:rPr>
        <w:t xml:space="preserve">Communication content is maintained as informal spreadsheets and free-text drafts in individual inboxes; no canonical source of truth.</w:t>
      </w:r>
    </w:p>
    <w:p>
      <w:pPr>
        <w:pStyle w:val="ListParagraph"/>
        <w:numPr>
          <w:ilvl w:val="0"/>
          <w:numId w:val="2"/>
        </w:numPr>
        <w:spacing w:after="80"/>
      </w:pPr>
      <w:r>
        <w:rPr>
          <w:rFonts w:ascii="Calibri" w:cs="Calibri" w:eastAsia="Calibri" w:hAnsi="Calibri"/>
          <w:color w:val="1A1A1A"/>
          <w:sz w:val="20"/>
          <w:szCs w:val="20"/>
        </w:rPr>
        <w:t xml:space="preserve">No version history — when copy is updated, the prior version and the rationale for the change are lost.</w:t>
      </w:r>
    </w:p>
    <w:p>
      <w:pPr>
        <w:pStyle w:val="ListParagraph"/>
        <w:numPr>
          <w:ilvl w:val="0"/>
          <w:numId w:val="2"/>
        </w:numPr>
        <w:spacing w:after="80"/>
      </w:pPr>
      <w:r>
        <w:rPr>
          <w:rFonts w:ascii="Calibri" w:cs="Calibri" w:eastAsia="Calibri" w:hAnsi="Calibri"/>
          <w:color w:val="1A1A1A"/>
          <w:sz w:val="20"/>
          <w:szCs w:val="20"/>
        </w:rPr>
        <w:t xml:space="preserve">No compliance lint — DLT-template-id, IRDAI mandatory disclosures, WhatsApp BSP category and opt-out footers are checked manually, if at all.</w:t>
      </w:r>
    </w:p>
    <w:p>
      <w:pPr>
        <w:pStyle w:val="ListParagraph"/>
        <w:numPr>
          <w:ilvl w:val="0"/>
          <w:numId w:val="2"/>
        </w:numPr>
        <w:spacing w:after="80"/>
      </w:pPr>
      <w:r>
        <w:rPr>
          <w:rFonts w:ascii="Calibri" w:cs="Calibri" w:eastAsia="Calibri" w:hAnsi="Calibri"/>
          <w:color w:val="1A1A1A"/>
          <w:sz w:val="20"/>
          <w:szCs w:val="20"/>
        </w:rPr>
        <w:t xml:space="preserve">No reuse — a generic OTP message exists in three different forms across Registration, e-Sign and Login flows.</w:t>
      </w:r>
    </w:p>
    <w:p>
      <w:pPr>
        <w:pStyle w:val="ListParagraph"/>
        <w:numPr>
          <w:ilvl w:val="0"/>
          <w:numId w:val="2"/>
        </w:numPr>
        <w:spacing w:after="80"/>
      </w:pPr>
      <w:r>
        <w:rPr>
          <w:rFonts w:ascii="Calibri" w:cs="Calibri" w:eastAsia="Calibri" w:hAnsi="Calibri"/>
          <w:color w:val="1A1A1A"/>
          <w:sz w:val="20"/>
          <w:szCs w:val="20"/>
        </w:rPr>
        <w:t xml:space="preserve">No multi-channel parity — the same message intent rendered in Email and WhatsApp can drift in tone, factual content and disclaimers.</w:t>
      </w:r>
    </w:p>
    <w:p>
      <w:pPr>
        <w:pStyle w:val="ListParagraph"/>
        <w:numPr>
          <w:ilvl w:val="0"/>
          <w:numId w:val="2"/>
        </w:numPr>
        <w:spacing w:after="80"/>
      </w:pPr>
      <w:r>
        <w:rPr>
          <w:rFonts w:ascii="Calibri" w:cs="Calibri" w:eastAsia="Calibri" w:hAnsi="Calibri"/>
          <w:color w:val="1A1A1A"/>
          <w:sz w:val="20"/>
          <w:szCs w:val="20"/>
        </w:rPr>
        <w:t xml:space="preserve">No structured cadence model — escalation rules (e.g. KYC nudge weekly × 4 then monthly × 4 then close) live in operator memory.</w:t>
      </w:r>
    </w:p>
    <w:p>
      <w:pPr>
        <w:pStyle w:val="ListParagraph"/>
        <w:numPr>
          <w:ilvl w:val="0"/>
          <w:numId w:val="2"/>
        </w:numPr>
        <w:spacing w:after="80"/>
      </w:pPr>
      <w:r>
        <w:rPr>
          <w:rFonts w:ascii="Calibri" w:cs="Calibri" w:eastAsia="Calibri" w:hAnsi="Calibri"/>
          <w:color w:val="1A1A1A"/>
          <w:sz w:val="20"/>
          <w:szCs w:val="20"/>
        </w:rPr>
        <w:t xml:space="preserve">No translation pipeline — Hindi or regional-language variants are produced ad-hoc per campaign.</w:t>
      </w:r>
    </w:p>
    <w:p>
      <w:pPr>
        <w:pStyle w:val="ListParagraph"/>
        <w:numPr>
          <w:ilvl w:val="0"/>
          <w:numId w:val="2"/>
        </w:numPr>
        <w:spacing w:after="80"/>
      </w:pPr>
      <w:r>
        <w:rPr>
          <w:rFonts w:ascii="Calibri" w:cs="Calibri" w:eastAsia="Calibri" w:hAnsi="Calibri"/>
          <w:color w:val="1A1A1A"/>
          <w:sz w:val="20"/>
          <w:szCs w:val="20"/>
        </w:rPr>
        <w:t xml:space="preserve">Limited audit trail — when a regulator or investor questions a communication, reconstructing what was sent, when, and why is non-trivial.</w:t>
      </w:r>
    </w:p>
    <w:p>
      <w:pPr>
        <w:pStyle w:val="Heading3"/>
        <w:spacing w:after="100" w:before="200"/>
      </w:pPr>
      <w:r>
        <w:rPr>
          <w:rFonts w:ascii="Calibri" w:cs="Calibri" w:eastAsia="Calibri" w:hAnsi="Calibri"/>
          <w:b/>
          <w:bCs/>
          <w:color w:val="1A1A1A"/>
          <w:sz w:val="24"/>
          <w:szCs w:val="24"/>
        </w:rPr>
        <w:t xml:space="preserve">Cost of the status quo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74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Risk</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Likely</w:t>
            </w:r>
          </w:p>
        </w:tc>
        <w:tc>
          <w:tcPr>
            <w:tcW w:type="dxa" w:w="4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Indicative impact</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Missed investor premium reminder → policy lapse → investor loss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lawsuit + reputational harm + regulator scrutiny</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Non-DLT compliant SMS → DOT block of sender ID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transactional SMS halted across audiences for 24–72h</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template miscategorised (Promotional vs Utility)</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rejection, delivery delay, BSP fines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Missing IRDAI mandatory disclosure on promo material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Show-cause notice, mandatory withdrawal of campaign</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Inconsistent tone across channels for same trigger</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Customer confusion, increased support load</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Lost institutional knowledge when ops staff change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regression, longer ramp-up for new hires</w:t>
            </w:r>
          </w:p>
        </w:tc>
      </w:tr>
    </w:tbl>
    <w:p>
      <w:pPr>
        <w:pStyle w:val="Heading1"/>
        <w:pageBreakBefore/>
        <w:spacing w:after="240" w:before="0"/>
      </w:pPr>
      <w:r>
        <w:rPr>
          <w:rFonts w:ascii="Calibri" w:cs="Calibri" w:eastAsia="Calibri" w:hAnsi="Calibri"/>
          <w:b/>
          <w:bCs/>
          <w:color w:val="1F3864"/>
          <w:sz w:val="36"/>
          <w:szCs w:val="36"/>
        </w:rPr>
        <w:t xml:space="preserve">10. Project Vision, Objectives &amp; Success Metrics</w:t>
      </w:r>
    </w:p>
    <w:p>
      <w:pPr>
        <w:pStyle w:val="Heading3"/>
        <w:spacing w:after="100" w:before="200"/>
      </w:pPr>
      <w:r>
        <w:rPr>
          <w:rFonts w:ascii="Calibri" w:cs="Calibri" w:eastAsia="Calibri" w:hAnsi="Calibri"/>
          <w:b/>
          <w:bCs/>
          <w:color w:val="1A1A1A"/>
          <w:sz w:val="24"/>
          <w:szCs w:val="24"/>
        </w:rPr>
        <w:t xml:space="preserve">Vision</w:t>
      </w:r>
    </w:p>
    <w:p>
      <w:pPr>
        <w:spacing w:after="120" w:before="0"/>
      </w:pPr>
      <w:r>
        <w:rPr>
          <w:rFonts w:ascii="Calibri" w:cs="Calibri" w:eastAsia="Calibri" w:hAnsi="Calibri"/>
          <w:color w:val="1A1A1A"/>
          <w:sz w:val="20"/>
          <w:szCs w:val="20"/>
        </w:rPr>
        <w:t xml:space="preserve">Every TPE communication is authored once, approved once, rendered consistently across every channel and language, and shipped only after passing automated compliance checks — with full version history available for audit and continuous improvement.</w:t>
      </w:r>
    </w:p>
    <w:p>
      <w:pPr>
        <w:pStyle w:val="Heading3"/>
        <w:spacing w:after="100" w:before="200"/>
      </w:pPr>
      <w:r>
        <w:rPr>
          <w:rFonts w:ascii="Calibri" w:cs="Calibri" w:eastAsia="Calibri" w:hAnsi="Calibri"/>
          <w:b/>
          <w:bCs/>
          <w:color w:val="1A1A1A"/>
          <w:sz w:val="24"/>
          <w:szCs w:val="24"/>
        </w:rPr>
        <w:t xml:space="preserve">Measurable objectives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000"/>
        <w:gridCol w:w="26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Objective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 metric</w:t>
            </w:r>
          </w:p>
        </w:tc>
        <w:tc>
          <w:tcPr>
            <w:tcW w:type="dxa" w:w="2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Baseline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O1</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Centralise communication content into a single versioned library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of v1 triggers covered (49/49)</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O2</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Eliminate manual compliance review for routine messages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95% of templates pass auto-lint pre-review</w:t>
            </w:r>
          </w:p>
        </w:tc>
        <w:tc>
          <w:tcPr>
            <w:tcW w:type="dxa" w:w="2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Manual on every template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O3</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Reduce time to author and approve a new message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minutes from draft to approved</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 hours typical</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O4</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Enable safe multi-language expansion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Hindi variants for 100% of PH-facing templates</w:t>
            </w:r>
          </w:p>
        </w:tc>
        <w:tc>
          <w:tcPr>
            <w:tcW w:type="dxa" w:w="2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Ad-hoc, partial</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O5</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 audit-grade evidence of every dispatched message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messages traceable to a versioned template</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Reconstructed manually</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O6</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Reduce investor premium-default rate via reliable cadence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Default-rate decline of ≥ 20% within 6 months of go-live</w:t>
            </w:r>
          </w:p>
        </w:tc>
        <w:tc>
          <w:tcPr>
            <w:tcW w:type="dxa" w:w="2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Current internal benchmark</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O7</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Reduce ops-team time spent on routine drafting</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Save ≥ 20 person-hours / week within 90 days of go-live</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How we measure value, not hype.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Each objective has a target and a baseline. If the improvement against baseline is not evident at the 6-month review, the corresponding capability is reconsidered or removed. Vanity metrics (template count, lines of code, slash commands shipped) are explicitly out of scope for success measurement.</w:t>
            </w:r>
          </w:p>
        </w:tc>
      </w:tr>
    </w:tbl>
    <w:p>
      <w:pPr>
        <w:pStyle w:val="Heading1"/>
        <w:pageBreakBefore/>
        <w:spacing w:after="240" w:before="0"/>
      </w:pPr>
      <w:r>
        <w:rPr>
          <w:rFonts w:ascii="Calibri" w:cs="Calibri" w:eastAsia="Calibri" w:hAnsi="Calibri"/>
          <w:b/>
          <w:bCs/>
          <w:color w:val="1F3864"/>
          <w:sz w:val="36"/>
          <w:szCs w:val="36"/>
        </w:rPr>
        <w:t xml:space="preserve">11. Scope</w:t>
      </w:r>
    </w:p>
    <w:p>
      <w:pPr>
        <w:pStyle w:val="Heading2"/>
        <w:spacing w:after="140" w:before="280"/>
      </w:pPr>
      <w:r>
        <w:rPr>
          <w:rFonts w:ascii="Calibri" w:cs="Calibri" w:eastAsia="Calibri" w:hAnsi="Calibri"/>
          <w:b/>
          <w:bCs/>
          <w:color w:val="1F3864"/>
          <w:sz w:val="28"/>
          <w:szCs w:val="28"/>
        </w:rPr>
        <w:t xml:space="preserve">11.1  In Scope</w:t>
      </w:r>
    </w:p>
    <w:p>
      <w:pPr>
        <w:pStyle w:val="ListParagraph"/>
        <w:numPr>
          <w:ilvl w:val="0"/>
          <w:numId w:val="2"/>
        </w:numPr>
        <w:spacing w:after="80"/>
      </w:pPr>
      <w:r>
        <w:rPr>
          <w:rFonts w:ascii="Calibri" w:cs="Calibri" w:eastAsia="Calibri" w:hAnsi="Calibri"/>
          <w:color w:val="1A1A1A"/>
          <w:sz w:val="20"/>
          <w:szCs w:val="20"/>
        </w:rPr>
        <w:t xml:space="preserve">Self-hosted Novu deployment on Client-controlled infrastructure in India (AWS Mumbai or equivalent), including Postgres, MongoDB, Redis, and Novu API + Worker + Web services.</w:t>
      </w:r>
    </w:p>
    <w:p>
      <w:pPr>
        <w:pStyle w:val="ListParagraph"/>
        <w:numPr>
          <w:ilvl w:val="0"/>
          <w:numId w:val="2"/>
        </w:numPr>
        <w:spacing w:after="80"/>
      </w:pPr>
      <w:r>
        <w:rPr>
          <w:rFonts w:ascii="Calibri" w:cs="Calibri" w:eastAsia="Calibri" w:hAnsi="Calibri"/>
          <w:color w:val="1A1A1A"/>
          <w:sz w:val="20"/>
          <w:szCs w:val="20"/>
        </w:rPr>
        <w:t xml:space="preserve">Forty-nine Novu workflows authored in TypeScript (Novu Framework), one per lifecycle trigger, covering PH (18), INV (16), INS (6), OPS (6) and REG (3).</w:t>
      </w:r>
    </w:p>
    <w:p>
      <w:pPr>
        <w:pStyle w:val="ListParagraph"/>
        <w:numPr>
          <w:ilvl w:val="0"/>
          <w:numId w:val="2"/>
        </w:numPr>
        <w:spacing w:after="80"/>
      </w:pPr>
      <w:r>
        <w:rPr>
          <w:rFonts w:ascii="Calibri" w:cs="Calibri" w:eastAsia="Calibri" w:hAnsi="Calibri"/>
          <w:color w:val="1A1A1A"/>
          <w:sz w:val="20"/>
          <w:szCs w:val="20"/>
        </w:rPr>
        <w:t xml:space="preserve">Novu template / content authoring for Email, SMS, WhatsApp and RCS channels, in EN and HI for v1, with subscriber-preference and digest support.</w:t>
      </w:r>
    </w:p>
    <w:p>
      <w:pPr>
        <w:pStyle w:val="ListParagraph"/>
        <w:numPr>
          <w:ilvl w:val="0"/>
          <w:numId w:val="2"/>
        </w:numPr>
        <w:spacing w:after="80"/>
      </w:pPr>
      <w:r>
        <w:rPr>
          <w:rFonts w:ascii="Calibri" w:cs="Calibri" w:eastAsia="Calibri" w:hAnsi="Calibri"/>
          <w:color w:val="1A1A1A"/>
          <w:sz w:val="20"/>
          <w:szCs w:val="20"/>
        </w:rPr>
        <w:t xml:space="preserve">Channel-provider integrations: Gupshup configured natively (Novu has first-class support for DLT Principal Entity ID and DLT Template ID overrides); MSG91 and Karix delivered as custom Novu provider plugins built and tested in this engagement.</w:t>
      </w:r>
    </w:p>
    <w:p>
      <w:pPr>
        <w:pStyle w:val="ListParagraph"/>
        <w:numPr>
          <w:ilvl w:val="0"/>
          <w:numId w:val="2"/>
        </w:numPr>
        <w:spacing w:after="80"/>
      </w:pPr>
      <w:r>
        <w:rPr>
          <w:rFonts w:ascii="Calibri" w:cs="Calibri" w:eastAsia="Calibri" w:hAnsi="Calibri"/>
          <w:color w:val="1A1A1A"/>
          <w:sz w:val="20"/>
          <w:szCs w:val="20"/>
        </w:rPr>
        <w:t xml:space="preserve">Custom compliance middleware (Novu Framework custom step) that enforces DLT, IRDAI, WhatsApp BSP and DPDPA rules at workflow execution time — prior to provider dispatch — with documented rule definitions.</w:t>
      </w:r>
    </w:p>
    <w:p>
      <w:pPr>
        <w:pStyle w:val="ListParagraph"/>
        <w:numPr>
          <w:ilvl w:val="0"/>
          <w:numId w:val="2"/>
        </w:numPr>
        <w:spacing w:after="80"/>
      </w:pPr>
      <w:r>
        <w:rPr>
          <w:rFonts w:ascii="Calibri" w:cs="Calibri" w:eastAsia="Calibri" w:hAnsi="Calibri"/>
          <w:color w:val="1A1A1A"/>
          <w:sz w:val="20"/>
          <w:szCs w:val="20"/>
        </w:rPr>
        <w:t xml:space="preserve">Multi-tenant insurer routing: eleven carrier-specific sender identities, MIS attachment rules, and escalation tracks recognised at the workflow layer.</w:t>
      </w:r>
    </w:p>
    <w:p>
      <w:pPr>
        <w:pStyle w:val="ListParagraph"/>
        <w:numPr>
          <w:ilvl w:val="0"/>
          <w:numId w:val="2"/>
        </w:numPr>
        <w:spacing w:after="80"/>
      </w:pPr>
      <w:r>
        <w:rPr>
          <w:rFonts w:ascii="Calibri" w:cs="Calibri" w:eastAsia="Calibri" w:hAnsi="Calibri"/>
          <w:color w:val="1A1A1A"/>
          <w:sz w:val="20"/>
          <w:szCs w:val="20"/>
        </w:rPr>
        <w:t xml:space="preserve">Observability stack: structured logs, dispatch metrics (success / failure / latency), per-workflow audit trail with PII masking, and a per-message audit-export endpoint.</w:t>
      </w:r>
    </w:p>
    <w:p>
      <w:pPr>
        <w:pStyle w:val="ListParagraph"/>
        <w:numPr>
          <w:ilvl w:val="0"/>
          <w:numId w:val="2"/>
        </w:numPr>
        <w:spacing w:after="80"/>
      </w:pPr>
      <w:r>
        <w:rPr>
          <w:rFonts w:ascii="Calibri" w:cs="Calibri" w:eastAsia="Calibri" w:hAnsi="Calibri"/>
          <w:color w:val="1A1A1A"/>
          <w:sz w:val="20"/>
          <w:szCs w:val="20"/>
        </w:rPr>
        <w:t xml:space="preserve">Subscriber data model and one-time sync from existing TPE customer-data store into Novu subscribers (with ongoing sync recommendations documented).</w:t>
      </w:r>
    </w:p>
    <w:p>
      <w:pPr>
        <w:pStyle w:val="ListParagraph"/>
        <w:numPr>
          <w:ilvl w:val="0"/>
          <w:numId w:val="2"/>
        </w:numPr>
        <w:spacing w:after="80"/>
      </w:pPr>
      <w:r>
        <w:rPr>
          <w:rFonts w:ascii="Calibri" w:cs="Calibri" w:eastAsia="Calibri" w:hAnsi="Calibri"/>
          <w:color w:val="1A1A1A"/>
          <w:sz w:val="20"/>
          <w:szCs w:val="20"/>
        </w:rPr>
        <w:t xml:space="preserve">Documentation: this SOW, infrastructure runbook, workflow-author guide, compliance reference card, custom-provider plugin docs, and ops runbook for self-hosted Novu.</w:t>
      </w:r>
    </w:p>
    <w:p>
      <w:pPr>
        <w:pStyle w:val="ListParagraph"/>
        <w:numPr>
          <w:ilvl w:val="0"/>
          <w:numId w:val="2"/>
        </w:numPr>
        <w:spacing w:after="80"/>
      </w:pPr>
      <w:r>
        <w:rPr>
          <w:rFonts w:ascii="Calibri" w:cs="Calibri" w:eastAsia="Calibri" w:hAnsi="Calibri"/>
          <w:color w:val="1A1A1A"/>
          <w:sz w:val="20"/>
          <w:szCs w:val="20"/>
        </w:rPr>
        <w:t xml:space="preserve">Test packs covering schema, lint middleware, render goldens, workflow execution and provider plugins.</w:t>
      </w:r>
    </w:p>
    <w:p>
      <w:pPr>
        <w:pStyle w:val="ListParagraph"/>
        <w:numPr>
          <w:ilvl w:val="0"/>
          <w:numId w:val="2"/>
        </w:numPr>
        <w:spacing w:after="80"/>
      </w:pPr>
      <w:r>
        <w:rPr>
          <w:rFonts w:ascii="Calibri" w:cs="Calibri" w:eastAsia="Calibri" w:hAnsi="Calibri"/>
          <w:color w:val="1A1A1A"/>
          <w:sz w:val="20"/>
          <w:szCs w:val="20"/>
        </w:rPr>
        <w:t xml:space="preserve">Production cutover and one-week hypercare at end of P5.</w:t>
      </w:r>
    </w:p>
    <w:p>
      <w:pPr>
        <w:pStyle w:val="Heading2"/>
        <w:spacing w:after="140" w:before="280"/>
      </w:pPr>
      <w:r>
        <w:rPr>
          <w:rFonts w:ascii="Calibri" w:cs="Calibri" w:eastAsia="Calibri" w:hAnsi="Calibri"/>
          <w:b/>
          <w:bCs/>
          <w:color w:val="1F3864"/>
          <w:sz w:val="28"/>
          <w:szCs w:val="28"/>
        </w:rPr>
        <w:t xml:space="preserve">11.2  Out of Scope (v1)</w:t>
      </w:r>
    </w:p>
    <w:p>
      <w:pPr>
        <w:pStyle w:val="ListParagraph"/>
        <w:numPr>
          <w:ilvl w:val="0"/>
          <w:numId w:val="2"/>
        </w:numPr>
        <w:spacing w:after="80"/>
      </w:pPr>
      <w:r>
        <w:rPr>
          <w:rFonts w:ascii="Calibri" w:cs="Calibri" w:eastAsia="Calibri" w:hAnsi="Calibri"/>
          <w:color w:val="1A1A1A"/>
          <w:sz w:val="20"/>
          <w:szCs w:val="20"/>
        </w:rPr>
        <w:t xml:space="preserve">Novu Cloud or any non-India-resident managed Novu offering.</w:t>
      </w:r>
    </w:p>
    <w:p>
      <w:pPr>
        <w:pStyle w:val="ListParagraph"/>
        <w:numPr>
          <w:ilvl w:val="0"/>
          <w:numId w:val="2"/>
        </w:numPr>
        <w:spacing w:after="80"/>
      </w:pPr>
      <w:r>
        <w:rPr>
          <w:rFonts w:ascii="Calibri" w:cs="Calibri" w:eastAsia="Calibri" w:hAnsi="Calibri"/>
          <w:color w:val="1A1A1A"/>
          <w:sz w:val="20"/>
          <w:szCs w:val="20"/>
        </w:rPr>
        <w:t xml:space="preserve">Customer-data store / CRM functionality. Novu consumes existing TPE data via subscribers; it is not a system of record for customer master data.</w:t>
      </w:r>
    </w:p>
    <w:p>
      <w:pPr>
        <w:pStyle w:val="ListParagraph"/>
        <w:numPr>
          <w:ilvl w:val="0"/>
          <w:numId w:val="2"/>
        </w:numPr>
        <w:spacing w:after="80"/>
      </w:pPr>
      <w:r>
        <w:rPr>
          <w:rFonts w:ascii="Calibri" w:cs="Calibri" w:eastAsia="Calibri" w:hAnsi="Calibri"/>
          <w:color w:val="1A1A1A"/>
          <w:sz w:val="20"/>
          <w:szCs w:val="20"/>
        </w:rPr>
        <w:t xml:space="preserve">Real-time analytics / BI dashboards on delivery rates beyond the engagement’s observability stack. Existing tools to be used.</w:t>
      </w:r>
    </w:p>
    <w:p>
      <w:pPr>
        <w:pStyle w:val="ListParagraph"/>
        <w:numPr>
          <w:ilvl w:val="0"/>
          <w:numId w:val="2"/>
        </w:numPr>
        <w:spacing w:after="80"/>
      </w:pPr>
      <w:r>
        <w:rPr>
          <w:rFonts w:ascii="Calibri" w:cs="Calibri" w:eastAsia="Calibri" w:hAnsi="Calibri"/>
          <w:color w:val="1A1A1A"/>
          <w:sz w:val="20"/>
          <w:szCs w:val="20"/>
        </w:rPr>
        <w:t xml:space="preserve">Voice / IVR scripting beyond brief reference notes within workflows.</w:t>
      </w:r>
    </w:p>
    <w:p>
      <w:pPr>
        <w:pStyle w:val="ListParagraph"/>
        <w:numPr>
          <w:ilvl w:val="0"/>
          <w:numId w:val="2"/>
        </w:numPr>
        <w:spacing w:after="80"/>
      </w:pPr>
      <w:r>
        <w:rPr>
          <w:rFonts w:ascii="Calibri" w:cs="Calibri" w:eastAsia="Calibri" w:hAnsi="Calibri"/>
          <w:color w:val="1A1A1A"/>
          <w:sz w:val="20"/>
          <w:szCs w:val="20"/>
        </w:rPr>
        <w:t xml:space="preserve">Sentiment analysis or NLP-based reply handling.</w:t>
      </w:r>
    </w:p>
    <w:p>
      <w:pPr>
        <w:pStyle w:val="ListParagraph"/>
        <w:numPr>
          <w:ilvl w:val="0"/>
          <w:numId w:val="2"/>
        </w:numPr>
        <w:spacing w:after="80"/>
      </w:pPr>
      <w:r>
        <w:rPr>
          <w:rFonts w:ascii="Calibri" w:cs="Calibri" w:eastAsia="Calibri" w:hAnsi="Calibri"/>
          <w:color w:val="1A1A1A"/>
          <w:sz w:val="20"/>
          <w:szCs w:val="20"/>
        </w:rPr>
        <w:t xml:space="preserve">AI-generated copy at runtime. All content is human-authored and approved; AI assists during authoring only.</w:t>
      </w:r>
    </w:p>
    <w:p>
      <w:pPr>
        <w:pStyle w:val="ListParagraph"/>
        <w:numPr>
          <w:ilvl w:val="0"/>
          <w:numId w:val="2"/>
        </w:numPr>
        <w:spacing w:after="80"/>
      </w:pPr>
      <w:r>
        <w:rPr>
          <w:rFonts w:ascii="Calibri" w:cs="Calibri" w:eastAsia="Calibri" w:hAnsi="Calibri"/>
          <w:color w:val="1A1A1A"/>
          <w:sz w:val="20"/>
          <w:szCs w:val="20"/>
        </w:rPr>
        <w:t xml:space="preserve">Replacement of the existing MIS Pipeline that serves INS-02 attachments — it remains; Novu workflows trigger and reference it.</w:t>
      </w:r>
    </w:p>
    <w:p>
      <w:pPr>
        <w:pStyle w:val="ListParagraph"/>
        <w:numPr>
          <w:ilvl w:val="0"/>
          <w:numId w:val="2"/>
        </w:numPr>
        <w:spacing w:after="80"/>
      </w:pPr>
      <w:r>
        <w:rPr>
          <w:rFonts w:ascii="Calibri" w:cs="Calibri" w:eastAsia="Calibri" w:hAnsi="Calibri"/>
          <w:color w:val="1A1A1A"/>
          <w:sz w:val="20"/>
          <w:szCs w:val="20"/>
        </w:rPr>
        <w:t xml:space="preserve">Hardening Novu itself beyond the supported configuration: forks, custom patches, or in-tree feature additions to the upstream Novu codebase.</w:t>
      </w:r>
    </w:p>
    <w:p>
      <w:pPr>
        <w:pStyle w:val="ListParagraph"/>
        <w:numPr>
          <w:ilvl w:val="0"/>
          <w:numId w:val="2"/>
        </w:numPr>
        <w:spacing w:after="80"/>
      </w:pPr>
      <w:r>
        <w:rPr>
          <w:rFonts w:ascii="Calibri" w:cs="Calibri" w:eastAsia="Calibri" w:hAnsi="Calibri"/>
          <w:color w:val="1A1A1A"/>
          <w:sz w:val="20"/>
          <w:szCs w:val="20"/>
        </w:rPr>
        <w:t xml:space="preserve">Channel-provider commercial contracts. The Client signs directly with Gupshup, MSG91 and Karix; the Consultant configures and integrates against Client-supplied credentials.</w:t>
      </w:r>
    </w:p>
    <w:p>
      <w:pPr>
        <w:pStyle w:val="ListParagraph"/>
        <w:numPr>
          <w:ilvl w:val="0"/>
          <w:numId w:val="2"/>
        </w:numPr>
        <w:spacing w:after="80"/>
      </w:pPr>
      <w:r>
        <w:rPr>
          <w:rFonts w:ascii="Calibri" w:cs="Calibri" w:eastAsia="Calibri" w:hAnsi="Calibri"/>
          <w:color w:val="1A1A1A"/>
          <w:sz w:val="20"/>
          <w:szCs w:val="20"/>
        </w:rPr>
        <w:t xml:space="preserve">DLT registration for sender IDs and template IDs is the Client’s responsibility; the Consultant provides templates and assists with format-correctness.</w:t>
      </w:r>
    </w:p>
    <w:p>
      <w:pPr>
        <w:pageBreakBefore/>
        <w:spacing w:after="200" w:before="4000"/>
        <w:jc w:val="center"/>
      </w:pPr>
      <w:r>
        <w:rPr>
          <w:rFonts w:ascii="Calibri" w:cs="Calibri" w:eastAsia="Calibri" w:hAnsi="Calibri"/>
          <w:b/>
          <w:bCs/>
          <w:caps/>
          <w:color w:val="808080"/>
          <w:sz w:val="22"/>
          <w:szCs w:val="22"/>
        </w:rPr>
        <w:t xml:space="preserve">Part III</w:t>
      </w:r>
    </w:p>
    <w:p>
      <w:pPr>
        <w:spacing w:after="1600" w:before="0"/>
        <w:jc w:val="center"/>
      </w:pPr>
      <w:r>
        <w:rPr>
          <w:rFonts w:ascii="Calibri" w:cs="Calibri" w:eastAsia="Calibri" w:hAnsi="Calibri"/>
          <w:b/>
          <w:bCs/>
          <w:color w:val="1F3864"/>
          <w:sz w:val="56"/>
          <w:szCs w:val="56"/>
        </w:rPr>
        <w:t xml:space="preserve">Stakeholders &amp; Audience</w:t>
      </w:r>
    </w:p>
    <w:p>
      <w:pPr>
        <w:pStyle w:val="Heading1"/>
        <w:pageBreakBefore/>
        <w:spacing w:after="240" w:before="0"/>
      </w:pPr>
      <w:r>
        <w:rPr>
          <w:rFonts w:ascii="Calibri" w:cs="Calibri" w:eastAsia="Calibri" w:hAnsi="Calibri"/>
          <w:b/>
          <w:bCs/>
          <w:color w:val="1F3864"/>
          <w:sz w:val="36"/>
          <w:szCs w:val="36"/>
        </w:rPr>
        <w:t xml:space="preserve">12. Stakeholder Register</w:t>
      </w:r>
    </w:p>
    <w:p>
      <w:pPr>
        <w:spacing w:after="120" w:before="0"/>
      </w:pPr>
      <w:r>
        <w:rPr>
          <w:rFonts w:ascii="Calibri" w:cs="Calibri" w:eastAsia="Calibri" w:hAnsi="Calibri"/>
          <w:color w:val="1A1A1A"/>
          <w:sz w:val="20"/>
          <w:szCs w:val="20"/>
        </w:rPr>
        <w:t xml:space="preserve">The RACI (Section 25) tells you who does what on a given activity. This register tells you who cares about the engagement, how much, and what they need to keep that interest constructive. Stakeholders are listed in priority order; engagement intensity is calibrated to influence × interest.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2700"/>
        <w:gridCol w:w="25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Stakeholder</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Influence</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Interest</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Concerns</w:t>
            </w:r>
          </w:p>
        </w:tc>
        <w:tc>
          <w:tcPr>
            <w:tcW w:type="dxa" w:w="2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Engagement</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Founders (Sponsors)</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Burn vs. impact; investor trust</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 weekly status</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integrations, tech-debt</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review; phase-gate sign-off</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Compliance</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 exposure; lint accuracy</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review queue</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CX</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 PH experience</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review queue</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Day-to-day workload; tooling</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working session</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Team</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clarity; standards</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standup; pair authoring</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(regulator)</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 compliance</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Indirect — via Compliance Lead</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 DLT operators</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template registration</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Indirect — via CTO at P5</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partners (11)</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 continuity; assignment SLA</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partner cadence; INS-02</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Investors (TPE customers)</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Reliable premium reminders</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Channelled via INV trigger flows</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Policyholders</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Empathetic, vernacular contact</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Channelled via PH trigger flows</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Audit</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Audit-trail quality</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Documented post-launch review</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Influence × Interest = engagement intensity.</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High-influence + high-interest stakeholders (founders, CTO, Compliance, CX) are managed closely with weekly contact and phase-gate sign-off. High-influence + low-interest stakeholders (IRDAI, TRAI) are kept satisfied via the Compliance Lead — they should not need to interact with this engagement directly. Low-influence + high-interest (PH, INV) are the reason the engagement exists — they are served via the trigger flows, not via direct project engagement.</w:t>
            </w:r>
          </w:p>
        </w:tc>
      </w:tr>
    </w:tbl>
    <w:p>
      <w:pPr>
        <w:pStyle w:val="Heading1"/>
        <w:pageBreakBefore/>
        <w:spacing w:after="240" w:before="0"/>
      </w:pPr>
      <w:r>
        <w:rPr>
          <w:rFonts w:ascii="Calibri" w:cs="Calibri" w:eastAsia="Calibri" w:hAnsi="Calibri"/>
          <w:b/>
          <w:bCs/>
          <w:color w:val="1F3864"/>
          <w:sz w:val="36"/>
          <w:szCs w:val="36"/>
        </w:rPr>
        <w:t xml:space="preserve">13. Audiences (Summary)</w:t>
      </w:r>
    </w:p>
    <w:p>
      <w:pPr>
        <w:spacing w:after="120" w:before="0"/>
      </w:pPr>
      <w:r>
        <w:rPr>
          <w:rFonts w:ascii="Calibri" w:cs="Calibri" w:eastAsia="Calibri" w:hAnsi="Calibri"/>
          <w:color w:val="1A1A1A"/>
          <w:sz w:val="20"/>
          <w:szCs w:val="20"/>
        </w:rPr>
        <w:t xml:space="preserve">Five audiences in scope. Each has a distinct voice, channel mix, compliance regime and sender identity. Detailed audience definitions, voice references, and per-audience channel rules are in the companion Technical Solution Document.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000"/>
        <w:gridCol w:w="24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3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Primary channels</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Sender identity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 Seller</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(primary), SMS, 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Customer Care</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 Buyer (10–25 year relationship)</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SMS, RCS</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Investments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Partner (11 carriers)</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carrier portal upload</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Operations + per-carrier identity</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Ops / Sales / Agents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Teams, 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System Bot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 / Statutory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Portal upload, secure 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Compliance</w:t>
            </w:r>
          </w:p>
        </w:tc>
      </w:tr>
    </w:tbl>
    <w:p>
      <w:pPr>
        <w:pageBreakBefore/>
        <w:spacing w:after="200" w:before="4000"/>
        <w:jc w:val="center"/>
      </w:pPr>
      <w:r>
        <w:rPr>
          <w:rFonts w:ascii="Calibri" w:cs="Calibri" w:eastAsia="Calibri" w:hAnsi="Calibri"/>
          <w:b/>
          <w:bCs/>
          <w:caps/>
          <w:color w:val="808080"/>
          <w:sz w:val="22"/>
          <w:szCs w:val="22"/>
        </w:rPr>
        <w:t xml:space="preserve">Part IV</w:t>
      </w:r>
    </w:p>
    <w:p>
      <w:pPr>
        <w:spacing w:after="1600" w:before="0"/>
        <w:jc w:val="center"/>
      </w:pPr>
      <w:r>
        <w:rPr>
          <w:rFonts w:ascii="Calibri" w:cs="Calibri" w:eastAsia="Calibri" w:hAnsi="Calibri"/>
          <w:b/>
          <w:bCs/>
          <w:color w:val="1F3864"/>
          <w:sz w:val="56"/>
          <w:szCs w:val="56"/>
        </w:rPr>
        <w:t xml:space="preserve">Domain Overview</w:t>
      </w:r>
    </w:p>
    <w:p>
      <w:pPr>
        <w:pStyle w:val="Heading1"/>
        <w:pageBreakBefore/>
        <w:spacing w:after="240" w:before="0"/>
      </w:pPr>
      <w:r>
        <w:rPr>
          <w:rFonts w:ascii="Calibri" w:cs="Calibri" w:eastAsia="Calibri" w:hAnsi="Calibri"/>
          <w:b/>
          <w:bCs/>
          <w:color w:val="1F3864"/>
          <w:sz w:val="36"/>
          <w:szCs w:val="36"/>
        </w:rPr>
        <w:t xml:space="preserve">14. Trigger Inventory (Summary)</w:t>
      </w:r>
    </w:p>
    <w:p>
      <w:pPr>
        <w:spacing w:after="120" w:before="0"/>
      </w:pPr>
      <w:r>
        <w:rPr>
          <w:rFonts w:ascii="Calibri" w:cs="Calibri" w:eastAsia="Calibri" w:hAnsi="Calibri"/>
          <w:color w:val="1A1A1A"/>
          <w:sz w:val="20"/>
          <w:szCs w:val="20"/>
        </w:rPr>
        <w:t xml:space="preserve">Forty-nine lifecycle triggers across the five audiences. Each trigger maps to one Novu workflow in delivery. The summary below records the count by audience and is the contractual scope reference; per-trigger statuses, channel mapping, cadence rules and disclaimer pinning are in the companion Technical Solution Document.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700"/>
        <w:gridCol w:w="800"/>
        <w:gridCol w:w="24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Group</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Triggers</w:t>
            </w:r>
          </w:p>
        </w:tc>
        <w:tc>
          <w:tcPr>
            <w:tcW w:type="dxa" w:w="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Count</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 Seller</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PH-01 … PH-18</w:t>
            </w:r>
          </w:p>
        </w:tc>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KYC, surrender quote, assignment, disbursement, loan, re-engagement, referral</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 Buyer</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INV-01 … INV-16</w:t>
            </w:r>
          </w:p>
        </w:tc>
        <w:tc>
          <w:tcPr>
            <w:tcW w:type="dxa" w:w="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16</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registration, opportunity push, premium-due (highest volume — multi-decade stream), maturity, tax, statements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Partner (B2B, 11 carriers)</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INS-01 … INS-06</w:t>
            </w:r>
          </w:p>
        </w:tc>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Assignment, premium remittance MIS, reconciliation, queries, claims, KYC refresh</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Ops / Sales / Agents</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OPS-01 … OPS-06</w:t>
            </w:r>
          </w:p>
        </w:tc>
        <w:tc>
          <w:tcPr>
            <w:tcW w:type="dxa" w:w="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allocation, daily standup, escalations, default alerts, KYC stuck, deadlines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 / Statutory</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REG-01 … REG-03</w:t>
            </w:r>
          </w:p>
        </w:tc>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filings, TDS certificates, GST invoices</w:t>
            </w:r>
          </w:p>
        </w:tc>
      </w:tr>
      <w:tr>
        <w:tc>
          <w:tcPr>
            <w:tcW w:type="dxa" w:w="7300"/>
            <w:gridSpan w:val="4"/>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in scope (all five groups)</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49</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How this binds.</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The forty-nine-trigger count is the contractual scope. The per-trigger detail (statuses, channels, cadence, disclaimer set) lives in the companion TSD; changes to the per-trigger detail that do not alter the count, channels, or audiences do not constitute scope change. Adding or removing triggers, channels or audiences is a Material change under Section 27.</w:t>
            </w:r>
          </w:p>
        </w:tc>
      </w:tr>
    </w:tbl>
    <w:p>
      <w:pPr>
        <w:pStyle w:val="Heading1"/>
        <w:pageBreakBefore/>
        <w:spacing w:after="240" w:before="0"/>
      </w:pPr>
      <w:r>
        <w:rPr>
          <w:rFonts w:ascii="Calibri" w:cs="Calibri" w:eastAsia="Calibri" w:hAnsi="Calibri"/>
          <w:b/>
          <w:bCs/>
          <w:color w:val="1F3864"/>
          <w:sz w:val="36"/>
          <w:szCs w:val="36"/>
        </w:rPr>
        <w:t xml:space="preserve">15. Channel Coverage (Summary)</w:t>
      </w:r>
    </w:p>
    <w:p>
      <w:pPr>
        <w:spacing w:after="120" w:before="0"/>
      </w:pPr>
      <w:r>
        <w:rPr>
          <w:rFonts w:ascii="Calibri" w:cs="Calibri" w:eastAsia="Calibri" w:hAnsi="Calibri"/>
          <w:color w:val="1A1A1A"/>
          <w:sz w:val="20"/>
          <w:szCs w:val="20"/>
        </w:rPr>
        <w:t xml:space="preserve">Four customer-facing channels and one internal channel are in scope. Channel selection per workflow is derived from audience, message intent and compliance class. Per-channel rendering rules, character limits, template approval flow and provider-specific configuration are in the companion Technical Solution Document.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2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 scope</w:t>
            </w:r>
          </w:p>
        </w:tc>
        <w:tc>
          <w:tcPr>
            <w:tcW w:type="dxa" w:w="6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Indian compliance gate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6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consent; IT Act 2000</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6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(Principal Entity ID + Template ID); TRAI commercial-comms regulations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(Cloud API via BSP)</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6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Meta BSP template approval; template category (Marketing / Utility / Authentication); 24h session window</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6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DLT regime as SMS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Teams (internal only)</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6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information-classification policy</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Voice / IVR</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(out of v1 scope)</w:t>
            </w:r>
          </w:p>
        </w:tc>
        <w:tc>
          <w:tcPr>
            <w:tcW w:type="dxa" w:w="6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commercial-comms + DND — future engagement if commissioned</w:t>
            </w:r>
          </w:p>
        </w:tc>
      </w:tr>
    </w:tbl>
    <w:p>
      <w:pPr>
        <w:pageBreakBefore/>
        <w:spacing w:after="200" w:before="4000"/>
        <w:jc w:val="center"/>
      </w:pPr>
      <w:r>
        <w:rPr>
          <w:rFonts w:ascii="Calibri" w:cs="Calibri" w:eastAsia="Calibri" w:hAnsi="Calibri"/>
          <w:b/>
          <w:bCs/>
          <w:caps/>
          <w:color w:val="808080"/>
          <w:sz w:val="22"/>
          <w:szCs w:val="22"/>
        </w:rPr>
        <w:t xml:space="preserve">Part V</w:t>
      </w:r>
    </w:p>
    <w:p>
      <w:pPr>
        <w:spacing w:after="1600" w:before="0"/>
        <w:jc w:val="center"/>
      </w:pPr>
      <w:r>
        <w:rPr>
          <w:rFonts w:ascii="Calibri" w:cs="Calibri" w:eastAsia="Calibri" w:hAnsi="Calibri"/>
          <w:b/>
          <w:bCs/>
          <w:color w:val="1F3864"/>
          <w:sz w:val="56"/>
          <w:szCs w:val="56"/>
        </w:rPr>
        <w:t xml:space="preserve">Solution Overview (Summary)</w:t>
      </w:r>
    </w:p>
    <w:p>
      <w:pPr>
        <w:pStyle w:val="Heading1"/>
        <w:pageBreakBefore/>
        <w:spacing w:after="240" w:before="0"/>
      </w:pPr>
      <w:r>
        <w:rPr>
          <w:rFonts w:ascii="Calibri" w:cs="Calibri" w:eastAsia="Calibri" w:hAnsi="Calibri"/>
          <w:b/>
          <w:bCs/>
          <w:color w:val="1F3864"/>
          <w:sz w:val="36"/>
          <w:szCs w:val="36"/>
        </w:rPr>
        <w:t xml:space="preserve">16. Solution Approach (Novu — Summary)</w:t>
      </w:r>
    </w:p>
    <w:p>
      <w:pPr>
        <w:spacing w:after="120" w:before="0"/>
      </w:pPr>
      <w:r>
        <w:rPr>
          <w:rFonts w:ascii="Calibri" w:cs="Calibri" w:eastAsia="Calibri" w:hAnsi="Calibri"/>
          <w:color w:val="1A1A1A"/>
          <w:sz w:val="20"/>
          <w:szCs w:val="20"/>
        </w:rPr>
        <w:t xml:space="preserve">The system is delivered on Novu, the open-source notification infrastructure platform. Forty-nine lifecycle workflows (Section 14) are authored as code in TypeScript using Novu Framework, version-controlled in a Client repository, and deployed to a self-hosted Novu instance. Workflow content (Email, SMS, WhatsApp, RCS) is rendered by Novu’s native channel renderers; subscriber preferences, digest, throttle and cadence delays come from Novu out of the box; localisation between English and Hindi is handled within the workflow definition.</w:t>
      </w:r>
    </w:p>
    <w:p>
      <w:pPr>
        <w:spacing w:after="120" w:before="0"/>
      </w:pPr>
      <w:r>
        <w:rPr>
          <w:rFonts w:ascii="Calibri" w:cs="Calibri" w:eastAsia="Calibri" w:hAnsi="Calibri"/>
          <w:color w:val="1A1A1A"/>
          <w:sz w:val="20"/>
          <w:szCs w:val="20"/>
        </w:rPr>
        <w:t xml:space="preserve">Detailed workflow author guide, the workflow lifecycle (draft → review → dev → staging → prod → deprecated), the Novu Framework primitives used (workflow, step.email, step.sms, step.chat, step.delay, step.custom), and worked examples for representative triggers are in the companion Technical Solution Document. They are not reproduced here because they are engineering detail rather than contractual scope.</w:t>
      </w:r>
    </w:p>
    <w:p>
      <w:pPr>
        <w:pStyle w:val="Heading2"/>
        <w:spacing w:after="140" w:before="280"/>
      </w:pPr>
      <w:r>
        <w:rPr>
          <w:rFonts w:ascii="Calibri" w:cs="Calibri" w:eastAsia="Calibri" w:hAnsi="Calibri"/>
          <w:b/>
          <w:bCs/>
          <w:color w:val="1F3864"/>
          <w:sz w:val="28"/>
          <w:szCs w:val="28"/>
        </w:rPr>
        <w:t xml:space="preserve">16.1  What this engagement contributes vs. what Novu provides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40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Element</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Source</w:t>
            </w:r>
          </w:p>
        </w:tc>
        <w:tc>
          <w:tcPr>
            <w:tcW w:type="dxa" w:w="4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Effort in this engagement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engine, channel routing, subscriber model, preferences, digest, throttle</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 (out of the box)</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None — adopted as-is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49 workflow definitions (PH, INV, INS, OPS, REG)</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Authored in this engagement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Channel-provider integration</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Mixed</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 native (configuration only); MSG91 + Karix as custom plugins built in this engagement (Section 18)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enforcement (DLT, IRDAI, WA-BSP, DPDPA, FATCA, TDS, brand-voice)</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Built in this engagement as middleware (Section 18)</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trail and observability</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Built in this engagement (Section 18)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insurer routing (11 carriers)</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Built in this engagement (Section 18)</w:t>
            </w:r>
          </w:p>
        </w:tc>
      </w:tr>
    </w:tbl>
    <w:p>
      <w:pPr>
        <w:pStyle w:val="Heading1"/>
        <w:pageBreakBefore/>
        <w:spacing w:after="240" w:before="0"/>
      </w:pPr>
      <w:r>
        <w:rPr>
          <w:rFonts w:ascii="Calibri" w:cs="Calibri" w:eastAsia="Calibri" w:hAnsi="Calibri"/>
          <w:b/>
          <w:bCs/>
          <w:color w:val="1F3864"/>
          <w:sz w:val="36"/>
          <w:szCs w:val="36"/>
        </w:rPr>
        <w:t xml:space="preserve">17. Architecture Overview (Summary)</w:t>
      </w:r>
    </w:p>
    <w:p>
      <w:pPr>
        <w:spacing w:after="120" w:before="0"/>
      </w:pPr>
      <w:r>
        <w:rPr>
          <w:rFonts w:ascii="Calibri" w:cs="Calibri" w:eastAsia="Calibri" w:hAnsi="Calibri"/>
          <w:color w:val="1A1A1A"/>
          <w:sz w:val="20"/>
          <w:szCs w:val="20"/>
        </w:rPr>
        <w:t xml:space="preserve">Novu is deployed self-hosted on Client-controlled infrastructure in India — AWS Mumbai region (ap-south-1) or equivalent India-region cloud. The deployment is end-to-end India-resident; PII does not leave the Client VPC in normal operation. Novu Cloud is explicitly out of scope for this engagement because Cloud regions are outside India and would put cross-border PII transfers in scope under DPDPA.</w:t>
      </w:r>
    </w:p>
    <w:p>
      <w:pPr>
        <w:pStyle w:val="Heading2"/>
        <w:spacing w:after="140" w:before="280"/>
      </w:pPr>
      <w:r>
        <w:rPr>
          <w:rFonts w:ascii="Calibri" w:cs="Calibri" w:eastAsia="Calibri" w:hAnsi="Calibri"/>
          <w:b/>
          <w:bCs/>
          <w:color w:val="1F3864"/>
          <w:sz w:val="28"/>
          <w:szCs w:val="28"/>
        </w:rPr>
        <w:t xml:space="preserve">17.1  Components in scope</w:t>
      </w:r>
    </w:p>
    <w:p>
      <w:pPr>
        <w:pStyle w:val="ListParagraph"/>
        <w:numPr>
          <w:ilvl w:val="0"/>
          <w:numId w:val="2"/>
        </w:numPr>
        <w:spacing w:after="80"/>
      </w:pPr>
      <w:r>
        <w:rPr>
          <w:rFonts w:ascii="Calibri" w:cs="Calibri" w:eastAsia="Calibri" w:hAnsi="Calibri"/>
          <w:color w:val="1A1A1A"/>
          <w:sz w:val="20"/>
          <w:szCs w:val="20"/>
        </w:rPr>
        <w:t xml:space="preserve">Novu services: API, Worker, Web (operations dashboard), Bridge (workflow sync). All upstream Novu, deployed on Client infrastructure.</w:t>
      </w:r>
    </w:p>
    <w:p>
      <w:pPr>
        <w:pStyle w:val="ListParagraph"/>
        <w:numPr>
          <w:ilvl w:val="0"/>
          <w:numId w:val="2"/>
        </w:numPr>
        <w:spacing w:after="80"/>
      </w:pPr>
      <w:r>
        <w:rPr>
          <w:rFonts w:ascii="Calibri" w:cs="Calibri" w:eastAsia="Calibri" w:hAnsi="Calibri"/>
          <w:color w:val="1A1A1A"/>
          <w:sz w:val="20"/>
          <w:szCs w:val="20"/>
        </w:rPr>
        <w:t xml:space="preserve">Datastores: managed Postgres (RDS or equivalent), MongoDB (Atlas Mumbai or equivalent), Redis (ElastiCache or equivalent). All Multi-AZ within ap-south-1.</w:t>
      </w:r>
    </w:p>
    <w:p>
      <w:pPr>
        <w:pStyle w:val="ListParagraph"/>
        <w:numPr>
          <w:ilvl w:val="0"/>
          <w:numId w:val="2"/>
        </w:numPr>
        <w:spacing w:after="80"/>
      </w:pPr>
      <w:r>
        <w:rPr>
          <w:rFonts w:ascii="Calibri" w:cs="Calibri" w:eastAsia="Calibri" w:hAnsi="Calibri"/>
          <w:color w:val="1A1A1A"/>
          <w:sz w:val="20"/>
          <w:szCs w:val="20"/>
        </w:rPr>
        <w:t xml:space="preserve">Network: Client VPC; private subnets for app and data tiers; public ALB / API Gateway with TLS termination and Client SSO; egress to channel-provider APIs over HTTPS.</w:t>
      </w:r>
    </w:p>
    <w:p>
      <w:pPr>
        <w:pStyle w:val="ListParagraph"/>
        <w:numPr>
          <w:ilvl w:val="0"/>
          <w:numId w:val="2"/>
        </w:numPr>
        <w:spacing w:after="80"/>
      </w:pPr>
      <w:r>
        <w:rPr>
          <w:rFonts w:ascii="Calibri" w:cs="Calibri" w:eastAsia="Calibri" w:hAnsi="Calibri"/>
          <w:color w:val="1A1A1A"/>
          <w:sz w:val="20"/>
          <w:szCs w:val="20"/>
        </w:rPr>
        <w:t xml:space="preserve">Secrets: AWS Secrets Manager (or Client equivalent) for DLT IDs, BSP credentials, database connection strings.</w:t>
      </w:r>
    </w:p>
    <w:p>
      <w:pPr>
        <w:pStyle w:val="ListParagraph"/>
        <w:numPr>
          <w:ilvl w:val="0"/>
          <w:numId w:val="2"/>
        </w:numPr>
        <w:spacing w:after="80"/>
      </w:pPr>
      <w:r>
        <w:rPr>
          <w:rFonts w:ascii="Calibri" w:cs="Calibri" w:eastAsia="Calibri" w:hAnsi="Calibri"/>
          <w:color w:val="1A1A1A"/>
          <w:sz w:val="20"/>
          <w:szCs w:val="20"/>
        </w:rPr>
        <w:t xml:space="preserve">Workflow code, custom providers, middleware and observability artefacts: Client repository, deployed via Novu Bridge.</w:t>
      </w:r>
    </w:p>
    <w:p>
      <w:pPr>
        <w:pStyle w:val="Heading2"/>
        <w:spacing w:after="140" w:before="280"/>
      </w:pPr>
      <w:r>
        <w:rPr>
          <w:rFonts w:ascii="Calibri" w:cs="Calibri" w:eastAsia="Calibri" w:hAnsi="Calibri"/>
          <w:b/>
          <w:bCs/>
          <w:color w:val="1F3864"/>
          <w:sz w:val="28"/>
          <w:szCs w:val="28"/>
        </w:rPr>
        <w:t xml:space="preserve">17.2  What is intentionally not in this SOW</w:t>
      </w:r>
    </w:p>
    <w:p>
      <w:pPr>
        <w:pStyle w:val="ListParagraph"/>
        <w:numPr>
          <w:ilvl w:val="0"/>
          <w:numId w:val="2"/>
        </w:numPr>
        <w:spacing w:after="80"/>
      </w:pPr>
      <w:r>
        <w:rPr>
          <w:rFonts w:ascii="Calibri" w:cs="Calibri" w:eastAsia="Calibri" w:hAnsi="Calibri"/>
          <w:color w:val="1A1A1A"/>
          <w:sz w:val="20"/>
          <w:szCs w:val="20"/>
        </w:rPr>
        <w:t xml:space="preserve">Component diagrams, deployment topology, IaC (Terraform / Helm) listings, sizing tables and repository layouts. These are engineering deliverables and are in the companion Technical Solution Document.</w:t>
      </w:r>
    </w:p>
    <w:p>
      <w:pPr>
        <w:pStyle w:val="ListParagraph"/>
        <w:numPr>
          <w:ilvl w:val="0"/>
          <w:numId w:val="2"/>
        </w:numPr>
        <w:spacing w:after="80"/>
      </w:pPr>
      <w:r>
        <w:rPr>
          <w:rFonts w:ascii="Calibri" w:cs="Calibri" w:eastAsia="Calibri" w:hAnsi="Calibri"/>
          <w:color w:val="1A1A1A"/>
          <w:sz w:val="20"/>
          <w:szCs w:val="20"/>
        </w:rPr>
        <w:t xml:space="preserve">Forking or modifying upstream Novu source. The engagement uses Novu under its existing licence; in-tree changes are out of scope.</w:t>
      </w:r>
    </w:p>
    <w:p>
      <w:pPr>
        <w:pStyle w:val="ListParagraph"/>
        <w:numPr>
          <w:ilvl w:val="0"/>
          <w:numId w:val="2"/>
        </w:numPr>
        <w:spacing w:after="80"/>
      </w:pPr>
      <w:r>
        <w:rPr>
          <w:rFonts w:ascii="Calibri" w:cs="Calibri" w:eastAsia="Calibri" w:hAnsi="Calibri"/>
          <w:color w:val="1A1A1A"/>
          <w:sz w:val="20"/>
          <w:szCs w:val="20"/>
        </w:rPr>
        <w:t xml:space="preserve">Cross-region disaster recovery. Multi-AZ within ap-south-1 is in scope; cross-region DR is a v2 roadmap item.</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What this section binds.</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Self-hosted, India-resident, Client-controlled. Those three properties are contractual. The specific cloud region (ap-south-1 by default) and the specific managed-service choices may be adjusted at P1 by mutual agreement without re-opening this SOW — provided the three properties hold.</w:t>
            </w:r>
          </w:p>
        </w:tc>
      </w:tr>
    </w:tbl>
    <w:p>
      <w:pPr>
        <w:pStyle w:val="Heading1"/>
        <w:pageBreakBefore/>
        <w:spacing w:after="240" w:before="0"/>
      </w:pPr>
      <w:r>
        <w:rPr>
          <w:rFonts w:ascii="Calibri" w:cs="Calibri" w:eastAsia="Calibri" w:hAnsi="Calibri"/>
          <w:b/>
          <w:bCs/>
          <w:color w:val="1F3864"/>
          <w:sz w:val="36"/>
          <w:szCs w:val="36"/>
        </w:rPr>
        <w:t xml:space="preserve">18. Custom Engineering Layers (Summary)</w:t>
      </w:r>
    </w:p>
    <w:p>
      <w:pPr>
        <w:spacing w:after="120" w:before="0"/>
      </w:pPr>
      <w:r>
        <w:rPr>
          <w:rFonts w:ascii="Calibri" w:cs="Calibri" w:eastAsia="Calibri" w:hAnsi="Calibri"/>
          <w:color w:val="1A1A1A"/>
          <w:sz w:val="20"/>
          <w:szCs w:val="20"/>
        </w:rPr>
        <w:t xml:space="preserve">Four engineering layers are built by the Consultant in this engagement, on top of Novu. Each is a contractual deliverable and is identified below at SOW level. Engineering specifications — plugin contracts, middleware rule definitions, audit-event schemas, tenancy data structures — are in the companion Technical Solution Document.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500"/>
        <w:gridCol w:w="16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Layer</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What it does (SOW level)</w:t>
            </w:r>
          </w:p>
        </w:tc>
        <w:tc>
          <w:tcPr>
            <w:tcW w:type="dxa" w:w="1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18.1</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Channel Provider Plugins</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MSG91 and Karix as custom Novu provider plugins for SMS and WhatsApp, conforming to Novu’s provider interfaces. Configure Gupshup natively (Novu has first-class support for DLT Principal Entity ID and Template ID overrides). Failover orchestration across the three providers is configured per workflow.</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 Novu Framework custom step invoked at the head of every workflow execution that enforces at least thirty rules across DLT (TRAI / SMS), IRDAI, WhatsApp BSP, DPDPA, FATCA / KYC, Income Tax (TDS) and brand voice. Failure aborts the workflow and emits a violation event. Rule enforcement also runs in CI on every PR — two layers of defence.</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18.3</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Observability &amp; Audit</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Structured logs (operators), Prometheus / CloudWatch metrics (engineering), and a per-dispatched-message audit trail with PII tokenised (auditors). Per-message audit events written to an append-only store with daily archive export and tiered retention. Read-only audit dashboard for Compliance with role-gated full-PII view.</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18.4</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Insurer Routing</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Eleven insurance partners modelled as distinct sender identities with their own MIS attachment templates, escalation contacts, brand constraints and DPA references. Tenancy middleware resolves the correct identity per workflow execution; per-insurer audit views fall out at zero additional cost.</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What this section binds.</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The four layers above are contractual deliverables. Each is delivered, tested, and accepted at the phase identified, with acceptance criteria in Section 24. Engineering detail — plugin code, rule definitions, audit schema, tenancy registry shape — lives in the companion TSD and may be revised during implementation without scope change, provided the contractual statements above continue to hold.</w:t>
            </w:r>
          </w:p>
        </w:tc>
      </w:tr>
    </w:tbl>
    <w:p>
      <w:pPr>
        <w:pageBreakBefore/>
        <w:spacing w:after="200" w:before="4000"/>
        <w:jc w:val="center"/>
      </w:pPr>
      <w:r>
        <w:rPr>
          <w:rFonts w:ascii="Calibri" w:cs="Calibri" w:eastAsia="Calibri" w:hAnsi="Calibri"/>
          <w:b/>
          <w:bCs/>
          <w:caps/>
          <w:color w:val="808080"/>
          <w:sz w:val="22"/>
          <w:szCs w:val="22"/>
        </w:rPr>
        <w:t xml:space="preserve">Part VI</w:t>
      </w:r>
    </w:p>
    <w:p>
      <w:pPr>
        <w:spacing w:after="1600" w:before="0"/>
        <w:jc w:val="center"/>
      </w:pPr>
      <w:r>
        <w:rPr>
          <w:rFonts w:ascii="Calibri" w:cs="Calibri" w:eastAsia="Calibri" w:hAnsi="Calibri"/>
          <w:b/>
          <w:bCs/>
          <w:color w:val="1F3864"/>
          <w:sz w:val="56"/>
          <w:szCs w:val="56"/>
        </w:rPr>
        <w:t xml:space="preserve">Compliance, Security &amp; Quality (Summary)</w:t>
      </w:r>
    </w:p>
    <w:p>
      <w:pPr>
        <w:pStyle w:val="Heading1"/>
        <w:pageBreakBefore/>
        <w:spacing w:after="240" w:before="0"/>
      </w:pPr>
      <w:r>
        <w:rPr>
          <w:rFonts w:ascii="Calibri" w:cs="Calibri" w:eastAsia="Calibri" w:hAnsi="Calibri"/>
          <w:b/>
          <w:bCs/>
          <w:color w:val="1F3864"/>
          <w:sz w:val="36"/>
          <w:szCs w:val="36"/>
        </w:rPr>
        <w:t xml:space="preserve">19. Regulatory Regimes Covered</w:t>
      </w:r>
    </w:p>
    <w:p>
      <w:pPr>
        <w:spacing w:after="120" w:before="0"/>
      </w:pPr>
      <w:r>
        <w:rPr>
          <w:rFonts w:ascii="Calibri" w:cs="Calibri" w:eastAsia="Calibri" w:hAnsi="Calibri"/>
          <w:color w:val="1A1A1A"/>
          <w:sz w:val="20"/>
          <w:szCs w:val="20"/>
        </w:rPr>
        <w:t xml:space="preserve">The compliance middleware (Section 18.2) and the supporting workflows enforce obligations from the regulatory regimes listed below. Specific rule definitions and enforcement points are in the companion Technical Solution Document. Where a regime imposes obligations on the Client as Data Fiduciary or Insurance Distribution Agent, this SOW covers the Consultant’s contribution to enabling those obligations through the system; it does not transfer the underlying obligation.</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Regime</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Applicable scope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 DLT (SMS)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Sender registration; Principal Entity ID and Template ID required on transactional and promotional SMS; route correctness; promotional time-window</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 disclaimers on promotional / opportunity content; grievance contact; registration number on annual statements; no return guarantees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 (Meta Cloud API via BSP)</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categorisation (Marketing / Utility / Authentication); BSP-approved variable shape; 24-hour session window for free-text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2023</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Lawful basis for processing; opt-out wiring on promotional channels; data principal rights; breach notification; data residency — met via self-hosting in India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 / KYC</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onboarding flows reference FATCA / CKYC self-declaration; risk-profile reference on opportunity push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Income Tax (TDS)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 / rate references; PAN-format validation; FY-derived dates; quarterly cadence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brand voice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Stop-lists, audience-specific tone; insurer-specific brand constraints</w:t>
            </w:r>
          </w:p>
        </w:tc>
      </w:tr>
    </w:tbl>
    <w:p>
      <w:pPr>
        <w:pStyle w:val="Heading1"/>
        <w:pageBreakBefore/>
        <w:spacing w:after="240" w:before="0"/>
      </w:pPr>
      <w:r>
        <w:rPr>
          <w:rFonts w:ascii="Calibri" w:cs="Calibri" w:eastAsia="Calibri" w:hAnsi="Calibri"/>
          <w:b/>
          <w:bCs/>
          <w:color w:val="1F3864"/>
          <w:sz w:val="36"/>
          <w:szCs w:val="36"/>
        </w:rPr>
        <w:t xml:space="preserve">20. Security &amp; Privacy (Summary)</w:t>
      </w:r>
    </w:p>
    <w:p>
      <w:pPr>
        <w:spacing w:after="120" w:before="0"/>
      </w:pPr>
      <w:r>
        <w:rPr>
          <w:rFonts w:ascii="Calibri" w:cs="Calibri" w:eastAsia="Calibri" w:hAnsi="Calibri"/>
          <w:color w:val="1A1A1A"/>
          <w:sz w:val="20"/>
          <w:szCs w:val="20"/>
        </w:rPr>
        <w:t xml:space="preserve">Self-hosting in India makes the security posture Client-controlled. The control summary below identifies the categories of safeguard in scope at SOW level. Specific control implementations, encryption configurations, IAM policy detail, network segmentation and rotation runbooks are in the companion Technical Solution Document and the operations runbook delivered at P5. Data-protection obligations are governed by Section 48 (DPDPA) and the separate Data Processing Agreement.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Control area</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Treatment in this engagement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Access control</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Role-based; least-privilege; SSO via Client identity provider; MFA for privileged roles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Encryption — transit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TLS 1.2+ between every component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Encryption — rest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Datastores encrypted at rest with Client-managed keys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Secret management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secret manager only; no secrets in repository or environment outside the deployment pipeline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Network</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VPC-resident; private subnets for app and data; egress controlled; HMAC verification on inbound webhooks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log</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Append-only, PII tokenised; tiered retention (12 months hot, 5 years warm, 8 years cold)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minimisation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Subscribers carry minimum required attributes; trigger payloads hashed in audit; full PII resolved at render time only</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Backup &amp; recovery</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snapshots; documented RPO 24h / RTO 4h; quarterly recovery test (in support window)</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Vulnerability mgmt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dependency scan; security advisories tracked; patching coordinated with Client Infra</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residency (DPDPA)</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End-to-end India-resident; cross-border PII transfers avoided in normal operation</w:t>
            </w:r>
          </w:p>
        </w:tc>
      </w:tr>
    </w:tbl>
    <w:p>
      <w:pPr>
        <w:pStyle w:val="Heading1"/>
        <w:pageBreakBefore/>
        <w:spacing w:after="240" w:before="0"/>
      </w:pPr>
      <w:r>
        <w:rPr>
          <w:rFonts w:ascii="Calibri" w:cs="Calibri" w:eastAsia="Calibri" w:hAnsi="Calibri"/>
          <w:b/>
          <w:bCs/>
          <w:color w:val="1F3864"/>
          <w:sz w:val="36"/>
          <w:szCs w:val="36"/>
        </w:rPr>
        <w:t xml:space="preserve">21. Quality Assurance &amp; Defect SLAs</w:t>
      </w:r>
    </w:p>
    <w:p>
      <w:pPr>
        <w:spacing w:after="120" w:before="0"/>
      </w:pPr>
      <w:r>
        <w:rPr>
          <w:rFonts w:ascii="Calibri" w:cs="Calibri" w:eastAsia="Calibri" w:hAnsi="Calibri"/>
          <w:color w:val="1A1A1A"/>
          <w:sz w:val="20"/>
          <w:szCs w:val="20"/>
        </w:rPr>
        <w:t xml:space="preserve">Quality is engineered through layered automated tests and a defined defect SLA. The test pack is a Section 23 deliverable; specific test levels, golden-file management, and CI workflow definitions are in the companion Technical Solution Document. The defect severity table below is contractual and applies during the engagement and the post-implementation support window (Section 37).</w:t>
      </w:r>
    </w:p>
    <w:p>
      <w:pPr>
        <w:pStyle w:val="Heading2"/>
        <w:spacing w:after="140" w:before="280"/>
      </w:pPr>
      <w:r>
        <w:rPr>
          <w:rFonts w:ascii="Calibri" w:cs="Calibri" w:eastAsia="Calibri" w:hAnsi="Calibri"/>
          <w:b/>
          <w:bCs/>
          <w:color w:val="1F3864"/>
          <w:sz w:val="28"/>
          <w:szCs w:val="28"/>
        </w:rPr>
        <w:t xml:space="preserve">21.1  Test pack scope</w:t>
      </w:r>
    </w:p>
    <w:p>
      <w:pPr>
        <w:pStyle w:val="ListParagraph"/>
        <w:numPr>
          <w:ilvl w:val="0"/>
          <w:numId w:val="2"/>
        </w:numPr>
        <w:spacing w:after="80"/>
      </w:pPr>
      <w:r>
        <w:rPr>
          <w:rFonts w:ascii="Calibri" w:cs="Calibri" w:eastAsia="Calibri" w:hAnsi="Calibri"/>
          <w:color w:val="1A1A1A"/>
          <w:sz w:val="20"/>
          <w:szCs w:val="20"/>
        </w:rPr>
        <w:t xml:space="preserve">Schema tests on workflow payloads and subscriber attributes.</w:t>
      </w:r>
    </w:p>
    <w:p>
      <w:pPr>
        <w:pStyle w:val="ListParagraph"/>
        <w:numPr>
          <w:ilvl w:val="0"/>
          <w:numId w:val="2"/>
        </w:numPr>
        <w:spacing w:after="80"/>
      </w:pPr>
      <w:r>
        <w:rPr>
          <w:rFonts w:ascii="Calibri" w:cs="Calibri" w:eastAsia="Calibri" w:hAnsi="Calibri"/>
          <w:color w:val="1A1A1A"/>
          <w:sz w:val="20"/>
          <w:szCs w:val="20"/>
        </w:rPr>
        <w:t xml:space="preserve">Compliance lint tests across the seven regimes in Section 19.</w:t>
      </w:r>
    </w:p>
    <w:p>
      <w:pPr>
        <w:pStyle w:val="ListParagraph"/>
        <w:numPr>
          <w:ilvl w:val="0"/>
          <w:numId w:val="2"/>
        </w:numPr>
        <w:spacing w:after="80"/>
      </w:pPr>
      <w:r>
        <w:rPr>
          <w:rFonts w:ascii="Calibri" w:cs="Calibri" w:eastAsia="Calibri" w:hAnsi="Calibri"/>
          <w:color w:val="1A1A1A"/>
          <w:sz w:val="20"/>
          <w:szCs w:val="20"/>
        </w:rPr>
        <w:t xml:space="preserve">Render golden-file tests for each channel and language combination.</w:t>
      </w:r>
    </w:p>
    <w:p>
      <w:pPr>
        <w:pStyle w:val="ListParagraph"/>
        <w:numPr>
          <w:ilvl w:val="0"/>
          <w:numId w:val="2"/>
        </w:numPr>
        <w:spacing w:after="80"/>
      </w:pPr>
      <w:r>
        <w:rPr>
          <w:rFonts w:ascii="Calibri" w:cs="Calibri" w:eastAsia="Calibri" w:hAnsi="Calibri"/>
          <w:color w:val="1A1A1A"/>
          <w:sz w:val="20"/>
          <w:szCs w:val="20"/>
        </w:rPr>
        <w:t xml:space="preserve">Workflow execution tests including step ordering, delays and abort semantics.</w:t>
      </w:r>
    </w:p>
    <w:p>
      <w:pPr>
        <w:pStyle w:val="ListParagraph"/>
        <w:numPr>
          <w:ilvl w:val="0"/>
          <w:numId w:val="2"/>
        </w:numPr>
        <w:spacing w:after="80"/>
      </w:pPr>
      <w:r>
        <w:rPr>
          <w:rFonts w:ascii="Calibri" w:cs="Calibri" w:eastAsia="Calibri" w:hAnsi="Calibri"/>
          <w:color w:val="1A1A1A"/>
          <w:sz w:val="20"/>
          <w:szCs w:val="20"/>
        </w:rPr>
        <w:t xml:space="preserve">Provider plugin tests for the custom MSG91 and Karix integrations.</w:t>
      </w:r>
    </w:p>
    <w:p>
      <w:pPr>
        <w:pStyle w:val="ListParagraph"/>
        <w:numPr>
          <w:ilvl w:val="0"/>
          <w:numId w:val="2"/>
        </w:numPr>
        <w:spacing w:after="80"/>
      </w:pPr>
      <w:r>
        <w:rPr>
          <w:rFonts w:ascii="Calibri" w:cs="Calibri" w:eastAsia="Calibri" w:hAnsi="Calibri"/>
          <w:color w:val="1A1A1A"/>
          <w:sz w:val="20"/>
          <w:szCs w:val="20"/>
        </w:rPr>
        <w:t xml:space="preserve">End-to-end sandbox tests against representative provider accounts before any production release.</w:t>
      </w:r>
    </w:p>
    <w:p>
      <w:pPr>
        <w:pStyle w:val="Heading2"/>
        <w:spacing w:after="140" w:before="280"/>
      </w:pPr>
      <w:r>
        <w:rPr>
          <w:rFonts w:ascii="Calibri" w:cs="Calibri" w:eastAsia="Calibri" w:hAnsi="Calibri"/>
          <w:b/>
          <w:bCs/>
          <w:color w:val="1F3864"/>
          <w:sz w:val="28"/>
          <w:szCs w:val="28"/>
        </w:rPr>
        <w:t xml:space="preserve">21.2  Defect severity &amp;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900"/>
        <w:gridCol w:w="18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Severity</w:t>
            </w:r>
          </w:p>
        </w:tc>
        <w:tc>
          <w:tcPr>
            <w:tcW w:type="dxa" w:w="4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Definition</w:t>
            </w:r>
          </w:p>
        </w:tc>
        <w:tc>
          <w:tcPr>
            <w:tcW w:type="dxa" w:w="1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Response SLA</w:t>
            </w:r>
          </w:p>
        </w:tc>
        <w:tc>
          <w:tcPr>
            <w:tcW w:type="dxa" w:w="1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Resolution SLA</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in production OR PII data leak OR Novu service outage</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business day; rollback if needed</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Sev-2</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workflow broken (cannot dispatch) OR provider plugin failure cascade</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Sev-3</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workflow flawed but still dispatching (typo, mild wording)</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sprint</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Sev-4</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Cosmetic / docs / non-active workflow</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sprint</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Backlog</w:t>
            </w:r>
          </w:p>
        </w:tc>
      </w:tr>
    </w:tbl>
    <w:p>
      <w:pPr>
        <w:pageBreakBefore/>
        <w:spacing w:after="200" w:before="4000"/>
        <w:jc w:val="center"/>
      </w:pPr>
      <w:r>
        <w:rPr>
          <w:rFonts w:ascii="Calibri" w:cs="Calibri" w:eastAsia="Calibri" w:hAnsi="Calibri"/>
          <w:b/>
          <w:bCs/>
          <w:caps/>
          <w:color w:val="808080"/>
          <w:sz w:val="22"/>
          <w:szCs w:val="22"/>
        </w:rPr>
        <w:t xml:space="preserve">Part VII</w:t>
      </w:r>
    </w:p>
    <w:p>
      <w:pPr>
        <w:spacing w:after="1600" w:before="0"/>
        <w:jc w:val="center"/>
      </w:pPr>
      <w:r>
        <w:rPr>
          <w:rFonts w:ascii="Calibri" w:cs="Calibri" w:eastAsia="Calibri" w:hAnsi="Calibri"/>
          <w:b/>
          <w:bCs/>
          <w:color w:val="1F3864"/>
          <w:sz w:val="56"/>
          <w:szCs w:val="56"/>
        </w:rPr>
        <w:t xml:space="preserve">Delivery</w:t>
      </w:r>
    </w:p>
    <w:p>
      <w:pPr>
        <w:pStyle w:val="Heading1"/>
        <w:pageBreakBefore/>
        <w:spacing w:after="240" w:before="0"/>
      </w:pPr>
      <w:r>
        <w:rPr>
          <w:rFonts w:ascii="Calibri" w:cs="Calibri" w:eastAsia="Calibri" w:hAnsi="Calibri"/>
          <w:b/>
          <w:bCs/>
          <w:color w:val="1F3864"/>
          <w:sz w:val="36"/>
          <w:szCs w:val="36"/>
        </w:rPr>
        <w:t xml:space="preserve">22. Implementation Phases &amp; Timeline</w:t>
      </w:r>
    </w:p>
    <w:p>
      <w:pPr>
        <w:spacing w:after="120" w:before="0"/>
      </w:pPr>
      <w:r>
        <w:rPr>
          <w:rFonts w:ascii="Calibri" w:cs="Calibri" w:eastAsia="Calibri" w:hAnsi="Calibri"/>
          <w:color w:val="1A1A1A"/>
          <w:sz w:val="20"/>
          <w:szCs w:val="20"/>
        </w:rPr>
        <w:t xml:space="preserve">Five phases. All five are core delivery in v4.0 — unlike v3.0, dispatch is no longer a gated optional phase, because Novu provides dispatch natively for Gupshup and the Consultant’s P5 effort is on custom MSG91 + Karix plugins and production hardening rather than on building dispatch from scratch. Each phase produces an independently consumable artefact, so a stop after any phase still leaves usable value behind.</w:t>
      </w:r>
    </w:p>
    <w:p>
      <w:pPr>
        <w:spacing w:after="100"/>
      </w:pPr>
      <w:r>
        <w:t xml:space="preserve"/>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1725"/>
        <w:gridCol w:w="280"/>
        <w:gridCol w:w="1725"/>
        <w:gridCol w:w="280"/>
        <w:gridCol w:w="1725"/>
        <w:gridCol w:w="280"/>
        <w:gridCol w:w="1725"/>
        <w:gridCol w:w="280"/>
        <w:gridCol w:w="1725"/>
      </w:tblGrid>
      <w:tr>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P1</w:t>
            </w:r>
          </w:p>
          <w:p>
            <w:pPr>
              <w:spacing w:after="20"/>
              <w:jc w:val="center"/>
            </w:pPr>
            <w:r>
              <w:rPr>
                <w:rFonts w:ascii="Calibri" w:cs="Calibri" w:eastAsia="Calibri" w:hAnsi="Calibri"/>
                <w:b/>
                <w:bCs/>
                <w:color w:val="FFFFFF"/>
                <w:sz w:val="16"/>
                <w:szCs w:val="16"/>
              </w:rPr>
              <w:t xml:space="preserve">Novu Foundation</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P2</w:t>
            </w:r>
          </w:p>
          <w:p>
            <w:pPr>
              <w:spacing w:after="20"/>
              <w:jc w:val="center"/>
            </w:pPr>
            <w:r>
              <w:rPr>
                <w:rFonts w:ascii="Calibri" w:cs="Calibri" w:eastAsia="Calibri" w:hAnsi="Calibri"/>
                <w:b/>
                <w:bCs/>
                <w:color w:val="FFFFFF"/>
                <w:sz w:val="16"/>
                <w:szCs w:val="16"/>
              </w:rPr>
              <w:t xml:space="preserve">PH Workflows</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P3</w:t>
            </w:r>
          </w:p>
          <w:p>
            <w:pPr>
              <w:spacing w:after="20"/>
              <w:jc w:val="center"/>
            </w:pPr>
            <w:r>
              <w:rPr>
                <w:rFonts w:ascii="Calibri" w:cs="Calibri" w:eastAsia="Calibri" w:hAnsi="Calibri"/>
                <w:b/>
                <w:bCs/>
                <w:color w:val="FFFFFF"/>
                <w:sz w:val="16"/>
                <w:szCs w:val="16"/>
              </w:rPr>
              <w:t xml:space="preserve">INV+INS+OPS+REG+HI+MT</w:t>
            </w:r>
          </w:p>
          <w:p>
            <w:pPr>
              <w:spacing w:after="0"/>
              <w:jc w:val="center"/>
            </w:pPr>
            <w:r>
              <w:rPr>
                <w:rFonts w:ascii="Calibri" w:cs="Calibri" w:eastAsia="Calibri" w:hAnsi="Calibri"/>
                <w:i/>
                <w:iCs/>
                <w:color w:val="FFFFFF"/>
                <w:sz w:val="14"/>
                <w:szCs w:val="14"/>
              </w:rPr>
              <w:t xml:space="preserve">6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P4</w:t>
            </w:r>
          </w:p>
          <w:p>
            <w:pPr>
              <w:spacing w:after="20"/>
              <w:jc w:val="center"/>
            </w:pPr>
            <w:r>
              <w:rPr>
                <w:rFonts w:ascii="Calibri" w:cs="Calibri" w:eastAsia="Calibri" w:hAnsi="Calibri"/>
                <w:b/>
                <w:bCs/>
                <w:color w:val="FFFFFF"/>
                <w:sz w:val="16"/>
                <w:szCs w:val="16"/>
              </w:rPr>
              <w:t xml:space="preserve">Compliance + Observability</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P5</w:t>
            </w:r>
          </w:p>
          <w:p>
            <w:pPr>
              <w:spacing w:after="20"/>
              <w:jc w:val="center"/>
            </w:pPr>
            <w:r>
              <w:rPr>
                <w:rFonts w:ascii="Calibri" w:cs="Calibri" w:eastAsia="Calibri" w:hAnsi="Calibri"/>
                <w:b/>
                <w:bCs/>
                <w:color w:val="FFFFFF"/>
                <w:sz w:val="16"/>
                <w:szCs w:val="16"/>
              </w:rPr>
              <w:t xml:space="preserve">Custom Providers + Hardening</w:t>
            </w:r>
          </w:p>
          <w:p>
            <w:pPr>
              <w:spacing w:after="0"/>
              <w:jc w:val="center"/>
            </w:pPr>
            <w:r>
              <w:rPr>
                <w:rFonts w:ascii="Calibri" w:cs="Calibri" w:eastAsia="Calibri" w:hAnsi="Calibri"/>
                <w:i/>
                <w:iCs/>
                <w:color w:val="FFFFFF"/>
                <w:sz w:val="14"/>
                <w:szCs w:val="14"/>
              </w:rPr>
              <w:t xml:space="preserve">4 days</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900"/>
        <w:gridCol w:w="53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Name</w:t>
            </w:r>
          </w:p>
        </w:tc>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Days</w:t>
            </w:r>
          </w:p>
        </w:tc>
        <w:tc>
          <w:tcPr>
            <w:tcW w:type="dxa" w:w="5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Outcome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Foundation</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deployed to Client AWS Mumbai VPC (or equivalent India region); Postgres, Mongo, Redis provisioned; Novu API + Worker + Web up; first PoC workflow (PH-03 KYC) executing end-to-end against Gupshup sandbox; CI pipeline scaffolded.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Workflow Library</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triggers as Novu workflows in TypeScript; subscriber model + one-time sync from existing customer-data store; Email + WA content for active statuses; first compliance-check stub at workflow head.</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 + INS + OPS + REG + Hindi + Multi-tenant</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31 additional workflows across investor, insurer, internal, regulatory; Hindi variants for PH-facing content; multi-tenant insurer registry and routing middleware (Section 18.4) integrated; per-insurer sender identities recognised at workflow + audit layer.</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 Observability</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 engine — ≥ 30 rules across DLT, IRDAI, WA-BSP, DPDPA, FATCA, TDS, brand-voice — enforced both at CI and at workflow pre-execution; structured logs + metrics + audit dashboard; SAR / audit-export endpoint.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Providers + Production Hardening</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custom Novu provider plugins (SMS + WhatsApp); failover orchestration Gupshup → MSG91 → Karix; production cutover plan; one-week hypercare; final ops runbook handover.</w:t>
            </w:r>
          </w:p>
        </w:tc>
      </w:tr>
    </w:tbl>
    <w:p>
      <w:pPr>
        <w:spacing w:after="100"/>
      </w:pPr>
      <w:r>
        <w:t xml:space="preserve"/>
      </w:r>
    </w:p>
    <w:p>
      <w:pPr>
        <w:spacing w:after="120" w:before="0"/>
      </w:pPr>
      <w:r>
        <w:rPr>
          <w:rFonts w:ascii="Calibri" w:cs="Calibri" w:eastAsia="Calibri" w:hAnsi="Calibri"/>
          <w:i/>
          <w:iCs/>
          <w:color w:val="808080"/>
          <w:sz w:val="18"/>
          <w:szCs w:val="18"/>
        </w:rPr>
        <w:t xml:space="preserve">Total core delivery (P1–P5): 25 working consultant-days. P5 is in core, not gated. Phase 5 still depends on Client-supplied provider credentials (Gupshup / MSG91 / Karix accounts) and DLT registration; if these are not ready by start of P5, the phase shifts day-for-day under Section 28.3.</w:t>
      </w:r>
    </w:p>
    <w:p>
      <w:pPr>
        <w:pStyle w:val="Heading1"/>
        <w:pageBreakBefore/>
        <w:spacing w:after="240" w:before="0"/>
      </w:pPr>
      <w:r>
        <w:rPr>
          <w:rFonts w:ascii="Calibri" w:cs="Calibri" w:eastAsia="Calibri" w:hAnsi="Calibri"/>
          <w:b/>
          <w:bCs/>
          <w:color w:val="1F3864"/>
          <w:sz w:val="36"/>
          <w:szCs w:val="36"/>
        </w:rPr>
        <w:t xml:space="preserve">23. Deliverables</w:t>
      </w:r>
    </w:p>
    <w:p>
      <w:pPr>
        <w:spacing w:after="120" w:before="0"/>
      </w:pPr>
      <w:r>
        <w:rPr>
          <w:rFonts w:ascii="Calibri" w:cs="Calibri" w:eastAsia="Calibri" w:hAnsi="Calibri"/>
          <w:color w:val="1A1A1A"/>
          <w:sz w:val="20"/>
          <w:szCs w:val="20"/>
        </w:rPr>
        <w:t xml:space="preserve">Artefacts received by the Client at, or by the end of, each phase. Acceptance procedure is in Section 24.</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6300"/>
        <w:gridCol w:w="23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6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Artefact</w:t>
            </w:r>
          </w:p>
        </w:tc>
        <w:tc>
          <w:tcPr>
            <w:tcW w:type="dxa" w:w="2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deployed to Client AWS Mumbai VPC (or equivalent)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Running services + IaC (Terraform / Helm)</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Postgres + MongoDB + Redis provisioned, Multi-AZ, encrypted</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Cloud resources + connection runbook</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Bridge configured; first PoC workflow (PH-03 KYC) deployed</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deployed workflow</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pipeline (lint, render goldens, workflow tests) operational</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GitHub Actions / equivalent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runbook (deployment, scaling, backup, recovery)</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 PH workflows in TypeScript (Novu Framework)</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deployed to dev</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data model + one-time sync from TPE customer-data store</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Sync script + diff report</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WA + SMS content for all PH active statuses</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In-workflow + shared content modules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Compliance-check stub at workflow head</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Framework step</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31 additional workflows (16 INV + 6 INS + 6 OPS + 3 REG)</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deployed to dev</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Hindi variants for all PH-facing content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TS modules + render goldens</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insurer registry (11 carriers) + tenancy middleware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library/insurers.ts + middleware/tenancy</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Localisation queue dashboard</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 report + CI script</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 engine — ≥ 30 rules across 6 regimes</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library/*-rules.ts + middleware/compliance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enforcement at CI (PR-blocking) and workflow pre-execution</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workflow + Novu custom step</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Observability stack: structured logs + metrics + audit dashboard</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Grafana / CloudWatch dashboards + audit UI</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SAR / audit-export endpoint with PII redaction by default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API + role-gated full-PII view</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reference card (printable)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PDF</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custom Novu provider plugin (SMS + WhatsApp)</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plugin code + tests</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Karix custom Novu provider plugin (SMS + WhatsApp)</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plugin code + tests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Failover orchestration: Gupshup → MSG91 → Karix</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Workflow-level configuration + integration tests</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cutover plan + one-week hypercare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Runbook + ops handover</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Final ops runbook for self-hosted Novu (patching, scaling, DR)</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Test packs (schema, lint, render, workflow, provider, e2e)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Code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Documentation: workflow-author guide, compliance reference, provider docs</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 / DOCX</w:t>
            </w:r>
          </w:p>
        </w:tc>
      </w:tr>
    </w:tbl>
    <w:p>
      <w:pPr>
        <w:pStyle w:val="Heading1"/>
        <w:pageBreakBefore/>
        <w:spacing w:after="240" w:before="0"/>
      </w:pPr>
      <w:r>
        <w:rPr>
          <w:rFonts w:ascii="Calibri" w:cs="Calibri" w:eastAsia="Calibri" w:hAnsi="Calibri"/>
          <w:b/>
          <w:bCs/>
          <w:color w:val="1F3864"/>
          <w:sz w:val="36"/>
          <w:szCs w:val="36"/>
        </w:rPr>
        <w:t xml:space="preserve">24. Acceptance Criteria &amp; Procedure</w:t>
      </w:r>
    </w:p>
    <w:p>
      <w:pPr>
        <w:spacing w:after="120" w:before="0"/>
      </w:pPr>
      <w:r>
        <w:rPr>
          <w:rFonts w:ascii="Calibri" w:cs="Calibri" w:eastAsia="Calibri" w:hAnsi="Calibri"/>
          <w:color w:val="1A1A1A"/>
          <w:sz w:val="20"/>
          <w:szCs w:val="20"/>
        </w:rPr>
        <w:t xml:space="preserve">Acceptance is the mechanism by which a deliverable transitions from “submitted” to “accepted”, releasing the corresponding milestone payment (Part XI) and closing the phase. The criteria below define what each phase must demonstrate; the procedure below defines how acceptance is recorded, how rejection works, and what happens if the Client does not respond.</w:t>
      </w:r>
    </w:p>
    <w:p>
      <w:pPr>
        <w:pStyle w:val="Heading2"/>
        <w:spacing w:after="140" w:before="280"/>
      </w:pPr>
      <w:r>
        <w:rPr>
          <w:rFonts w:ascii="Calibri" w:cs="Calibri" w:eastAsia="Calibri" w:hAnsi="Calibri"/>
          <w:b/>
          <w:bCs/>
          <w:color w:val="1F3864"/>
          <w:sz w:val="28"/>
          <w:szCs w:val="28"/>
        </w:rPr>
        <w:t xml:space="preserve">24.1  Acceptance criteria (per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8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Acceptance criteria</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reachable on Client VPC; Postgres + Mongo + Redis operational and Multi-AZ; first PoC workflow (PH-03) executes end-to-end and emits an audit row; CI pipeline runs schema and render-golden tests on a representative subset; infrastructure runbook reviewable by Client CTO.</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workflows deployed to dev environment and pass L1–L4 tests; subscriber sync covers 100% of in-scope PH records with diff report; CX Head signs off on rendered samples for all active statuses; compliance-check stub aborts on contrived violation.</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 Insurer / Internal / Regulatory workflows deployed and passing tests; Hindi variants exist for all PH-facing content; multi-tenant insurer routing produces correct sender identity in audit for each of 11 carriers; localisation queue empty.</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 has at least 30 rules across the six regimes; CI blocks PR on any rule failure; pre-execution lint aborts a contrived non-compliant trigger; audit dashboard shows correctly redacted PII; SAR / audit-export endpoint returns within 60 seconds; compliance reference card produced.</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custom provider plugins pass L5 tests against sandbox accounts; failover Gupshup → MSG91 → Karix verified on contrived 5xx; production cutover plan executes against staging without errors; one-week hypercare plan documented; ops handover meeting completed with named Client successor.</w:t>
            </w:r>
          </w:p>
        </w:tc>
      </w:tr>
    </w:tbl>
    <w:p>
      <w:pPr>
        <w:pStyle w:val="Heading2"/>
        <w:spacing w:after="140" w:before="280"/>
      </w:pPr>
      <w:r>
        <w:rPr>
          <w:rFonts w:ascii="Calibri" w:cs="Calibri" w:eastAsia="Calibri" w:hAnsi="Calibri"/>
          <w:b/>
          <w:bCs/>
          <w:color w:val="1F3864"/>
          <w:sz w:val="28"/>
          <w:szCs w:val="28"/>
        </w:rPr>
        <w:t xml:space="preserve">24.2  Acceptance procedure</w:t>
      </w:r>
    </w:p>
    <w:p>
      <w:pPr>
        <w:spacing w:after="120" w:before="0"/>
      </w:pPr>
      <w:r>
        <w:rPr>
          <w:rFonts w:ascii="Calibri" w:cs="Calibri" w:eastAsia="Calibri" w:hAnsi="Calibri"/>
          <w:color w:val="1A1A1A"/>
          <w:sz w:val="20"/>
          <w:szCs w:val="20"/>
        </w:rPr>
        <w:t xml:space="preserve">On phase completion, the Consultant submits an Acceptance Notice to the Client containing: (a) a phase-summary statement that each criterion in 24.1 has been met; (b) evidence (test logs, recorded walk-through link, deliverable artefacts in the repository); and (c) an acceptance form for counter-signature. Acceptance proceeds as below.</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700"/>
        <w:gridCol w:w="344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State</w:t>
            </w:r>
          </w:p>
        </w:tc>
        <w:tc>
          <w:tcPr>
            <w:tcW w:type="dxa" w:w="2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SLA</w:t>
            </w:r>
          </w:p>
        </w:tc>
        <w:tc>
          <w:tcPr>
            <w:tcW w:type="dxa" w:w="3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Effect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Submitted</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emails Acceptance Notice + evidence to Client Engagement Owner</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0</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window opens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Under review</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reviews against 24.1 criteria</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business days</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may request walk-through; SLA may be extended by mutual written agreement, max +5 days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Accepted (express)</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signs Acceptance Form</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window</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Triggers milestone invoice (Part XI). Phase closed.</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Rejected</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issues Rejection Notice citing specific 24.1 criteria not met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window</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Rework triggered (24.3)</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Accepted (deemed)</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neither accepts nor rejects within the window</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 of window</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Deliverable deemed accepted; milestone invoice triggered.</w:t>
            </w:r>
          </w:p>
        </w:tc>
      </w:tr>
    </w:tbl>
    <w:p>
      <w:pPr>
        <w:pStyle w:val="Heading2"/>
        <w:spacing w:after="140" w:before="280"/>
      </w:pPr>
      <w:r>
        <w:rPr>
          <w:rFonts w:ascii="Calibri" w:cs="Calibri" w:eastAsia="Calibri" w:hAnsi="Calibri"/>
          <w:b/>
          <w:bCs/>
          <w:color w:val="1F3864"/>
          <w:sz w:val="28"/>
          <w:szCs w:val="28"/>
        </w:rPr>
        <w:t xml:space="preserve">24.3  Rejection notice and rework</w:t>
      </w:r>
    </w:p>
    <w:p>
      <w:pPr>
        <w:pStyle w:val="ListParagraph"/>
        <w:numPr>
          <w:ilvl w:val="0"/>
          <w:numId w:val="2"/>
        </w:numPr>
        <w:spacing w:after="80"/>
      </w:pPr>
      <w:r>
        <w:rPr>
          <w:rFonts w:ascii="Calibri" w:cs="Calibri" w:eastAsia="Calibri" w:hAnsi="Calibri"/>
          <w:color w:val="1A1A1A"/>
          <w:sz w:val="20"/>
          <w:szCs w:val="20"/>
        </w:rPr>
        <w:t xml:space="preserve">A Rejection Notice must be in writing and must reference the specific clause(s) of 24.1 alleged to be unmet. Generic dissatisfaction or change-of-mind requests do not constitute rejection — they are change requests under Section 27.</w:t>
      </w:r>
    </w:p>
    <w:p>
      <w:pPr>
        <w:pStyle w:val="ListParagraph"/>
        <w:numPr>
          <w:ilvl w:val="0"/>
          <w:numId w:val="2"/>
        </w:numPr>
        <w:spacing w:after="80"/>
      </w:pPr>
      <w:r>
        <w:rPr>
          <w:rFonts w:ascii="Calibri" w:cs="Calibri" w:eastAsia="Calibri" w:hAnsi="Calibri"/>
          <w:color w:val="1A1A1A"/>
          <w:sz w:val="20"/>
          <w:szCs w:val="20"/>
        </w:rPr>
        <w:t xml:space="preserve">On valid rejection, the Consultant has 5 business days (or such longer period agreed in writing) to remediate and resubmit. The acceptance window then restarts on the resubmission date.</w:t>
      </w:r>
    </w:p>
    <w:p>
      <w:pPr>
        <w:pStyle w:val="ListParagraph"/>
        <w:numPr>
          <w:ilvl w:val="0"/>
          <w:numId w:val="2"/>
        </w:numPr>
        <w:spacing w:after="80"/>
      </w:pPr>
      <w:r>
        <w:rPr>
          <w:rFonts w:ascii="Calibri" w:cs="Calibri" w:eastAsia="Calibri" w:hAnsi="Calibri"/>
          <w:color w:val="1A1A1A"/>
          <w:sz w:val="20"/>
          <w:szCs w:val="20"/>
        </w:rPr>
        <w:t xml:space="preserve">Rework cap. The Consultant’s rework obligation per phase is capped at 25% of the phase’s consultant-days. Rework beyond that cap is treated as a change order under Section 41 and charged at the rate card.</w:t>
      </w:r>
    </w:p>
    <w:p>
      <w:pPr>
        <w:pStyle w:val="ListParagraph"/>
        <w:numPr>
          <w:ilvl w:val="0"/>
          <w:numId w:val="2"/>
        </w:numPr>
        <w:spacing w:after="80"/>
      </w:pPr>
      <w:r>
        <w:rPr>
          <w:rFonts w:ascii="Calibri" w:cs="Calibri" w:eastAsia="Calibri" w:hAnsi="Calibri"/>
          <w:color w:val="1A1A1A"/>
          <w:sz w:val="20"/>
          <w:szCs w:val="20"/>
        </w:rPr>
        <w:t xml:space="preserve">Where rejection is later determined to have been raised in bad faith or without specific reference to 24.1, the original Acceptance Notice date is restored.</w:t>
      </w:r>
    </w:p>
    <w:p>
      <w:pPr>
        <w:pStyle w:val="Heading2"/>
        <w:spacing w:after="140" w:before="280"/>
      </w:pPr>
      <w:r>
        <w:rPr>
          <w:rFonts w:ascii="Calibri" w:cs="Calibri" w:eastAsia="Calibri" w:hAnsi="Calibri"/>
          <w:b/>
          <w:bCs/>
          <w:color w:val="1F3864"/>
          <w:sz w:val="28"/>
          <w:szCs w:val="28"/>
        </w:rPr>
        <w:t xml:space="preserve">24.4  Materiality and partial acceptance</w:t>
      </w:r>
    </w:p>
    <w:p>
      <w:pPr>
        <w:spacing w:after="120" w:before="0"/>
      </w:pPr>
      <w:r>
        <w:rPr>
          <w:rFonts w:ascii="Calibri" w:cs="Calibri" w:eastAsia="Calibri" w:hAnsi="Calibri"/>
          <w:color w:val="1A1A1A"/>
          <w:sz w:val="20"/>
          <w:szCs w:val="20"/>
        </w:rPr>
        <w:t xml:space="preserve">Where a deliverable substantially meets the criteria but a non-material defect is identified, the Parties may agree in writing to a Conditional Acceptance: the milestone payment is released and the defect is logged as a Sev-3 item (Section 21.3) for remediation within the next phase. Conditional Acceptance does not extend the project timeline or increase the contract value.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Why deemed acceptance matters.</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Without a closing window, “acceptance” is whatever the Client says it is, indefinitely, and milestone payments stall while the project moves on. The 5-business-day window is a standard market practice for SOWs of this size; it is enough time for thorough review by Client approvers and tight enough to keep the engagement on cadence.</w:t>
            </w:r>
          </w:p>
        </w:tc>
      </w:tr>
    </w:tbl>
    <w:p>
      <w:pPr>
        <w:pageBreakBefore/>
        <w:spacing w:after="200" w:before="4000"/>
        <w:jc w:val="center"/>
      </w:pPr>
      <w:r>
        <w:rPr>
          <w:rFonts w:ascii="Calibri" w:cs="Calibri" w:eastAsia="Calibri" w:hAnsi="Calibri"/>
          <w:b/>
          <w:bCs/>
          <w:caps/>
          <w:color w:val="808080"/>
          <w:sz w:val="22"/>
          <w:szCs w:val="22"/>
        </w:rPr>
        <w:t xml:space="preserve">Part VIII</w:t>
      </w:r>
    </w:p>
    <w:p>
      <w:pPr>
        <w:spacing w:after="1600" w:before="0"/>
        <w:jc w:val="center"/>
      </w:pPr>
      <w:r>
        <w:rPr>
          <w:rFonts w:ascii="Calibri" w:cs="Calibri" w:eastAsia="Calibri" w:hAnsi="Calibri"/>
          <w:b/>
          <w:bCs/>
          <w:color w:val="1F3864"/>
          <w:sz w:val="56"/>
          <w:szCs w:val="56"/>
        </w:rPr>
        <w:t xml:space="preserve">Governance</w:t>
      </w:r>
    </w:p>
    <w:p>
      <w:pPr>
        <w:pStyle w:val="Heading1"/>
        <w:pageBreakBefore/>
        <w:spacing w:after="240" w:before="0"/>
      </w:pPr>
      <w:r>
        <w:rPr>
          <w:rFonts w:ascii="Calibri" w:cs="Calibri" w:eastAsia="Calibri" w:hAnsi="Calibri"/>
          <w:b/>
          <w:bCs/>
          <w:color w:val="1F3864"/>
          <w:sz w:val="36"/>
          <w:szCs w:val="36"/>
        </w:rPr>
        <w:t xml:space="preserve">25. Roles &amp; Responsibilities (RACI)</w:t>
      </w:r>
    </w:p>
    <w:p>
      <w:pPr>
        <w:spacing w:after="120" w:before="0"/>
      </w:pPr>
      <w:r>
        <w:rPr>
          <w:rFonts w:ascii="Calibri" w:cs="Calibri" w:eastAsia="Calibri" w:hAnsi="Calibri"/>
          <w:i/>
          <w:iCs/>
          <w:color w:val="808080"/>
          <w:sz w:val="18"/>
          <w:szCs w:val="18"/>
        </w:rPr>
        <w:t xml:space="preserve">R = Responsible, A = Accountable, C = Consulted, I = Informed.</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100"/>
        <w:gridCol w:w="1000"/>
        <w:gridCol w:w="1000"/>
        <w:gridCol w:w="1000"/>
        <w:gridCol w:w="104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Consult.</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Eng (TPE)</w:t>
            </w:r>
          </w:p>
        </w:tc>
        <w:tc>
          <w:tcPr>
            <w:tcW w:type="dxa" w:w="1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CX</w:t>
            </w:r>
          </w:p>
        </w:tc>
        <w:tc>
          <w:tcPr>
            <w:tcW w:type="dxa" w:w="1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Comply</w:t>
            </w:r>
          </w:p>
        </w:tc>
        <w:tc>
          <w:tcPr>
            <w:tcW w:type="dxa" w:w="1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CTO</w:t>
            </w:r>
          </w:p>
        </w:tc>
        <w:tc>
          <w:tcPr>
            <w:tcW w:type="dxa" w:w="1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Sponsor</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Schema design + scaffolding</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authoring</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rule definition</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 of templates</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Brand-voice review</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 renderer code</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Spreadsheet import (one-time)</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sign-off</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5 channel-provider selection</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Audit-evidence production</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Notice issuance</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counter-signature</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r>
    </w:tbl>
    <w:p>
      <w:pPr>
        <w:pStyle w:val="Heading1"/>
        <w:pageBreakBefore/>
        <w:spacing w:after="240" w:before="0"/>
      </w:pPr>
      <w:r>
        <w:rPr>
          <w:rFonts w:ascii="Calibri" w:cs="Calibri" w:eastAsia="Calibri" w:hAnsi="Calibri"/>
          <w:b/>
          <w:bCs/>
          <w:color w:val="1F3864"/>
          <w:sz w:val="36"/>
          <w:szCs w:val="36"/>
        </w:rPr>
        <w:t xml:space="preserve">26. Communication Management Plan</w:t>
      </w:r>
    </w:p>
    <w:p>
      <w:pPr>
        <w:spacing w:after="120" w:before="0"/>
      </w:pPr>
      <w:r>
        <w:rPr>
          <w:rFonts w:ascii="Calibri" w:cs="Calibri" w:eastAsia="Calibri" w:hAnsi="Calibri"/>
          <w:color w:val="1A1A1A"/>
          <w:sz w:val="20"/>
          <w:szCs w:val="20"/>
        </w:rPr>
        <w:t xml:space="preserve">How the engagement itself communicates — distinct from the communication-system being built. Defined cadence, owners and channels prevent the project from generating its own coordination drag.</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300"/>
        <w:gridCol w:w="1700"/>
        <w:gridCol w:w="1700"/>
        <w:gridCol w:w="174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Forum</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Frequency</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c>
          <w:tcPr>
            <w:tcW w:type="dxa" w:w="1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Output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standup</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10:30 IST</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Eng</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thread</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update + blockers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status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Friday 16:00 IST</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1-pager + Slack</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Status, risks, decisions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 of P1, P2, P3, P4</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demo + DOCX</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Sign-off → next phase</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 queue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/tpe-template review</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Approval / rejection</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 queue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Lead</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Authors</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/tpe-template review</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Approval / rejection</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Risk review</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Bi-weekly</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Sponsor</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Updated Risk Register</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 closed risks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Stakeholder digest</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stakeholders</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Progress + asks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Post-mortem</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Sev-1/Sev-2</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Action items</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Information radiator, not push.</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Status is published to a single source (the Slack channel + weekly DOCX). Approvers pull when they need to; the Consultant does not chase or duplicate. Push is reserved for blockers and phase-gate decisions.</w:t>
            </w:r>
          </w:p>
        </w:tc>
      </w:tr>
    </w:tbl>
    <w:p>
      <w:pPr>
        <w:pStyle w:val="Heading1"/>
        <w:pageBreakBefore/>
        <w:spacing w:after="240" w:before="0"/>
      </w:pPr>
      <w:r>
        <w:rPr>
          <w:rFonts w:ascii="Calibri" w:cs="Calibri" w:eastAsia="Calibri" w:hAnsi="Calibri"/>
          <w:b/>
          <w:bCs/>
          <w:color w:val="1F3864"/>
          <w:sz w:val="36"/>
          <w:szCs w:val="36"/>
        </w:rPr>
        <w:t xml:space="preserve">27. Change Management Process</w:t>
      </w:r>
    </w:p>
    <w:p>
      <w:pPr>
        <w:spacing w:after="120" w:before="0"/>
      </w:pPr>
      <w:r>
        <w:rPr>
          <w:rFonts w:ascii="Calibri" w:cs="Calibri" w:eastAsia="Calibri" w:hAnsi="Calibri"/>
          <w:color w:val="1A1A1A"/>
          <w:sz w:val="20"/>
          <w:szCs w:val="20"/>
        </w:rPr>
        <w:t xml:space="preserve">Any change to scope, effort, timeline, deliverables, commercial terms or legal terms follows the process below. Change requests captured informally — in Slack, email or hallway — must be re-stated as a formal Change Request before they take effect.</w:t>
      </w:r>
    </w:p>
    <w:p>
      <w:pPr>
        <w:pStyle w:val="Heading2"/>
        <w:spacing w:after="140" w:before="280"/>
      </w:pPr>
      <w:r>
        <w:rPr>
          <w:rFonts w:ascii="Calibri" w:cs="Calibri" w:eastAsia="Calibri" w:hAnsi="Calibri"/>
          <w:b/>
          <w:bCs/>
          <w:color w:val="1F3864"/>
          <w:sz w:val="28"/>
          <w:szCs w:val="28"/>
        </w:rPr>
        <w:t xml:space="preserve">27.1  Change request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30"/>
        <w:gridCol w:w="200"/>
        <w:gridCol w:w="1430"/>
        <w:gridCol w:w="200"/>
        <w:gridCol w:w="1430"/>
        <w:gridCol w:w="200"/>
        <w:gridCol w:w="1430"/>
        <w:gridCol w:w="200"/>
        <w:gridCol w:w="1430"/>
        <w:gridCol w:w="200"/>
        <w:gridCol w:w="1596"/>
      </w:tblGrid>
      <w:tr>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RAISED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TRIAGED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ASSESSED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DECIDED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APPLIED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CLOSED</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36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State</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SLA</w:t>
            </w:r>
          </w:p>
        </w:tc>
        <w:tc>
          <w:tcPr>
            <w:tcW w:type="dxa" w:w="3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Output</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raised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Anyone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 ticket with title + rationale</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triaged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Severity + initial impact estimate</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assessed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reviewers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business days</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Effort delta, scope delta, risk delta, cost delta</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decided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Next CCB or 5 days</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 / reject / defer</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applied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agreed plan</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updated; new version cut</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closed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1 sprint</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 archived with audit</w:t>
            </w:r>
          </w:p>
        </w:tc>
      </w:tr>
    </w:tbl>
    <w:p>
      <w:pPr>
        <w:pStyle w:val="Heading2"/>
        <w:spacing w:after="140" w:before="280"/>
      </w:pPr>
      <w:r>
        <w:rPr>
          <w:rFonts w:ascii="Calibri" w:cs="Calibri" w:eastAsia="Calibri" w:hAnsi="Calibri"/>
          <w:b/>
          <w:bCs/>
          <w:color w:val="1F3864"/>
          <w:sz w:val="28"/>
          <w:szCs w:val="28"/>
        </w:rPr>
        <w:t xml:space="preserve">27.2  Change Control Board (CCB)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Members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CTO, Compliance, CX, Consultant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Quorum</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 + (one of Compliance / CX) + Consultant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Frequency</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 demand for Sev-1 / Sev-2; otherwise weekly when CRs are open</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Decision rule</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Consensus; deadlock escalates to Sponsor</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Authority</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 / reject / defer scope, effort, deliverable, commercial changes</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Records</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 minutes filed against the CR; Version History updated on apply</w:t>
            </w:r>
          </w:p>
        </w:tc>
      </w:tr>
    </w:tbl>
    <w:p>
      <w:pPr>
        <w:pStyle w:val="Heading2"/>
        <w:spacing w:after="140" w:before="280"/>
      </w:pPr>
      <w:r>
        <w:rPr>
          <w:rFonts w:ascii="Calibri" w:cs="Calibri" w:eastAsia="Calibri" w:hAnsi="Calibri"/>
          <w:b/>
          <w:bCs/>
          <w:color w:val="1F3864"/>
          <w:sz w:val="28"/>
          <w:szCs w:val="28"/>
        </w:rPr>
        <w:t xml:space="preserve">27.3  Change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74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Class</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Triggers</w:t>
            </w:r>
          </w:p>
        </w:tc>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Decision authority</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Commercial effect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Minor</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Editorial, prose, tone, examples; no effort impact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None</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Moderate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1 day effort; no scope change; no deliverable change</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+ 1 approver</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Absorbed within phase budget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Material</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&gt; 1 day effort OR scope/deliverable change OR risk change</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Full CCB</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order issued at rate card (Section 41)</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Critical</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surfaced OR Sponsor-level commercial</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Full CCB + Sponsor</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order + commercial impact assessment</w:t>
            </w:r>
          </w:p>
        </w:tc>
      </w:tr>
    </w:tbl>
    <w:p>
      <w:pPr>
        <w:pStyle w:val="Heading1"/>
        <w:pageBreakBefore/>
        <w:spacing w:after="240" w:before="0"/>
      </w:pPr>
      <w:r>
        <w:rPr>
          <w:rFonts w:ascii="Calibri" w:cs="Calibri" w:eastAsia="Calibri" w:hAnsi="Calibri"/>
          <w:b/>
          <w:bCs/>
          <w:color w:val="1F3864"/>
          <w:sz w:val="36"/>
          <w:szCs w:val="36"/>
        </w:rPr>
        <w:t xml:space="preserve">28. Service Level Agreements</w:t>
      </w:r>
    </w:p>
    <w:p>
      <w:pPr>
        <w:spacing w:after="120" w:before="0"/>
      </w:pPr>
      <w:r>
        <w:rPr>
          <w:rFonts w:ascii="Calibri" w:cs="Calibri" w:eastAsia="Calibri" w:hAnsi="Calibri"/>
          <w:color w:val="1A1A1A"/>
          <w:sz w:val="20"/>
          <w:szCs w:val="20"/>
        </w:rPr>
        <w:t xml:space="preserve">SLAs the delivered system commits to (post go-live), and SLAs the Consultant commits to during build. The first set governs operations; the second set governs delivery. Breach handling is in 28.3.</w:t>
      </w:r>
    </w:p>
    <w:p>
      <w:pPr>
        <w:pStyle w:val="Heading2"/>
        <w:spacing w:after="140" w:before="280"/>
      </w:pPr>
      <w:r>
        <w:rPr>
          <w:rFonts w:ascii="Calibri" w:cs="Calibri" w:eastAsia="Calibri" w:hAnsi="Calibri"/>
          <w:b/>
          <w:bCs/>
          <w:color w:val="1F3864"/>
          <w:sz w:val="28"/>
          <w:szCs w:val="28"/>
        </w:rPr>
        <w:t xml:space="preserve">28.1  Operational SLAs (post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7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Service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Metric</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Measurement</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approval queue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 from review → approved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24h business day</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template, audit log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Lint engine availability</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Uptime</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99.5% rolling 30 days</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Pre-commit + CI metrics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Render correctness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incidents per quarter</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0</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observation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delivery (P5)</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P95 delivery latency</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10s</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 BSP receipts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Premium-due send (P5)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Send-window adherence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within DLT 9–21 IST window</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compliance report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Audit-trail export</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 to produce per-template audit</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60s</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test</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Subject-access response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SAR turnaround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7 calendar days</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Incident log</w:t>
            </w:r>
          </w:p>
        </w:tc>
      </w:tr>
    </w:tbl>
    <w:p>
      <w:pPr>
        <w:pStyle w:val="Heading2"/>
        <w:spacing w:after="140" w:before="280"/>
      </w:pPr>
      <w:r>
        <w:rPr>
          <w:rFonts w:ascii="Calibri" w:cs="Calibri" w:eastAsia="Calibri" w:hAnsi="Calibri"/>
          <w:b/>
          <w:bCs/>
          <w:color w:val="1F3864"/>
          <w:sz w:val="28"/>
          <w:szCs w:val="28"/>
        </w:rPr>
        <w:t xml:space="preserve">28.2  Delivery SLAs (during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3300"/>
        <w:gridCol w:w="274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3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 SLA</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 pack ready</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T-2 business days before review</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 of template</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24h business day</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 (Client)</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 of template</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24h business day</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Lead (Client)</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Reviewer-blocked CR triage</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business day</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defect response</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status report publication</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Friday 16:00 IST</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 decision (Material+)</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5 business days of raised</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Notice review</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business days (per Section 24.2)</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r>
    </w:tbl>
    <w:p>
      <w:pPr>
        <w:pStyle w:val="Heading2"/>
        <w:spacing w:after="140" w:before="280"/>
      </w:pPr>
      <w:r>
        <w:rPr>
          <w:rFonts w:ascii="Calibri" w:cs="Calibri" w:eastAsia="Calibri" w:hAnsi="Calibri"/>
          <w:b/>
          <w:bCs/>
          <w:color w:val="1F3864"/>
          <w:sz w:val="28"/>
          <w:szCs w:val="28"/>
        </w:rPr>
        <w:t xml:space="preserve">28.3  SLA breach handling</w:t>
      </w:r>
    </w:p>
    <w:p>
      <w:pPr>
        <w:pStyle w:val="ListParagraph"/>
        <w:numPr>
          <w:ilvl w:val="0"/>
          <w:numId w:val="2"/>
        </w:numPr>
        <w:spacing w:after="80"/>
      </w:pPr>
      <w:r>
        <w:rPr>
          <w:rFonts w:ascii="Calibri" w:cs="Calibri" w:eastAsia="Calibri" w:hAnsi="Calibri"/>
          <w:color w:val="1A1A1A"/>
          <w:sz w:val="20"/>
          <w:szCs w:val="20"/>
        </w:rPr>
        <w:t xml:space="preserve">First breach in a rolling 30-day window: documented in weekly status, root-cause noted, no further action.</w:t>
      </w:r>
    </w:p>
    <w:p>
      <w:pPr>
        <w:pStyle w:val="ListParagraph"/>
        <w:numPr>
          <w:ilvl w:val="0"/>
          <w:numId w:val="2"/>
        </w:numPr>
        <w:spacing w:after="80"/>
      </w:pPr>
      <w:r>
        <w:rPr>
          <w:rFonts w:ascii="Calibri" w:cs="Calibri" w:eastAsia="Calibri" w:hAnsi="Calibri"/>
          <w:color w:val="1A1A1A"/>
          <w:sz w:val="20"/>
          <w:szCs w:val="20"/>
        </w:rPr>
        <w:t xml:space="preserve">Second breach in 30 days: Consultant escalates to CTO + Sponsor; mitigation plan due within 3 business days.</w:t>
      </w:r>
    </w:p>
    <w:p>
      <w:pPr>
        <w:pStyle w:val="ListParagraph"/>
        <w:numPr>
          <w:ilvl w:val="0"/>
          <w:numId w:val="2"/>
        </w:numPr>
        <w:spacing w:after="80"/>
      </w:pPr>
      <w:r>
        <w:rPr>
          <w:rFonts w:ascii="Calibri" w:cs="Calibri" w:eastAsia="Calibri" w:hAnsi="Calibri"/>
          <w:color w:val="1A1A1A"/>
          <w:sz w:val="20"/>
          <w:szCs w:val="20"/>
        </w:rPr>
        <w:t xml:space="preserve">Three or more breaches in 30 days: CCB session called; phase plan re-baselined if material.</w:t>
      </w:r>
    </w:p>
    <w:p>
      <w:pPr>
        <w:pStyle w:val="ListParagraph"/>
        <w:numPr>
          <w:ilvl w:val="0"/>
          <w:numId w:val="2"/>
        </w:numPr>
        <w:spacing w:after="80"/>
      </w:pPr>
      <w:r>
        <w:rPr>
          <w:rFonts w:ascii="Calibri" w:cs="Calibri" w:eastAsia="Calibri" w:hAnsi="Calibri"/>
          <w:color w:val="1A1A1A"/>
          <w:sz w:val="20"/>
          <w:szCs w:val="20"/>
        </w:rPr>
        <w:t xml:space="preserve">Breaches by the Client (e.g. delayed reviewer turnaround) extend the corresponding phase SLA on a day-for-day basis and form the basis for any milestone-payment timing dispute.</w:t>
      </w:r>
    </w:p>
    <w:p>
      <w:pPr>
        <w:pStyle w:val="ListParagraph"/>
        <w:numPr>
          <w:ilvl w:val="0"/>
          <w:numId w:val="2"/>
        </w:numPr>
        <w:spacing w:after="80"/>
      </w:pPr>
      <w:r>
        <w:rPr>
          <w:rFonts w:ascii="Calibri" w:cs="Calibri" w:eastAsia="Calibri" w:hAnsi="Calibri"/>
          <w:color w:val="1A1A1A"/>
          <w:sz w:val="20"/>
          <w:szCs w:val="20"/>
        </w:rPr>
        <w:t xml:space="preserve">Breaches are visible — no breach is concealed by re-defining the metric.</w:t>
      </w:r>
    </w:p>
    <w:p>
      <w:pPr>
        <w:pStyle w:val="Heading1"/>
        <w:pageBreakBefore/>
        <w:spacing w:after="240" w:before="0"/>
      </w:pPr>
      <w:r>
        <w:rPr>
          <w:rFonts w:ascii="Calibri" w:cs="Calibri" w:eastAsia="Calibri" w:hAnsi="Calibri"/>
          <w:b/>
          <w:bCs/>
          <w:color w:val="1F3864"/>
          <w:sz w:val="36"/>
          <w:szCs w:val="36"/>
        </w:rPr>
        <w:t xml:space="preserve">29. Governance &amp; Review Cadence</w:t>
      </w:r>
    </w:p>
    <w:p>
      <w:pPr>
        <w:spacing w:after="120" w:before="0"/>
      </w:pPr>
      <w:r>
        <w:rPr>
          <w:rFonts w:ascii="Calibri" w:cs="Calibri" w:eastAsia="Calibri" w:hAnsi="Calibri"/>
          <w:color w:val="1A1A1A"/>
          <w:sz w:val="20"/>
          <w:szCs w:val="20"/>
        </w:rPr>
        <w:t xml:space="preserve">Governance forums distribute authority and feedback through the engagement lifecycle. Decisions made outside these forums are non-binding until ratified at the next applicable forum.</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000"/>
        <w:gridCol w:w="28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Forum</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Frequency</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Attendees</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standup</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TPE Eng</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coordination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status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CX Head + CTO</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Progress, risks, decisions needed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 of each phase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CX + Compliance + CTO + Sponsor</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and go/no-go for next phase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approval queue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Reviewer</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Template-level approvals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Brand-voice approval queue</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Lead</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Tone and copy approvals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post-go-live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stakeholders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Measure objectives O1–O7 against baselines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Annual SOW review</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Annually post go-live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Consultant</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Renewal, scope expansion or sunset</w:t>
            </w:r>
          </w:p>
        </w:tc>
      </w:tr>
    </w:tbl>
    <w:p>
      <w:pPr>
        <w:pageBreakBefore/>
        <w:spacing w:after="200" w:before="4000"/>
        <w:jc w:val="center"/>
      </w:pPr>
      <w:r>
        <w:rPr>
          <w:rFonts w:ascii="Calibri" w:cs="Calibri" w:eastAsia="Calibri" w:hAnsi="Calibri"/>
          <w:b/>
          <w:bCs/>
          <w:caps/>
          <w:color w:val="808080"/>
          <w:sz w:val="22"/>
          <w:szCs w:val="22"/>
        </w:rPr>
        <w:t xml:space="preserve">Part IX</w:t>
      </w:r>
    </w:p>
    <w:p>
      <w:pPr>
        <w:spacing w:after="1600" w:before="0"/>
        <w:jc w:val="center"/>
      </w:pPr>
      <w:r>
        <w:rPr>
          <w:rFonts w:ascii="Calibri" w:cs="Calibri" w:eastAsia="Calibri" w:hAnsi="Calibri"/>
          <w:b/>
          <w:bCs/>
          <w:color w:val="1F3864"/>
          <w:sz w:val="56"/>
          <w:szCs w:val="56"/>
        </w:rPr>
        <w:t xml:space="preserve">Risk &amp; Dependencies</w:t>
      </w:r>
    </w:p>
    <w:p>
      <w:pPr>
        <w:pStyle w:val="Heading1"/>
        <w:pageBreakBefore/>
        <w:spacing w:after="240" w:before="0"/>
      </w:pPr>
      <w:r>
        <w:rPr>
          <w:rFonts w:ascii="Calibri" w:cs="Calibri" w:eastAsia="Calibri" w:hAnsi="Calibri"/>
          <w:b/>
          <w:bCs/>
          <w:color w:val="1F3864"/>
          <w:sz w:val="36"/>
          <w:szCs w:val="36"/>
        </w:rPr>
        <w:t xml:space="preserve">30. Assumptions</w:t>
      </w:r>
    </w:p>
    <w:p>
      <w:pPr>
        <w:spacing w:after="120" w:before="0"/>
      </w:pPr>
      <w:r>
        <w:rPr>
          <w:rFonts w:ascii="Calibri" w:cs="Calibri" w:eastAsia="Calibri" w:hAnsi="Calibri"/>
          <w:color w:val="1A1A1A"/>
          <w:sz w:val="20"/>
          <w:szCs w:val="20"/>
        </w:rPr>
        <w:t xml:space="preserve">This SOW is priced and scoped against the assumptions listed below. If any assumption is invalidated during the engagement, it is treated as a Material change request under Section 27 and may carry effort, timeline or commercial impact.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24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6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Assumption</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Validation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customer-data store is queryable with stable schemas (PH, Investor, Policy, Premium) supporting Novu subscriber one-time sync.</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to confirm schema before P2</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A2</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provides AWS account in ap-south-1 (or equivalent India-region cloud) with quota and IAM for Consultant to provision Postgres, MongoDB, Redis, and Novu services.</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1; Section 31 D2</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A3</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remains under its current open-source / source-available licence terms permitting self-hosted commercial use as in force on the SOW signing date. License changes mid-engagement trigger Section 27 review.</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Confirmed at signing</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A4</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 major version is pinned at engagement start; one major version upgrade is included in the post-implementation support window (Section 37).</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Pinned in P1; documented</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A5</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registration (PE ID, Header, Template IDs) exists or will exist by start of P5 with at least one of Gupshup / MSG91 / Karix.</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gates P5</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A6</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Three Indian channel-provider accounts (Gupshup, MSG91, Karix) contracted with sandbox credentials by start of P5.</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gates P5</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A7</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access via a Meta-approved BSP, with templates approved as needed.</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on-premise WA API was deprecated 23 Oct 2025</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A8</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 and CX Head available for approximately 4 hours/week during build for PR review.</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Standing weekly slot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A9</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new audience added in v1; v2 will be a separate SOW.</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Locked at signing</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A10</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Only EN and HI languages in v1; regional languages are v2.</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Locked at signing</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A11</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MIS Pipeline continues to serve INS-02 attachments; no rebuild. Workflow INS-02 calls into existing pipeline.</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Confirmed at scoping</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A12</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Eleven-carrier insurer registry inputs (sender identity, MIS, escalation contacts) provided by Client Insurer Ops by start of P3.</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gates P3</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A13</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provides reasonable cooperation, timely access to systems, sample data, and reviewer time per Section 26.</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delivery assumption</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A14</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is delivered remotely; on-site requirement, if any, is by mutual agreement and reimbursable per Section 41.</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Default remote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A15</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Rate card and milestone amounts in Part XI are denominated in INR and exclusive of GST and statutory taxes.</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Locked at signing</w:t>
            </w:r>
          </w:p>
        </w:tc>
      </w:tr>
    </w:tbl>
    <w:p>
      <w:pPr>
        <w:pStyle w:val="Heading1"/>
        <w:pageBreakBefore/>
        <w:spacing w:after="240" w:before="0"/>
      </w:pPr>
      <w:r>
        <w:rPr>
          <w:rFonts w:ascii="Calibri" w:cs="Calibri" w:eastAsia="Calibri" w:hAnsi="Calibri"/>
          <w:b/>
          <w:bCs/>
          <w:color w:val="1F3864"/>
          <w:sz w:val="36"/>
          <w:szCs w:val="36"/>
        </w:rPr>
        <w:t xml:space="preserve">31. Dependencies</w:t>
      </w:r>
    </w:p>
    <w:p>
      <w:pPr>
        <w:spacing w:after="120" w:before="0"/>
      </w:pPr>
      <w:r>
        <w:rPr>
          <w:rFonts w:ascii="Calibri" w:cs="Calibri" w:eastAsia="Calibri" w:hAnsi="Calibri"/>
          <w:color w:val="1A1A1A"/>
          <w:sz w:val="20"/>
          <w:szCs w:val="20"/>
        </w:rPr>
        <w:t xml:space="preserve">External factors required for delivery on the agreed cadence. Late dependencies extend their corresponding phase on a day-for-day basis (Section 28.3) and may carry commercial impact under Section 41.</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500"/>
        <w:gridCol w:w="1700"/>
        <w:gridCol w:w="164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Dependency</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 blocked</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1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Needed by</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Customer-data sample set with PII tokenised + production access (read-only) for subscriber sync</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P1–P2</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Eng</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1 / start of P2</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AWS (or equivalent) account in ap-south-1 with sufficient quotas + IAM access for Consultant</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1</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Principal Entity ID + DLT Template IDs (registered with Gupshup / MSG91 / Karix as applicable)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 + Compliance</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P5</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 MSG91, Karix accounts with sandbox credentials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P5</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number + BSP-approved templates (via chosen BSP)</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P5</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 samples + style guide + audience tone references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CX</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P2</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D7</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reference: existing IRDAI / DPDPA disclaimers as currently used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Compliance</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P4</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D8</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SSO (SAML / OIDC) endpoint for Novu Web access control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Mid P1</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D9</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availability (CX, Compliance, Brand)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P2–P5</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D10</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Counter-signed SOW + mobilisation invoice paid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Sponsor + Finance</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0</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D11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(11 carriers) sender-identity + MIS attachment requirements + escalation contacts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Ops</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P3</w:t>
            </w:r>
          </w:p>
        </w:tc>
      </w:tr>
    </w:tbl>
    <w:p>
      <w:pPr>
        <w:pStyle w:val="Heading1"/>
        <w:pageBreakBefore/>
        <w:spacing w:after="240" w:before="0"/>
      </w:pPr>
      <w:r>
        <w:rPr>
          <w:rFonts w:ascii="Calibri" w:cs="Calibri" w:eastAsia="Calibri" w:hAnsi="Calibri"/>
          <w:b/>
          <w:bCs/>
          <w:color w:val="1F3864"/>
          <w:sz w:val="36"/>
          <w:szCs w:val="36"/>
        </w:rPr>
        <w:t xml:space="preserve">32. Risk Register</w:t>
      </w:r>
    </w:p>
    <w:p>
      <w:pPr>
        <w:spacing w:after="120" w:before="0"/>
      </w:pPr>
      <w:r>
        <w:rPr>
          <w:rFonts w:ascii="Calibri" w:cs="Calibri" w:eastAsia="Calibri" w:hAnsi="Calibri"/>
          <w:color w:val="1A1A1A"/>
          <w:sz w:val="20"/>
          <w:szCs w:val="20"/>
        </w:rPr>
        <w:t xml:space="preserve">Risks are scored on Probability (P) and Impact (I), each H / M / L. Severity is the higher of the two, reviewed bi-weekly (Section 26). Residual risk is the level remaining after the mitigation. Closed risks remain in this register for audit and are visible at phase-gate reviews.</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600"/>
        <w:gridCol w:w="600"/>
        <w:gridCol w:w="600"/>
        <w:gridCol w:w="2900"/>
        <w:gridCol w:w="9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Risk</w:t>
            </w:r>
          </w:p>
        </w:tc>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w:t>
            </w:r>
          </w:p>
        </w:tc>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w:t>
            </w:r>
          </w:p>
        </w:tc>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Sev</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Mitigation</w:t>
            </w:r>
          </w:p>
        </w:tc>
        <w:tc>
          <w:tcPr>
            <w:tcW w:type="dxa" w:w="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bandwidth shortfall (Compliance / CX) delays PR review queue</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Standing weekly slot; bot-rendered preview attached to PRs; pre-approved disclaimer modules to reduce per-content touch</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R2</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disclaimer text changes mid-build (IRDAI update)</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Externalise disclaimers as TS modules; one-line change + PR</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R3</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 / DLT registration delay (Gupshup, MSG91, Karix accounts or DLT IDs)</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P1–P4 deliver value without dispatch; early request to Client; staged-rollout single-provider-first option</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R4</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template rejection by Meta (via BSP)</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BSP-approved template variable shape pre-validated by lint; small-batch approval first; BSP-side process is Client-managed</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R5</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customer-data store schema unstable or under-documented</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sync produces a diff report; non-conforming rows flagged; mapping documented</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R6</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Hindi / regional variant volume larger than anticipated</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Localisation queue prioritises by trigger volume; v2 covers regional</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R7</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Scope creep: unrequested workflows, new audiences, dispatch features mid-build</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Strict change-management process (Section 27); CCB authority</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Consultant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R8</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in active workflow post go-live</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Two-layer enforcement (CI + pre-execution); audit trail; runbook for hot-fix</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 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R9</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premium-default rate does not improve at 6 months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Triangulate — if cadence + content + dispatch all working, root cause is non-comms; document and re-scope</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R10</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Single-point-of-knowledge (Consultant departs without KT)</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Phase-end KT (Section 36); runbook + author guide deliverables; named backup</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R11</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delay in counter-signature on Acceptance Notice</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Deemed acceptance (Section 24.2)</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Both</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R12</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Late payment of milestone invoices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Net-15 + 1.5%/mo late fee + work-pause clause (Section 39)</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Both</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R13</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leak from sample / test data</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Tokenised PII only in test data; least-privilege IAM; audit logs (Section 20)</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Consultant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R14</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MSG91 / Karix provider plugin defect surfaces in production</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L5 sandbox tests in P5; canary deploy; failover to next provider in chain</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R15</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region (ap-south-1) outage</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Multi-AZ within region; DR cross-region is v2 roadmap; documented RPO 24h / RTO 4h with manual cutover plan</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R16</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 breaking change between pinned and target version</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 to tested major; quarterly upgrade window in support; track upstream advisories</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R17</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license model change affecting self-hosting</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Pinned version remains usable under licence in force at signing; v2 evaluation if upstream pivots</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R18</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customer-data schema drifts post-launch breaking subscriber sync</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Sync script versioned; schema-contract test in CI on representative payloads</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R19</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Rules issued post-signing impose new obligations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supports rule additions via lint config; change-order if structural impact</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 Consultant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R20</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Conflict of interest with Consultant’s other clients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Conflict declared at engagement start; non-solicit clause (Section 51)</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Both</w:t>
            </w:r>
          </w:p>
        </w:tc>
      </w:tr>
    </w:tbl>
    <w:p>
      <w:pPr>
        <w:pageBreakBefore/>
        <w:spacing w:after="200" w:before="4000"/>
        <w:jc w:val="center"/>
      </w:pPr>
      <w:r>
        <w:rPr>
          <w:rFonts w:ascii="Calibri" w:cs="Calibri" w:eastAsia="Calibri" w:hAnsi="Calibri"/>
          <w:b/>
          <w:bCs/>
          <w:caps/>
          <w:color w:val="808080"/>
          <w:sz w:val="22"/>
          <w:szCs w:val="22"/>
        </w:rPr>
        <w:t xml:space="preserve">Part X</w:t>
      </w:r>
    </w:p>
    <w:p>
      <w:pPr>
        <w:spacing w:after="1600" w:before="0"/>
        <w:jc w:val="center"/>
      </w:pPr>
      <w:r>
        <w:rPr>
          <w:rFonts w:ascii="Calibri" w:cs="Calibri" w:eastAsia="Calibri" w:hAnsi="Calibri"/>
          <w:b/>
          <w:bCs/>
          <w:color w:val="1F3864"/>
          <w:sz w:val="56"/>
          <w:szCs w:val="56"/>
        </w:rPr>
        <w:t xml:space="preserve">Resourcing &amp; Readiness</w:t>
      </w:r>
    </w:p>
    <w:p>
      <w:pPr>
        <w:pStyle w:val="Heading1"/>
        <w:pageBreakBefore/>
        <w:spacing w:after="240" w:before="0"/>
      </w:pPr>
      <w:r>
        <w:rPr>
          <w:rFonts w:ascii="Calibri" w:cs="Calibri" w:eastAsia="Calibri" w:hAnsi="Calibri"/>
          <w:b/>
          <w:bCs/>
          <w:color w:val="1F3864"/>
          <w:sz w:val="36"/>
          <w:szCs w:val="36"/>
        </w:rPr>
        <w:t xml:space="preserve">33. Effort Estimation</w:t>
      </w:r>
    </w:p>
    <w:p>
      <w:pPr>
        <w:spacing w:after="120" w:before="0"/>
      </w:pPr>
      <w:r>
        <w:rPr>
          <w:rFonts w:ascii="Calibri" w:cs="Calibri" w:eastAsia="Calibri" w:hAnsi="Calibri"/>
          <w:color w:val="1A1A1A"/>
          <w:sz w:val="20"/>
          <w:szCs w:val="20"/>
        </w:rPr>
        <w:t xml:space="preserve">Effort is decomposed by phase and activity. Consultant-days are the basis for phase-milestone billing under Section 39. Reviewer-days are Client-internal time and are not billed by the Consultant.</w:t>
      </w:r>
    </w:p>
    <w:p>
      <w:pPr>
        <w:pStyle w:val="Heading2"/>
        <w:spacing w:after="140" w:before="280"/>
      </w:pPr>
      <w:r>
        <w:rPr>
          <w:rFonts w:ascii="Calibri" w:cs="Calibri" w:eastAsia="Calibri" w:hAnsi="Calibri"/>
          <w:b/>
          <w:bCs/>
          <w:color w:val="1F3864"/>
          <w:sz w:val="28"/>
          <w:szCs w:val="28"/>
        </w:rPr>
        <w:t xml:space="preserve">33.1  Consultant effort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7100"/>
        <w:gridCol w:w="15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7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Days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7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Foundation: self-hosted deployment to Client AWS Mumbai (or equivalent); Postgres + Mongo + Redis Multi-AZ; Novu API + Worker + Web + Bridge; CI scaffold; PoC workflow PH-03 end-to-end against Gupshup sandbox; infrastructure runbook v1</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7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workflows: 18 PH triggers as Novu Framework workflows; subscriber model + one-time sync from TPE customer-data store; Email + WA + SMS content for active statuses; compliance-check stub at workflow head</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7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(16) + Insurer (6) + Internal (6) + Regulatory (3) workflows; Hindi variants for PH-facing content; multi-tenant insurer registry (11 carriers) + tenancy middleware; localisation queue dashboard</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7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 30 lint rules across DLT, IRDAI, WA-BSP, DPDPA, FATCA, TDS, brand-voice; CI + pre-execution enforcement; observability stack (logs, metrics, audit dashboard); SAR / audit-export endpoint</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7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provider plugins: MSG91 (SMS + WA) and Karix (SMS + WA); failover orchestration Gupshup → MSG91 → Karix; production cutover plan; one-week hypercare; ops runbook handover</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r>
      <w:tr>
        <w:tc>
          <w:tcPr>
            <w:tcW w:type="dxa" w:w="8200"/>
            <w:gridSpan w:val="2"/>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 Core (P1–P5, all in core in v4.0)</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25 days</w:t>
            </w:r>
          </w:p>
        </w:tc>
      </w:tr>
    </w:tbl>
    <w:p>
      <w:pPr>
        <w:pStyle w:val="Heading2"/>
        <w:spacing w:after="140" w:before="280"/>
      </w:pPr>
      <w:r>
        <w:rPr>
          <w:rFonts w:ascii="Calibri" w:cs="Calibri" w:eastAsia="Calibri" w:hAnsi="Calibri"/>
          <w:b/>
          <w:bCs/>
          <w:color w:val="1F3864"/>
          <w:sz w:val="28"/>
          <w:szCs w:val="28"/>
        </w:rPr>
        <w:t xml:space="preserve">33.2  Client reviewer effort (informational)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5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Reviewer</w:t>
            </w:r>
          </w:p>
        </w:tc>
        <w:tc>
          <w:tcPr>
            <w:tcW w:type="dxa" w:w="5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Days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Head</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 audience map, workflow review queue</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set, lint-rule definition, workflow PR review queue</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Reviewer</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Per-workflow brand-voice sign-off (continuous)</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IAM / SSO, infrastructure approvals, BSP credentials</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 / DevOps (Client)</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account access, IaC review, ongoing infra collaboration during P1 + P5</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Ops / Partnerships</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registry inputs (11 carriers): sender identity, MIS, escalation contacts</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r>
      <w:tr>
        <w:tc>
          <w:tcPr>
            <w:tcW w:type="dxa" w:w="8200"/>
            <w:gridSpan w:val="2"/>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reviewer effort</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15 days</w:t>
            </w:r>
          </w:p>
        </w:tc>
      </w:tr>
    </w:tbl>
    <w:p>
      <w:pPr>
        <w:spacing w:after="100"/>
      </w:pPr>
      <w:r>
        <w:t xml:space="preserve"/>
      </w:r>
    </w:p>
    <w:p>
      <w:pPr>
        <w:spacing w:after="120" w:before="0"/>
      </w:pPr>
      <w:r>
        <w:rPr>
          <w:rFonts w:ascii="Calibri" w:cs="Calibri" w:eastAsia="Calibri" w:hAnsi="Calibri"/>
          <w:i/>
          <w:iCs/>
          <w:color w:val="808080"/>
          <w:sz w:val="18"/>
          <w:szCs w:val="18"/>
        </w:rPr>
        <w:t xml:space="preserve">Reviewer effort rises in v4.0 vs v3.0 because self-hosted Novu requires Client Infra/DevOps collaboration during P1 and P5 (AWS account, IaC review, cutover) and because the multi-tenant insurer model needs Insurer Ops input on the eleven-carrier registry. None of this is billed by the Consultant; it is Client-internal time, included here so capacity is allocated.</w:t>
      </w:r>
    </w:p>
    <w:p>
      <w:pPr>
        <w:pStyle w:val="Heading1"/>
        <w:pageBreakBefore/>
        <w:spacing w:after="240" w:before="0"/>
      </w:pPr>
      <w:r>
        <w:rPr>
          <w:rFonts w:ascii="Calibri" w:cs="Calibri" w:eastAsia="Calibri" w:hAnsi="Calibri"/>
          <w:b/>
          <w:bCs/>
          <w:color w:val="1F3864"/>
          <w:sz w:val="36"/>
          <w:szCs w:val="36"/>
        </w:rPr>
        <w:t xml:space="preserve">34. Resource Plan</w:t>
      </w:r>
    </w:p>
    <w:p>
      <w:pPr>
        <w:pStyle w:val="Heading2"/>
        <w:spacing w:after="140" w:before="280"/>
      </w:pPr>
      <w:r>
        <w:rPr>
          <w:rFonts w:ascii="Calibri" w:cs="Calibri" w:eastAsia="Calibri" w:hAnsi="Calibri"/>
          <w:b/>
          <w:bCs/>
          <w:color w:val="1F3864"/>
          <w:sz w:val="28"/>
          <w:szCs w:val="28"/>
        </w:rPr>
        <w:t xml:space="preserve">34.1  Consultant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gridCol w:w="20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Allocation</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Coverage</w:t>
            </w:r>
          </w:p>
        </w:tc>
        <w:tc>
          <w:tcPr>
            <w:tcW w:type="dxa" w:w="2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Lead / Solution Architect</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Full-time during build (≈ 25 days)</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 integrator, primary reviewer interface</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P1–P4 (P5 if executed)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Backup contact (designated)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 call for continuity</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Standby; no scheduled time</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phases</w:t>
            </w:r>
          </w:p>
        </w:tc>
      </w:tr>
    </w:tbl>
    <w:p>
      <w:pPr>
        <w:pStyle w:val="Heading2"/>
        <w:spacing w:after="140" w:before="280"/>
      </w:pPr>
      <w:r>
        <w:rPr>
          <w:rFonts w:ascii="Calibri" w:cs="Calibri" w:eastAsia="Calibri" w:hAnsi="Calibri"/>
          <w:b/>
          <w:bCs/>
          <w:color w:val="1F3864"/>
          <w:sz w:val="28"/>
          <w:szCs w:val="28"/>
        </w:rPr>
        <w:t xml:space="preserve">34.2  Client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5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Allocation</w:t>
            </w:r>
          </w:p>
        </w:tc>
        <w:tc>
          <w:tcPr>
            <w:tcW w:type="dxa" w:w="2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 coverage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Head (Brand + Audience)</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~4h/week</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~4h/week</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peaks at P4</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Reviewer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queue</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P2–P4</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~3h/week</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P2–P4 (spreadsheet import P2)</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Engineering pair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~6h/week</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peaks at P1 and P5</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reviews + P5 selection</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gates, P5</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(Founders)</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reviews + CCB on Material+ CRs</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Gates + CCB</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Concentration risk.</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The engagement runs through a single Consultant (Engagement Lead). This is appropriate at this scope but creates a single point of knowledge. Mitigations: (i) phase-end KT sessions per Section 36; (ii) all artefacts are in the Client repository, not in the Consultant’s private files; (iii) the runbook and author guide are written for a successor. The named backup contact provides continuity for unplanned absence.</w:t>
            </w:r>
          </w:p>
        </w:tc>
      </w:tr>
    </w:tbl>
    <w:p>
      <w:pPr>
        <w:pStyle w:val="Heading1"/>
        <w:pageBreakBefore/>
        <w:spacing w:after="240" w:before="0"/>
      </w:pPr>
      <w:r>
        <w:rPr>
          <w:rFonts w:ascii="Calibri" w:cs="Calibri" w:eastAsia="Calibri" w:hAnsi="Calibri"/>
          <w:b/>
          <w:bCs/>
          <w:color w:val="1F3864"/>
          <w:sz w:val="36"/>
          <w:szCs w:val="36"/>
        </w:rPr>
        <w:t xml:space="preserve">35. Operational Readiness &amp; Go-Live Criteria</w:t>
      </w:r>
    </w:p>
    <w:p>
      <w:pPr>
        <w:spacing w:after="120" w:before="0"/>
      </w:pPr>
      <w:r>
        <w:rPr>
          <w:rFonts w:ascii="Calibri" w:cs="Calibri" w:eastAsia="Calibri" w:hAnsi="Calibri"/>
          <w:color w:val="1A1A1A"/>
          <w:sz w:val="20"/>
          <w:szCs w:val="20"/>
        </w:rPr>
        <w:t xml:space="preserve">Go-live in v4.0 is a single staged event at the end of P5: workflows in production, dispatch live across all three Indian providers, audit dashboard active, ops handover complete. Earlier phases produce intermediate go-lives (P2 PH workflows live in dev/staging; P4 compliance + observability live in staging) but production cutover is the P5 milestone.</w:t>
      </w:r>
    </w:p>
    <w:p>
      <w:pPr>
        <w:pStyle w:val="Heading2"/>
        <w:spacing w:after="140" w:before="280"/>
      </w:pPr>
      <w:r>
        <w:rPr>
          <w:rFonts w:ascii="Calibri" w:cs="Calibri" w:eastAsia="Calibri" w:hAnsi="Calibri"/>
          <w:b/>
          <w:bCs/>
          <w:color w:val="1F3864"/>
          <w:sz w:val="28"/>
          <w:szCs w:val="28"/>
        </w:rPr>
        <w:t xml:space="preserve">35.1  Phase-by-phase readiness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8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Readiness items</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 P2 ready</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reachable from Client VPC; Postgres + Mongo + Redis Multi-AZ healthy and backed up; SSO into Novu Web operational; PoC workflow PH-03 executes end-to-end with audit row; CI scaffold green; infrastructure runbook reviewable.</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 → P3 ready</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workflows deployed to dev; subscriber sync covers in-scope PH records with diff report; CX Head signed off on rendered samples for active statuses; compliance-check stub aborts on contrived violation.</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 → P4 ready</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 / INS / OPS / REG workflows deployed; Hindi variants exist for PH-facing content; multi-tenant insurer routing produces correct sender identity per carrier in audit; localisation queue empty.</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 → P5 ready</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lint rules active and CI-blocking; pre-execution lint aborts a contrived non-compliant trigger; audit dashboard shows correctly redacted PII; SAR / audit-export endpoint returns within 60 seconds; compliance reference card produced.</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 → Production go-live</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 Karix custom plugins pass L5 against sandbox; Gupshup native verified end-to-end; failover Gupshup→MSG91→Karix tested; DLT IDs registered for chosen providers; WA Cloud API number live via BSP; cutover plan executed in staging without errors; one-week hypercare plan documented; named Client successor for support transition; final ops runbook signed off.</w:t>
            </w:r>
          </w:p>
        </w:tc>
      </w:tr>
    </w:tbl>
    <w:p>
      <w:pPr>
        <w:pStyle w:val="Heading2"/>
        <w:spacing w:after="140" w:before="280"/>
      </w:pPr>
      <w:r>
        <w:rPr>
          <w:rFonts w:ascii="Calibri" w:cs="Calibri" w:eastAsia="Calibri" w:hAnsi="Calibri"/>
          <w:b/>
          <w:bCs/>
          <w:color w:val="1F3864"/>
          <w:sz w:val="28"/>
          <w:szCs w:val="28"/>
        </w:rPr>
        <w:t xml:space="preserve">35.2  Go-live decision authority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Decision body</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 + Compliance + CX (consensus)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Decision evidence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 pack + Acceptance Notice (Section 24)</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Roll-back trigger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defect within 24h of go-live (compliance violation, PII leak, dispatch outage)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Roll-back procedure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Revert workflow repo to prior commit + redeploy via Bridge; preserve audit; for infra issues, restore from latest snapshot per RPO 24h / RTO 4h; post-mortem within 5 business days</w:t>
            </w:r>
          </w:p>
        </w:tc>
      </w:tr>
    </w:tbl>
    <w:p>
      <w:pPr>
        <w:pStyle w:val="Heading1"/>
        <w:pageBreakBefore/>
        <w:spacing w:after="240" w:before="0"/>
      </w:pPr>
      <w:r>
        <w:rPr>
          <w:rFonts w:ascii="Calibri" w:cs="Calibri" w:eastAsia="Calibri" w:hAnsi="Calibri"/>
          <w:b/>
          <w:bCs/>
          <w:color w:val="1F3864"/>
          <w:sz w:val="36"/>
          <w:szCs w:val="36"/>
        </w:rPr>
        <w:t xml:space="preserve">36. Knowledge Transfer &amp; Training Plan</w:t>
      </w:r>
    </w:p>
    <w:p>
      <w:pPr>
        <w:spacing w:after="120" w:before="0"/>
      </w:pPr>
      <w:r>
        <w:rPr>
          <w:rFonts w:ascii="Calibri" w:cs="Calibri" w:eastAsia="Calibri" w:hAnsi="Calibri"/>
          <w:color w:val="1A1A1A"/>
          <w:sz w:val="20"/>
          <w:szCs w:val="20"/>
        </w:rPr>
        <w:t xml:space="preserve">Knowledge transfer is engineered, not aspirational. Each phase ends with a recorded walk-through; the artefacts (runbook, author guide, compliance reference) are part of the deliverable set under Section 23. The intent is that a successor — Consultant or Client-hired — can operate the system without further support after a one-week onboarding.</w:t>
      </w:r>
    </w:p>
    <w:p>
      <w:pPr>
        <w:pStyle w:val="Heading2"/>
        <w:spacing w:after="140" w:before="280"/>
      </w:pPr>
      <w:r>
        <w:rPr>
          <w:rFonts w:ascii="Calibri" w:cs="Calibri" w:eastAsia="Calibri" w:hAnsi="Calibri"/>
          <w:b/>
          <w:bCs/>
          <w:color w:val="1F3864"/>
          <w:sz w:val="28"/>
          <w:szCs w:val="28"/>
        </w:rPr>
        <w:t xml:space="preserve">36.1  Training tracks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700"/>
        <w:gridCol w:w="29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Duration</w:t>
            </w:r>
          </w:p>
        </w:tc>
        <w:tc>
          <w:tcPr>
            <w:tcW w:type="dxa" w:w="2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Materials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authors (CX, Compliance, Brand)</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 recorded walk-through</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2h × 2 sessions</w:t>
            </w:r>
          </w:p>
        </w:tc>
        <w:tc>
          <w:tcPr>
            <w:tcW w:type="dxa" w:w="2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Workflow-author guide + 10 worked examples + PR-review playbook</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Reviewers (Compliance + Brand)</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 recorded</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2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checklist + lint-rules reference + override procedure</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Eng (build pair)</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Pair sessions throughout build</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2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workflow Framework docs + provider plugin docs</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Infra / DevOps</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Pair sessions during P1 + P5</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 total</w:t>
            </w:r>
          </w:p>
        </w:tc>
        <w:tc>
          <w:tcPr>
            <w:tcW w:type="dxa" w:w="2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runbook + IaC walk-through + ops runbook</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(cadence + escalation)</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 recorded</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2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runbook + audit dashboard guide</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Briefing</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 min</w:t>
            </w:r>
          </w:p>
        </w:tc>
        <w:tc>
          <w:tcPr>
            <w:tcW w:type="dxa" w:w="2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Single-page summary + Q&amp;A</w:t>
            </w:r>
          </w:p>
        </w:tc>
      </w:tr>
    </w:tbl>
    <w:p>
      <w:pPr>
        <w:pStyle w:val="Heading2"/>
        <w:spacing w:after="140" w:before="280"/>
      </w:pPr>
      <w:r>
        <w:rPr>
          <w:rFonts w:ascii="Calibri" w:cs="Calibri" w:eastAsia="Calibri" w:hAnsi="Calibri"/>
          <w:b/>
          <w:bCs/>
          <w:color w:val="1F3864"/>
          <w:sz w:val="28"/>
          <w:szCs w:val="28"/>
        </w:rPr>
        <w:t xml:space="preserve">36.2  Acceptance of KT</w:t>
      </w:r>
    </w:p>
    <w:p>
      <w:pPr>
        <w:spacing w:after="120" w:before="0"/>
      </w:pPr>
      <w:r>
        <w:rPr>
          <w:rFonts w:ascii="Calibri" w:cs="Calibri" w:eastAsia="Calibri" w:hAnsi="Calibri"/>
          <w:color w:val="1A1A1A"/>
          <w:sz w:val="20"/>
          <w:szCs w:val="20"/>
        </w:rPr>
        <w:t xml:space="preserve">KT is deemed accepted when (a) the recorded sessions are filed in the Client repository; (b) at least one Client author has produced and approved a workflow change end-to-end without Consultant assistance; (c) at least one Client Infra / DevOps engineer has executed a routine patching cycle on the staging Novu instance under guidance; and (d) the runbook and workflow-author guide are signed off by CX Head and CTO.</w:t>
      </w:r>
    </w:p>
    <w:p>
      <w:pPr>
        <w:pStyle w:val="Heading1"/>
        <w:pageBreakBefore/>
        <w:spacing w:after="240" w:before="0"/>
      </w:pPr>
      <w:r>
        <w:rPr>
          <w:rFonts w:ascii="Calibri" w:cs="Calibri" w:eastAsia="Calibri" w:hAnsi="Calibri"/>
          <w:b/>
          <w:bCs/>
          <w:color w:val="1F3864"/>
          <w:sz w:val="36"/>
          <w:szCs w:val="36"/>
        </w:rPr>
        <w:t xml:space="preserve">37. Post-Implementation Support &amp; Maintenance</w:t>
      </w:r>
    </w:p>
    <w:p>
      <w:pPr>
        <w:spacing w:after="120" w:before="0"/>
      </w:pPr>
      <w:r>
        <w:rPr>
          <w:rFonts w:ascii="Calibri" w:cs="Calibri" w:eastAsia="Calibri" w:hAnsi="Calibri"/>
          <w:color w:val="1A1A1A"/>
          <w:sz w:val="20"/>
          <w:szCs w:val="20"/>
        </w:rPr>
        <w:t xml:space="preserve">After P5 acceptance, the engagement enters a defined post-implementation support window. Support is bounded in time, scope and effort. Beyond this window, any continued engagement is subject to a renewal SOW or an ad-hoc statement of work for time and materials at the rate card (Section 41).</w:t>
      </w:r>
    </w:p>
    <w:p>
      <w:pPr>
        <w:pStyle w:val="Heading2"/>
        <w:spacing w:after="140" w:before="280"/>
      </w:pPr>
      <w:r>
        <w:rPr>
          <w:rFonts w:ascii="Calibri" w:cs="Calibri" w:eastAsia="Calibri" w:hAnsi="Calibri"/>
          <w:b/>
          <w:bCs/>
          <w:color w:val="1F3864"/>
          <w:sz w:val="28"/>
          <w:szCs w:val="28"/>
        </w:rPr>
        <w:t xml:space="preserve">37.1  Support window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Duration</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 calendar months from P5 acceptance</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Scope (in)</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Defect remediation per severity SLAs (Section 21.2); minor workflow / content changes ≤ 2 days each; quarterly compliance-rule review; one upstream Novu major-version upgrade; routine patching coordination with Client Infra; provider-credential rotation support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Out of scope</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audiences, new triggers, new channels, new languages, additional channel providers, multi-region DR — these are change orders or new SOWs</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Effort envelope</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Aggregate cap of 5 consultant-days per quarter; carries over within calendar quarter only</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Response SLA</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Section 21.2 by severity</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Charges</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Included in Phase 5 milestone for the first quarter; subsequent quarters at quarterly retainer per Section 41</w:t>
            </w:r>
          </w:p>
        </w:tc>
      </w:tr>
    </w:tbl>
    <w:p>
      <w:pPr>
        <w:pStyle w:val="Heading2"/>
        <w:spacing w:after="140" w:before="280"/>
      </w:pPr>
      <w:r>
        <w:rPr>
          <w:rFonts w:ascii="Calibri" w:cs="Calibri" w:eastAsia="Calibri" w:hAnsi="Calibri"/>
          <w:b/>
          <w:bCs/>
          <w:color w:val="1F3864"/>
          <w:sz w:val="28"/>
          <w:szCs w:val="28"/>
        </w:rPr>
        <w:t xml:space="preserve">37.2  Hand-off plan</w:t>
      </w:r>
    </w:p>
    <w:p>
      <w:pPr>
        <w:pStyle w:val="ListParagraph"/>
        <w:numPr>
          <w:ilvl w:val="0"/>
          <w:numId w:val="2"/>
        </w:numPr>
        <w:spacing w:after="80"/>
      </w:pPr>
      <w:r>
        <w:rPr>
          <w:rFonts w:ascii="Calibri" w:cs="Calibri" w:eastAsia="Calibri" w:hAnsi="Calibri"/>
          <w:color w:val="1A1A1A"/>
          <w:sz w:val="20"/>
          <w:szCs w:val="20"/>
        </w:rPr>
        <w:t xml:space="preserve">Final ops runbook (self-hosted Novu): patching, scaling, backup, recovery, secret rotation, BSP credential rotation.</w:t>
      </w:r>
    </w:p>
    <w:p>
      <w:pPr>
        <w:pStyle w:val="ListParagraph"/>
        <w:numPr>
          <w:ilvl w:val="0"/>
          <w:numId w:val="2"/>
        </w:numPr>
        <w:spacing w:after="80"/>
      </w:pPr>
      <w:r>
        <w:rPr>
          <w:rFonts w:ascii="Calibri" w:cs="Calibri" w:eastAsia="Calibri" w:hAnsi="Calibri"/>
          <w:color w:val="1A1A1A"/>
          <w:sz w:val="20"/>
          <w:szCs w:val="20"/>
        </w:rPr>
        <w:t xml:space="preserve">Final lint-rule snapshot; per-quarter audit export; per-insurer dispatch reconciliation report.</w:t>
      </w:r>
    </w:p>
    <w:p>
      <w:pPr>
        <w:pStyle w:val="ListParagraph"/>
        <w:numPr>
          <w:ilvl w:val="0"/>
          <w:numId w:val="2"/>
        </w:numPr>
        <w:spacing w:after="80"/>
      </w:pPr>
      <w:r>
        <w:rPr>
          <w:rFonts w:ascii="Calibri" w:cs="Calibri" w:eastAsia="Calibri" w:hAnsi="Calibri"/>
          <w:color w:val="1A1A1A"/>
          <w:sz w:val="20"/>
          <w:szCs w:val="20"/>
        </w:rPr>
        <w:t xml:space="preserve">Designated Client successor named at P5 acceptance — KT (Section 36) is targeted to that named successor.</w:t>
      </w:r>
    </w:p>
    <w:p>
      <w:pPr>
        <w:pStyle w:val="ListParagraph"/>
        <w:numPr>
          <w:ilvl w:val="0"/>
          <w:numId w:val="2"/>
        </w:numPr>
        <w:spacing w:after="80"/>
      </w:pPr>
      <w:r>
        <w:rPr>
          <w:rFonts w:ascii="Calibri" w:cs="Calibri" w:eastAsia="Calibri" w:hAnsi="Calibri"/>
          <w:color w:val="1A1A1A"/>
          <w:sz w:val="20"/>
          <w:szCs w:val="20"/>
        </w:rPr>
        <w:t xml:space="preserve">Repository ownership transferred to Client GitHub organisation; Consultant retains read-only access for support window only.</w:t>
      </w:r>
    </w:p>
    <w:p>
      <w:pPr>
        <w:pStyle w:val="ListParagraph"/>
        <w:numPr>
          <w:ilvl w:val="0"/>
          <w:numId w:val="2"/>
        </w:numPr>
        <w:spacing w:after="80"/>
      </w:pPr>
      <w:r>
        <w:rPr>
          <w:rFonts w:ascii="Calibri" w:cs="Calibri" w:eastAsia="Calibri" w:hAnsi="Calibri"/>
          <w:color w:val="1A1A1A"/>
          <w:sz w:val="20"/>
          <w:szCs w:val="20"/>
        </w:rPr>
        <w:t xml:space="preserve">Infrastructure: AWS account remains Client-owned throughout; Consultant IAM access reviewed and restricted to support-only at P5 acceptance and revoked at end of support window.</w:t>
      </w:r>
    </w:p>
    <w:p>
      <w:pPr>
        <w:pStyle w:val="ListParagraph"/>
        <w:numPr>
          <w:ilvl w:val="0"/>
          <w:numId w:val="2"/>
        </w:numPr>
        <w:spacing w:after="80"/>
      </w:pPr>
      <w:r>
        <w:rPr>
          <w:rFonts w:ascii="Calibri" w:cs="Calibri" w:eastAsia="Calibri" w:hAnsi="Calibri"/>
          <w:color w:val="1A1A1A"/>
          <w:sz w:val="20"/>
          <w:szCs w:val="20"/>
        </w:rPr>
        <w:t xml:space="preserve">End-of-window letter: open items, recommended improvements, residual risks.</w:t>
      </w:r>
    </w:p>
    <w:p>
      <w:pPr>
        <w:pageBreakBefore/>
        <w:spacing w:after="200" w:before="4000"/>
        <w:jc w:val="center"/>
      </w:pPr>
      <w:r>
        <w:rPr>
          <w:rFonts w:ascii="Calibri" w:cs="Calibri" w:eastAsia="Calibri" w:hAnsi="Calibri"/>
          <w:b/>
          <w:bCs/>
          <w:caps/>
          <w:color w:val="808080"/>
          <w:sz w:val="22"/>
          <w:szCs w:val="22"/>
        </w:rPr>
        <w:t xml:space="preserve">Part XI</w:t>
      </w:r>
    </w:p>
    <w:p>
      <w:pPr>
        <w:spacing w:after="1600" w:before="0"/>
        <w:jc w:val="center"/>
      </w:pPr>
      <w:r>
        <w:rPr>
          <w:rFonts w:ascii="Calibri" w:cs="Calibri" w:eastAsia="Calibri" w:hAnsi="Calibri"/>
          <w:b/>
          <w:bCs/>
          <w:color w:val="1F3864"/>
          <w:sz w:val="56"/>
          <w:szCs w:val="56"/>
        </w:rPr>
        <w:t xml:space="preserve">Commercial Terms</w:t>
      </w:r>
    </w:p>
    <w:p>
      <w:pPr>
        <w:pStyle w:val="Heading1"/>
        <w:pageBreakBefore/>
        <w:spacing w:after="240" w:before="0"/>
      </w:pPr>
      <w:r>
        <w:rPr>
          <w:rFonts w:ascii="Calibri" w:cs="Calibri" w:eastAsia="Calibri" w:hAnsi="Calibri"/>
          <w:b/>
          <w:bCs/>
          <w:color w:val="1F3864"/>
          <w:sz w:val="36"/>
          <w:szCs w:val="36"/>
        </w:rPr>
        <w:t xml:space="preserve">38. Charges &amp; Engagement Model</w:t>
      </w:r>
    </w:p>
    <w:p>
      <w:pPr>
        <w:spacing w:after="120" w:before="0"/>
      </w:pPr>
      <w:r>
        <w:rPr>
          <w:rFonts w:ascii="Calibri" w:cs="Calibri" w:eastAsia="Calibri" w:hAnsi="Calibri"/>
          <w:color w:val="1A1A1A"/>
          <w:sz w:val="20"/>
          <w:szCs w:val="20"/>
        </w:rPr>
        <w:t xml:space="preserve">The commercial structure is hybrid by design: phase-milestone fixed-price billing for the agreed core scope (Phases 1–5) and time-and-materials at the rate card for any change orders or out-of-scope work (Section 41). Unlike v3.0 of this SOW, Phase 5 is in core delivery in v4.0 — there is no separately-gated Phase 5 schedule, because Novu provides dispatch natively for Gupshup and the Consultant’s P5 effort is on custom MSG91 + Karix provider plugins and production hardening, both within the core engagement.</w:t>
      </w:r>
    </w:p>
    <w:p>
      <w:pPr>
        <w:pStyle w:val="Heading2"/>
        <w:spacing w:after="140" w:before="280"/>
      </w:pPr>
      <w:r>
        <w:rPr>
          <w:rFonts w:ascii="Calibri" w:cs="Calibri" w:eastAsia="Calibri" w:hAnsi="Calibri"/>
          <w:b/>
          <w:bCs/>
          <w:color w:val="1F3864"/>
          <w:sz w:val="28"/>
          <w:szCs w:val="28"/>
        </w:rPr>
        <w:t xml:space="preserve">38.1  Engagement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Element</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Treatment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type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Hybrid: phase-milestone fixed-price (P1–P5, all in core) + T&amp;M for change orders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Currency</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Indian Rupees (INR / ₹). All amounts exclusive of GST and statutory taxes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Billing cycle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phase milestone (Section 39); change orders monthly in arrears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Payment terms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 15 days from invoice receipt by the Client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Late payment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 per month or part thereof on overdue amounts; Consultant’s right to suspend work after 30 days overdue (Section 39.4)</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Mode of payment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Direct bank transfer to the Consultant’s nominated account; UPI / NEFT / RTGS</w:t>
            </w:r>
          </w:p>
        </w:tc>
      </w:tr>
    </w:tbl>
    <w:p>
      <w:pPr>
        <w:pStyle w:val="Heading2"/>
        <w:spacing w:after="140" w:before="280"/>
      </w:pPr>
      <w:r>
        <w:rPr>
          <w:rFonts w:ascii="Calibri" w:cs="Calibri" w:eastAsia="Calibri" w:hAnsi="Calibri"/>
          <w:b/>
          <w:bCs/>
          <w:color w:val="1F3864"/>
          <w:sz w:val="28"/>
          <w:szCs w:val="28"/>
        </w:rPr>
        <w:t xml:space="preserve">38.2  Day rate and contract value</w:t>
      </w:r>
    </w:p>
    <w:p>
      <w:pPr>
        <w:spacing w:after="120" w:before="0"/>
      </w:pPr>
      <w:r>
        <w:rPr>
          <w:rFonts w:ascii="Calibri" w:cs="Calibri" w:eastAsia="Calibri" w:hAnsi="Calibri"/>
          <w:color w:val="1A1A1A"/>
          <w:sz w:val="20"/>
          <w:szCs w:val="20"/>
        </w:rPr>
        <w:t xml:space="preserve">The day rate below is the basis for change orders and for the derivation of phase milestone amounts. It is set at signing and held for the duration of this SOW; revisions follow the Change Management Process (Section 27).</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2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Item</w:t>
            </w:r>
          </w:p>
        </w:tc>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Quantum</w:t>
            </w:r>
          </w:p>
        </w:tc>
        <w:tc>
          <w:tcPr>
            <w:tcW w:type="dxa" w:w="4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day rate (Principal Engineer / Solution Architect)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35,000 per consultant-day</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Indicative anchor for engagements of this profile in BFSI India 2026; subject to negotiation at signing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Working day definition</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 working hours; IST business days</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Half-day minimum on change orders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Core consultant effort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25 days (Phases 1–5, all in core)</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Section 33</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Core fixed price (P1–P5)</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8,75,000</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25 × INR 35,000 — distributed across milestones in Section 39</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GST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 additional</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 every invoice; included on tax invoice; subject to applicable rate at time of invoice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Applicable rate</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deducts at source per Income Tax Act; TDS certificate (Form 16A) issued quarterly</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Day rate is indicative.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INR 35,000/day is the anchor used to compute the milestones below. The Parties may agree a different rate at signing — if so, the milestone amounts in Section 39 are recomputed pro-rata against the agreed rate, with the milestone percentages held constant. The Consultant must confirm the final rate before counter-signature.</w:t>
            </w:r>
          </w:p>
        </w:tc>
      </w:tr>
    </w:tbl>
    <w:p>
      <w:pPr>
        <w:pStyle w:val="Heading1"/>
        <w:pageBreakBefore/>
        <w:spacing w:after="240" w:before="0"/>
      </w:pPr>
      <w:r>
        <w:rPr>
          <w:rFonts w:ascii="Calibri" w:cs="Calibri" w:eastAsia="Calibri" w:hAnsi="Calibri"/>
          <w:b/>
          <w:bCs/>
          <w:color w:val="1F3864"/>
          <w:sz w:val="36"/>
          <w:szCs w:val="36"/>
        </w:rPr>
        <w:t xml:space="preserve">39. Payment Schedule &amp; Milestones</w:t>
      </w:r>
    </w:p>
    <w:p>
      <w:pPr>
        <w:spacing w:after="120" w:before="0"/>
      </w:pPr>
      <w:r>
        <w:rPr>
          <w:rFonts w:ascii="Calibri" w:cs="Calibri" w:eastAsia="Calibri" w:hAnsi="Calibri"/>
          <w:color w:val="1A1A1A"/>
          <w:sz w:val="20"/>
          <w:szCs w:val="20"/>
        </w:rPr>
        <w:t xml:space="preserve">Payments are tied to phase acceptance under Section 24. A milestone invoice is raised on the date acceptance is recorded — express or deemed — and is payable on Net 15 terms. Mobilisation is invoiced on counter-signature of this SOW. GST is added to every invoice at the rate applicable on the invoice date.</w:t>
      </w:r>
    </w:p>
    <w:p>
      <w:pPr>
        <w:pStyle w:val="Heading2"/>
        <w:spacing w:after="140" w:before="280"/>
      </w:pPr>
      <w:r>
        <w:rPr>
          <w:rFonts w:ascii="Calibri" w:cs="Calibri" w:eastAsia="Calibri" w:hAnsi="Calibri"/>
          <w:b/>
          <w:bCs/>
          <w:color w:val="1F3864"/>
          <w:sz w:val="28"/>
          <w:szCs w:val="28"/>
        </w:rPr>
        <w:t xml:space="preserve">39.1  Milestones (P1–P5, all in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000"/>
        <w:gridCol w:w="900"/>
        <w:gridCol w:w="19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Milestone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Amount (INR)</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M0</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Mobilisation advance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Counter-signature of this SOW</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1,75,000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M1</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1 acceptance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accepted under Section 24 (Novu Foundation)</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1,31,250</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M2</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2 acceptance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 accepted under Section 24 (PH workflows)</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1,57,500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M3</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3 acceptance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 accepted under Section 24 (INV+INS+OPS+REG+HI+MT)</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1,75,000</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M4</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4 acceptance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 accepted under Section 24 (Compliance + Observability)</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1,31,250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M5</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5 acceptance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 accepted under Section 24 (Custom Providers + Hardening + production cutover)</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1,05,000</w:t>
            </w:r>
          </w:p>
        </w:tc>
      </w:tr>
      <w:tr>
        <w:tc>
          <w:tcPr>
            <w:tcW w:type="dxa" w:w="7800"/>
            <w:gridSpan w:val="4"/>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 Core (P1–P5)</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 8,75,000</w:t>
            </w:r>
          </w:p>
        </w:tc>
      </w:tr>
    </w:tbl>
    <w:p>
      <w:pPr>
        <w:spacing w:after="100"/>
      </w:pPr>
      <w:r>
        <w:t xml:space="preserve"/>
      </w:r>
    </w:p>
    <w:p>
      <w:pPr>
        <w:spacing w:after="120" w:before="0"/>
      </w:pPr>
      <w:r>
        <w:rPr>
          <w:rFonts w:ascii="Calibri" w:cs="Calibri" w:eastAsia="Calibri" w:hAnsi="Calibri"/>
          <w:i/>
          <w:iCs/>
          <w:color w:val="808080"/>
          <w:sz w:val="18"/>
          <w:szCs w:val="18"/>
        </w:rPr>
        <w:t xml:space="preserve">Total of M0–M5 = 100% (20+15+18+20+15+12). Each milestone is invoiced separately on acceptance; payment is Net 15 from invoice receipt.</w:t>
      </w:r>
    </w:p>
    <w:p>
      <w:pPr>
        <w:pStyle w:val="Heading2"/>
        <w:spacing w:after="140" w:before="280"/>
      </w:pPr>
      <w:r>
        <w:rPr>
          <w:rFonts w:ascii="Calibri" w:cs="Calibri" w:eastAsia="Calibri" w:hAnsi="Calibri"/>
          <w:b/>
          <w:bCs/>
          <w:color w:val="1F3864"/>
          <w:sz w:val="28"/>
          <w:szCs w:val="28"/>
        </w:rPr>
        <w:t xml:space="preserve">39.2  Total contract value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900"/>
        <w:gridCol w:w="234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Component</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Amount (INR, ex-GST)</w:t>
            </w:r>
          </w:p>
        </w:tc>
        <w:tc>
          <w:tcPr>
            <w:tcW w:type="dxa" w:w="2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Including GST @ 18%</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Core (P1–P5, all in core)</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8,75,000</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10,32,500</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Estimated reimbursable expenses (cap)</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Pre-approved actuals only — see Section 40</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Total contract value</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8,75,000 (ex-GST)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10,32,500 (incl. GST)</w:t>
            </w:r>
          </w:p>
        </w:tc>
      </w:tr>
    </w:tbl>
    <w:p>
      <w:pPr>
        <w:pStyle w:val="Heading2"/>
        <w:spacing w:after="140" w:before="280"/>
      </w:pPr>
      <w:r>
        <w:rPr>
          <w:rFonts w:ascii="Calibri" w:cs="Calibri" w:eastAsia="Calibri" w:hAnsi="Calibri"/>
          <w:b/>
          <w:bCs/>
          <w:color w:val="1F3864"/>
          <w:sz w:val="28"/>
          <w:szCs w:val="28"/>
        </w:rPr>
        <w:t xml:space="preserve">39.3  Late payment, suspension, and disputed amounts</w:t>
      </w:r>
    </w:p>
    <w:p>
      <w:pPr>
        <w:pStyle w:val="ListParagraph"/>
        <w:numPr>
          <w:ilvl w:val="0"/>
          <w:numId w:val="2"/>
        </w:numPr>
        <w:spacing w:after="80"/>
      </w:pPr>
      <w:r>
        <w:rPr>
          <w:rFonts w:ascii="Calibri" w:cs="Calibri" w:eastAsia="Calibri" w:hAnsi="Calibri"/>
          <w:color w:val="1A1A1A"/>
          <w:sz w:val="20"/>
          <w:szCs w:val="20"/>
        </w:rPr>
        <w:t xml:space="preserve">Invoices are payable Net 15 from receipt. Receipt is presumed on the next business day after email transmission to the Client’s designated finance contact.</w:t>
      </w:r>
    </w:p>
    <w:p>
      <w:pPr>
        <w:pStyle w:val="ListParagraph"/>
        <w:numPr>
          <w:ilvl w:val="0"/>
          <w:numId w:val="2"/>
        </w:numPr>
        <w:spacing w:after="80"/>
      </w:pPr>
      <w:r>
        <w:rPr>
          <w:rFonts w:ascii="Calibri" w:cs="Calibri" w:eastAsia="Calibri" w:hAnsi="Calibri"/>
          <w:color w:val="1A1A1A"/>
          <w:sz w:val="20"/>
          <w:szCs w:val="20"/>
        </w:rPr>
        <w:t xml:space="preserve">Overdue amounts attract simple interest at 1.5% per month (or part thereof), accruing daily, from the original due date until paid. The Consultant may waive interest in writing; silence is not waiver.</w:t>
      </w:r>
    </w:p>
    <w:p>
      <w:pPr>
        <w:pStyle w:val="ListParagraph"/>
        <w:numPr>
          <w:ilvl w:val="0"/>
          <w:numId w:val="2"/>
        </w:numPr>
        <w:spacing w:after="80"/>
      </w:pPr>
      <w:r>
        <w:rPr>
          <w:rFonts w:ascii="Calibri" w:cs="Calibri" w:eastAsia="Calibri" w:hAnsi="Calibri"/>
          <w:color w:val="1A1A1A"/>
          <w:sz w:val="20"/>
          <w:szCs w:val="20"/>
        </w:rPr>
        <w:t xml:space="preserve">If any invoice remains unpaid for more than 30 calendar days after its due date, the Consultant may, on 7 calendar days’ written notice, suspend further work. Suspension does not constitute termination, does not relieve the Client of payment for accrued work, and extends every applicable phase SLA on a day-for-day basis.</w:t>
      </w:r>
    </w:p>
    <w:p>
      <w:pPr>
        <w:pStyle w:val="ListParagraph"/>
        <w:numPr>
          <w:ilvl w:val="0"/>
          <w:numId w:val="2"/>
        </w:numPr>
        <w:spacing w:after="80"/>
      </w:pPr>
      <w:r>
        <w:rPr>
          <w:rFonts w:ascii="Calibri" w:cs="Calibri" w:eastAsia="Calibri" w:hAnsi="Calibri"/>
          <w:color w:val="1A1A1A"/>
          <w:sz w:val="20"/>
          <w:szCs w:val="20"/>
        </w:rPr>
        <w:t xml:space="preserve">If the Client disputes any portion of an invoice in good faith, the Client must pay the undisputed portion on the original due date and notify the Consultant of the disputed portion in writing with specific reasons within 10 business days of invoice receipt. The disputed portion is held pending resolution under Section 50; failure to dispute within the 10-day window is deemed acceptance of the invoice.</w:t>
      </w:r>
    </w:p>
    <w:p>
      <w:pPr>
        <w:pStyle w:val="ListParagraph"/>
        <w:numPr>
          <w:ilvl w:val="0"/>
          <w:numId w:val="2"/>
        </w:numPr>
        <w:spacing w:after="80"/>
      </w:pPr>
      <w:r>
        <w:rPr>
          <w:rFonts w:ascii="Calibri" w:cs="Calibri" w:eastAsia="Calibri" w:hAnsi="Calibri"/>
          <w:color w:val="1A1A1A"/>
          <w:sz w:val="20"/>
          <w:szCs w:val="20"/>
        </w:rPr>
        <w:t xml:space="preserve">All charges, late fees and dispute mechanics survive termination of the engagement to the extent of work accrued before termination.</w:t>
      </w:r>
    </w:p>
    <w:p>
      <w:pPr>
        <w:pStyle w:val="Heading1"/>
        <w:pageBreakBefore/>
        <w:spacing w:after="240" w:before="0"/>
      </w:pPr>
      <w:r>
        <w:rPr>
          <w:rFonts w:ascii="Calibri" w:cs="Calibri" w:eastAsia="Calibri" w:hAnsi="Calibri"/>
          <w:b/>
          <w:bCs/>
          <w:color w:val="1F3864"/>
          <w:sz w:val="36"/>
          <w:szCs w:val="36"/>
        </w:rPr>
        <w:t xml:space="preserve">40. Invoicing, Taxes &amp; Out-of-Pocket Reimbursements</w:t>
      </w:r>
    </w:p>
    <w:p>
      <w:pPr>
        <w:pStyle w:val="Heading2"/>
        <w:spacing w:after="140" w:before="280"/>
      </w:pPr>
      <w:r>
        <w:rPr>
          <w:rFonts w:ascii="Calibri" w:cs="Calibri" w:eastAsia="Calibri" w:hAnsi="Calibri"/>
          <w:b/>
          <w:bCs/>
          <w:color w:val="1F3864"/>
          <w:sz w:val="28"/>
          <w:szCs w:val="28"/>
        </w:rPr>
        <w:t xml:space="preserve">40.1  Invoicing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Invoice format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GST-compliant tax invoice; PDF emailed to Client’s designated finance contact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Invoice contents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name, address, PAN, GSTIN; SOW reference (TPE-COMMS-SOW-2026-001); milestone reference; consultant-day count; HSN/SAC code; CGST/SGST/IGST split; total amount; payment instructions; due date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Issue cadence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Milestone invoices on acceptance (Section 24); change-order invoices monthly in arrears; reimbursable invoices monthly in arrears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Currency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only</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Designated finance contact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to insert] — without this address, invoice receipt is on transmission to Client Sponsor</w:t>
            </w:r>
          </w:p>
        </w:tc>
      </w:tr>
    </w:tbl>
    <w:p>
      <w:pPr>
        <w:pStyle w:val="Heading2"/>
        <w:spacing w:after="140" w:before="280"/>
      </w:pPr>
      <w:r>
        <w:rPr>
          <w:rFonts w:ascii="Calibri" w:cs="Calibri" w:eastAsia="Calibri" w:hAnsi="Calibri"/>
          <w:b/>
          <w:bCs/>
          <w:color w:val="1F3864"/>
          <w:sz w:val="28"/>
          <w:szCs w:val="28"/>
        </w:rPr>
        <w:t xml:space="preserve">40.2  Taxes</w:t>
      </w:r>
    </w:p>
    <w:p>
      <w:pPr>
        <w:pStyle w:val="ListParagraph"/>
        <w:numPr>
          <w:ilvl w:val="0"/>
          <w:numId w:val="2"/>
        </w:numPr>
        <w:spacing w:after="80"/>
      </w:pPr>
      <w:r>
        <w:rPr>
          <w:rFonts w:ascii="Calibri" w:cs="Calibri" w:eastAsia="Calibri" w:hAnsi="Calibri"/>
          <w:color w:val="1A1A1A"/>
          <w:sz w:val="20"/>
          <w:szCs w:val="20"/>
        </w:rPr>
        <w:t xml:space="preserve">All amounts in this SOW are exclusive of GST and any statutory taxes. The Consultant adds GST at the applicable rate (currently 18% under SAC 998313 for IT consulting, subject to GST Council revisions) on every invoice.</w:t>
      </w:r>
    </w:p>
    <w:p>
      <w:pPr>
        <w:pStyle w:val="ListParagraph"/>
        <w:numPr>
          <w:ilvl w:val="0"/>
          <w:numId w:val="2"/>
        </w:numPr>
        <w:spacing w:after="80"/>
      </w:pPr>
      <w:r>
        <w:rPr>
          <w:rFonts w:ascii="Calibri" w:cs="Calibri" w:eastAsia="Calibri" w:hAnsi="Calibri"/>
          <w:color w:val="1A1A1A"/>
          <w:sz w:val="20"/>
          <w:szCs w:val="20"/>
        </w:rPr>
        <w:t xml:space="preserve">The Client deducts Tax Deducted at Source (TDS) at the applicable rate on each invoice as required under the Income Tax Act, 1961. The Client issues TDS certificates (Form 16A) on a quarterly basis within statutory timelines.</w:t>
      </w:r>
    </w:p>
    <w:p>
      <w:pPr>
        <w:pStyle w:val="ListParagraph"/>
        <w:numPr>
          <w:ilvl w:val="0"/>
          <w:numId w:val="2"/>
        </w:numPr>
        <w:spacing w:after="80"/>
      </w:pPr>
      <w:r>
        <w:rPr>
          <w:rFonts w:ascii="Calibri" w:cs="Calibri" w:eastAsia="Calibri" w:hAnsi="Calibri"/>
          <w:color w:val="1A1A1A"/>
          <w:sz w:val="20"/>
          <w:szCs w:val="20"/>
        </w:rPr>
        <w:t xml:space="preserve">Each Party bears its own income tax obligations. Nothing in this SOW transfers any tax liability between the Parties.</w:t>
      </w:r>
    </w:p>
    <w:p>
      <w:pPr>
        <w:pStyle w:val="ListParagraph"/>
        <w:numPr>
          <w:ilvl w:val="0"/>
          <w:numId w:val="2"/>
        </w:numPr>
        <w:spacing w:after="80"/>
      </w:pPr>
      <w:r>
        <w:rPr>
          <w:rFonts w:ascii="Calibri" w:cs="Calibri" w:eastAsia="Calibri" w:hAnsi="Calibri"/>
          <w:color w:val="1A1A1A"/>
          <w:sz w:val="20"/>
          <w:szCs w:val="20"/>
        </w:rPr>
        <w:t xml:space="preserve">If GST law changes after signing such that the rate, classification or place-of-supply rules differ, the Parties act in good faith to align invoicing without altering the net amount due to the Consultant.</w:t>
      </w:r>
    </w:p>
    <w:p>
      <w:pPr>
        <w:pStyle w:val="Heading2"/>
        <w:spacing w:after="140" w:before="280"/>
      </w:pPr>
      <w:r>
        <w:rPr>
          <w:rFonts w:ascii="Calibri" w:cs="Calibri" w:eastAsia="Calibri" w:hAnsi="Calibri"/>
          <w:b/>
          <w:bCs/>
          <w:color w:val="1F3864"/>
          <w:sz w:val="28"/>
          <w:szCs w:val="28"/>
        </w:rPr>
        <w:t xml:space="preserve">40.3  Out-of-pocket reimbursements</w:t>
      </w:r>
    </w:p>
    <w:p>
      <w:pPr>
        <w:spacing w:after="120" w:before="0"/>
      </w:pPr>
      <w:r>
        <w:rPr>
          <w:rFonts w:ascii="Calibri" w:cs="Calibri" w:eastAsia="Calibri" w:hAnsi="Calibri"/>
          <w:color w:val="1A1A1A"/>
          <w:sz w:val="20"/>
          <w:szCs w:val="20"/>
        </w:rPr>
        <w:t xml:space="preserve">The engagement is delivered remotely by default. Where the Client requests on-site presence, the costs below are reimbursable on production of receipts and pre-approval. Reimbursements are charged at actuals; the Consultant adds no markup.</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5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Category</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Treatment</w:t>
            </w:r>
          </w:p>
        </w:tc>
        <w:tc>
          <w:tcPr>
            <w:tcW w:type="dxa" w:w="2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Cap / norm</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Travel — air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Economy class within India; pre-approved</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Lowest fare on direct route within ± 4h of preferred slot</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Travel — rail</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 2-tier or AC chair car; pre-approved</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Local transport</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Cab / metro at actuals</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ride-hail receipts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Hotel</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Business-class equivalent; pre-approved</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6,500 per night excluding GST (norm; Client may approve higher for tier-1 metros)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diem (meals + incidentals)</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Flat rate when traveling</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1,500 per day; no receipts required up to cap</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Communication / tools</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Not separately reimbursed</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Included in day rate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Software licences purchased on Client’s behalf</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At cost; Client to take direct title where possible</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Pre-approval required</w:t>
            </w:r>
          </w:p>
        </w:tc>
      </w:tr>
    </w:tbl>
    <w:p>
      <w:pPr>
        <w:pStyle w:val="Heading2"/>
        <w:spacing w:after="140" w:before="280"/>
      </w:pPr>
      <w:r>
        <w:rPr>
          <w:rFonts w:ascii="Calibri" w:cs="Calibri" w:eastAsia="Calibri" w:hAnsi="Calibri"/>
          <w:b/>
          <w:bCs/>
          <w:color w:val="1F3864"/>
          <w:sz w:val="28"/>
          <w:szCs w:val="28"/>
        </w:rPr>
        <w:t xml:space="preserve">40.4  Pre-approval and audit</w:t>
      </w:r>
    </w:p>
    <w:p>
      <w:pPr>
        <w:pStyle w:val="ListParagraph"/>
        <w:numPr>
          <w:ilvl w:val="0"/>
          <w:numId w:val="2"/>
        </w:numPr>
        <w:spacing w:after="80"/>
      </w:pPr>
      <w:r>
        <w:rPr>
          <w:rFonts w:ascii="Calibri" w:cs="Calibri" w:eastAsia="Calibri" w:hAnsi="Calibri"/>
          <w:color w:val="1A1A1A"/>
          <w:sz w:val="20"/>
          <w:szCs w:val="20"/>
        </w:rPr>
        <w:t xml:space="preserve">Reimbursable items above INR 5,000 require Client written pre-approval (email is sufficient). Items below this threshold may be approved retrospectively at the next reimbursement cycle.</w:t>
      </w:r>
    </w:p>
    <w:p>
      <w:pPr>
        <w:pStyle w:val="ListParagraph"/>
        <w:numPr>
          <w:ilvl w:val="0"/>
          <w:numId w:val="2"/>
        </w:numPr>
        <w:spacing w:after="80"/>
      </w:pPr>
      <w:r>
        <w:rPr>
          <w:rFonts w:ascii="Calibri" w:cs="Calibri" w:eastAsia="Calibri" w:hAnsi="Calibri"/>
          <w:color w:val="1A1A1A"/>
          <w:sz w:val="20"/>
          <w:szCs w:val="20"/>
        </w:rPr>
        <w:t xml:space="preserve">Reimbursable invoices are submitted monthly with copies of underlying receipts. The Client may audit reimbursable expenses for a period of 12 months from invoice date and dispute documented errors per Section 39.4.</w:t>
      </w:r>
    </w:p>
    <w:p>
      <w:pPr>
        <w:pStyle w:val="ListParagraph"/>
        <w:numPr>
          <w:ilvl w:val="0"/>
          <w:numId w:val="2"/>
        </w:numPr>
        <w:spacing w:after="80"/>
      </w:pPr>
      <w:r>
        <w:rPr>
          <w:rFonts w:ascii="Calibri" w:cs="Calibri" w:eastAsia="Calibri" w:hAnsi="Calibri"/>
          <w:color w:val="1A1A1A"/>
          <w:sz w:val="20"/>
          <w:szCs w:val="20"/>
        </w:rPr>
        <w:t xml:space="preserve">The Consultant maintains expense records for 7 years per the Income Tax Act.</w:t>
      </w:r>
    </w:p>
    <w:p>
      <w:pPr>
        <w:pStyle w:val="Heading1"/>
        <w:pageBreakBefore/>
        <w:spacing w:after="240" w:before="0"/>
      </w:pPr>
      <w:r>
        <w:rPr>
          <w:rFonts w:ascii="Calibri" w:cs="Calibri" w:eastAsia="Calibri" w:hAnsi="Calibri"/>
          <w:b/>
          <w:bCs/>
          <w:color w:val="1F3864"/>
          <w:sz w:val="36"/>
          <w:szCs w:val="36"/>
        </w:rPr>
        <w:t xml:space="preserve">41. Change Orders &amp; Rate Card</w:t>
      </w:r>
    </w:p>
    <w:p>
      <w:pPr>
        <w:spacing w:after="120" w:before="0"/>
      </w:pPr>
      <w:r>
        <w:rPr>
          <w:rFonts w:ascii="Calibri" w:cs="Calibri" w:eastAsia="Calibri" w:hAnsi="Calibri"/>
          <w:color w:val="1A1A1A"/>
          <w:sz w:val="20"/>
          <w:szCs w:val="20"/>
        </w:rPr>
        <w:t xml:space="preserve">Where a change request under Section 27 is classified as Material or Critical, or where work falls outside the scope defined in Section 11, a Change Order is raised. Change Orders are charged at the rate card below, billed monthly in arrears, and follow the same payment terms as milestone invoices.</w:t>
      </w:r>
    </w:p>
    <w:p>
      <w:pPr>
        <w:pStyle w:val="Heading2"/>
        <w:spacing w:after="140" w:before="280"/>
      </w:pPr>
      <w:r>
        <w:rPr>
          <w:rFonts w:ascii="Calibri" w:cs="Calibri" w:eastAsia="Calibri" w:hAnsi="Calibri"/>
          <w:b/>
          <w:bCs/>
          <w:color w:val="1F3864"/>
          <w:sz w:val="28"/>
          <w:szCs w:val="28"/>
        </w:rPr>
        <w:t xml:space="preserve">41.1  Rate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84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Service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Unit</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Rate (INR, ex-GST)</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Principal Engineer / Solution Architect (Consultant — Engagement Lead)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consultant-day</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35,000</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Half-day engagement (minimum chargeable unit)</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half-day</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20,000</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Out-of-hours work (after 19:00 IST or weekends), pre-approved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consultant-day</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52,500 (1.5×)</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Public holiday work (India), pre-approved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consultant-day</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70,000 (2×)</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retainer (post-implementation, beyond first quarter)</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quarter</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1,75,000 (5 days)</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Ad-hoc advisory (single-session, scoped)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session up to 2h</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10,000</w:t>
            </w:r>
          </w:p>
        </w:tc>
      </w:tr>
    </w:tbl>
    <w:p>
      <w:pPr>
        <w:pStyle w:val="Heading2"/>
        <w:spacing w:after="140" w:before="280"/>
      </w:pPr>
      <w:r>
        <w:rPr>
          <w:rFonts w:ascii="Calibri" w:cs="Calibri" w:eastAsia="Calibri" w:hAnsi="Calibri"/>
          <w:b/>
          <w:bCs/>
          <w:color w:val="1F3864"/>
          <w:sz w:val="28"/>
          <w:szCs w:val="28"/>
        </w:rPr>
        <w:t xml:space="preserve">41.2  Change Order procedure</w:t>
      </w:r>
    </w:p>
    <w:p>
      <w:pPr>
        <w:pStyle w:val="ListParagraph"/>
        <w:numPr>
          <w:ilvl w:val="0"/>
          <w:numId w:val="2"/>
        </w:numPr>
        <w:spacing w:after="80"/>
      </w:pPr>
      <w:r>
        <w:rPr>
          <w:rFonts w:ascii="Calibri" w:cs="Calibri" w:eastAsia="Calibri" w:hAnsi="Calibri"/>
          <w:color w:val="1A1A1A"/>
          <w:sz w:val="20"/>
          <w:szCs w:val="20"/>
        </w:rPr>
        <w:t xml:space="preserve">A Change Order is a written instrument that references this SOW, describes the change, states the effort estimate, the cost, and any timeline impact. It is signed by the Client Sponsor (or delegate) and the Consultant before work begins.</w:t>
      </w:r>
    </w:p>
    <w:p>
      <w:pPr>
        <w:pStyle w:val="ListParagraph"/>
        <w:numPr>
          <w:ilvl w:val="0"/>
          <w:numId w:val="2"/>
        </w:numPr>
        <w:spacing w:after="80"/>
      </w:pPr>
      <w:r>
        <w:rPr>
          <w:rFonts w:ascii="Calibri" w:cs="Calibri" w:eastAsia="Calibri" w:hAnsi="Calibri"/>
          <w:color w:val="1A1A1A"/>
          <w:sz w:val="20"/>
          <w:szCs w:val="20"/>
        </w:rPr>
        <w:t xml:space="preserve">Effort estimates on Change Orders are best-effort; if actual effort exceeds estimate by more than 25%, the Consultant must notify the Client and obtain written authorisation before continuing — failure to notify caps charges at the original estimate plus 25%.</w:t>
      </w:r>
    </w:p>
    <w:p>
      <w:pPr>
        <w:pStyle w:val="ListParagraph"/>
        <w:numPr>
          <w:ilvl w:val="0"/>
          <w:numId w:val="2"/>
        </w:numPr>
        <w:spacing w:after="80"/>
      </w:pPr>
      <w:r>
        <w:rPr>
          <w:rFonts w:ascii="Calibri" w:cs="Calibri" w:eastAsia="Calibri" w:hAnsi="Calibri"/>
          <w:color w:val="1A1A1A"/>
          <w:sz w:val="20"/>
          <w:szCs w:val="20"/>
        </w:rPr>
        <w:t xml:space="preserve">Change Orders are billed monthly in arrears at the rates above. They do not extend the original SOW automatically — every Change Order has its own start date, scope and end date.</w:t>
      </w:r>
    </w:p>
    <w:p>
      <w:pPr>
        <w:pStyle w:val="ListParagraph"/>
        <w:numPr>
          <w:ilvl w:val="0"/>
          <w:numId w:val="2"/>
        </w:numPr>
        <w:spacing w:after="80"/>
      </w:pPr>
      <w:r>
        <w:rPr>
          <w:rFonts w:ascii="Calibri" w:cs="Calibri" w:eastAsia="Calibri" w:hAnsi="Calibri"/>
          <w:color w:val="1A1A1A"/>
          <w:sz w:val="20"/>
          <w:szCs w:val="20"/>
        </w:rPr>
        <w:t xml:space="preserve">Reimbursable expenses on Change Orders follow Section 40.3.</w:t>
      </w:r>
    </w:p>
    <w:p>
      <w:pPr>
        <w:pageBreakBefore/>
        <w:spacing w:after="200" w:before="4000"/>
        <w:jc w:val="center"/>
      </w:pPr>
      <w:r>
        <w:rPr>
          <w:rFonts w:ascii="Calibri" w:cs="Calibri" w:eastAsia="Calibri" w:hAnsi="Calibri"/>
          <w:b/>
          <w:bCs/>
          <w:caps/>
          <w:color w:val="808080"/>
          <w:sz w:val="22"/>
          <w:szCs w:val="22"/>
        </w:rPr>
        <w:t xml:space="preserve">Part XII</w:t>
      </w:r>
    </w:p>
    <w:p>
      <w:pPr>
        <w:spacing w:after="1600" w:before="0"/>
        <w:jc w:val="center"/>
      </w:pPr>
      <w:r>
        <w:rPr>
          <w:rFonts w:ascii="Calibri" w:cs="Calibri" w:eastAsia="Calibri" w:hAnsi="Calibri"/>
          <w:b/>
          <w:bCs/>
          <w:color w:val="1F3864"/>
          <w:sz w:val="56"/>
          <w:szCs w:val="56"/>
        </w:rPr>
        <w:t xml:space="preserve">Legal &amp; Contract Terms</w:t>
      </w:r>
    </w:p>
    <w:p>
      <w:pPr>
        <w:pStyle w:val="Heading1"/>
        <w:pageBreakBefore/>
        <w:spacing w:after="240" w:before="0"/>
      </w:pPr>
      <w:r>
        <w:rPr>
          <w:rFonts w:ascii="Calibri" w:cs="Calibri" w:eastAsia="Calibri" w:hAnsi="Calibri"/>
          <w:b/>
          <w:bCs/>
          <w:color w:val="1F3864"/>
          <w:sz w:val="36"/>
          <w:szCs w:val="36"/>
        </w:rPr>
        <w:t xml:space="preserve">42. Warranty &amp; Service Standards</w:t>
      </w:r>
    </w:p>
    <w:p>
      <w:pPr>
        <w:spacing w:after="120" w:before="0"/>
      </w:pPr>
      <w:r>
        <w:rPr>
          <w:rFonts w:ascii="Calibri" w:cs="Calibri" w:eastAsia="Calibri" w:hAnsi="Calibri"/>
          <w:color w:val="1A1A1A"/>
          <w:sz w:val="20"/>
          <w:szCs w:val="20"/>
        </w:rPr>
        <w:t xml:space="preserve">The Consultant warrants the standard of services and the period during which defects will be remedied at no charge. Beyond these warranties, no other warranty — express or implied — is given. This section does not limit any non-excludable consumer or statutory protection.</w:t>
      </w:r>
    </w:p>
    <w:p>
      <w:pPr>
        <w:pStyle w:val="Heading2"/>
        <w:spacing w:after="140" w:before="280"/>
      </w:pPr>
      <w:r>
        <w:rPr>
          <w:rFonts w:ascii="Calibri" w:cs="Calibri" w:eastAsia="Calibri" w:hAnsi="Calibri"/>
          <w:b/>
          <w:bCs/>
          <w:color w:val="1F3864"/>
          <w:sz w:val="28"/>
          <w:szCs w:val="28"/>
        </w:rPr>
        <w:t xml:space="preserve">42.1  Service standard</w:t>
      </w:r>
    </w:p>
    <w:p>
      <w:pPr>
        <w:spacing w:after="120" w:before="0"/>
      </w:pPr>
      <w:r>
        <w:rPr>
          <w:rFonts w:ascii="Calibri" w:cs="Calibri" w:eastAsia="Calibri" w:hAnsi="Calibri"/>
          <w:color w:val="1A1A1A"/>
          <w:sz w:val="20"/>
          <w:szCs w:val="20"/>
        </w:rPr>
        <w:t xml:space="preserve">The Consultant warrants that the services under this SOW will be performed in a workmanlike, professional manner, using personnel with the skill and experience reasonably required for engagements of this nature, and consistent with industry-standard practice for BFSI consulting in India.</w:t>
      </w:r>
    </w:p>
    <w:p>
      <w:pPr>
        <w:pStyle w:val="Heading2"/>
        <w:spacing w:after="140" w:before="280"/>
      </w:pPr>
      <w:r>
        <w:rPr>
          <w:rFonts w:ascii="Calibri" w:cs="Calibri" w:eastAsia="Calibri" w:hAnsi="Calibri"/>
          <w:b/>
          <w:bCs/>
          <w:color w:val="1F3864"/>
          <w:sz w:val="28"/>
          <w:szCs w:val="28"/>
        </w:rPr>
        <w:t xml:space="preserve">42.2  Re-performance warranty</w:t>
      </w:r>
    </w:p>
    <w:p>
      <w:pPr>
        <w:spacing w:after="120" w:before="0"/>
      </w:pPr>
      <w:r>
        <w:rPr>
          <w:rFonts w:ascii="Calibri" w:cs="Calibri" w:eastAsia="Calibri" w:hAnsi="Calibri"/>
          <w:color w:val="1A1A1A"/>
          <w:sz w:val="20"/>
          <w:szCs w:val="20"/>
        </w:rPr>
        <w:t xml:space="preserve">If, within 90 calendar days from acceptance of any deliverable under Section 24, the Client demonstrates that the deliverable materially fails to meet the acceptance criteria (Section 24.1) and the failure was not caused by Client modification or use outside agreed parameters, the Consultant will, at the Consultant’s option and at no additional charge, re-perform or remedy the deliverable. Re-performance is the Client’s sole and exclusive remedy under this warranty.</w:t>
      </w:r>
    </w:p>
    <w:p>
      <w:pPr>
        <w:pStyle w:val="Heading2"/>
        <w:spacing w:after="140" w:before="280"/>
      </w:pPr>
      <w:r>
        <w:rPr>
          <w:rFonts w:ascii="Calibri" w:cs="Calibri" w:eastAsia="Calibri" w:hAnsi="Calibri"/>
          <w:b/>
          <w:bCs/>
          <w:color w:val="1F3864"/>
          <w:sz w:val="28"/>
          <w:szCs w:val="28"/>
        </w:rPr>
        <w:t xml:space="preserve">42.3  Disclaimer</w:t>
      </w:r>
    </w:p>
    <w:p>
      <w:pPr>
        <w:spacing w:after="120" w:before="0"/>
      </w:pPr>
      <w:r>
        <w:rPr>
          <w:rFonts w:ascii="Calibri" w:cs="Calibri" w:eastAsia="Calibri" w:hAnsi="Calibri"/>
          <w:color w:val="1A1A1A"/>
          <w:sz w:val="20"/>
          <w:szCs w:val="20"/>
        </w:rPr>
        <w:t xml:space="preserve">Except for the warranties expressly stated in this Section 42 and any non-excludable warranty implied by law, the Consultant disclaims all other warranties, conditions, representations and terms — whether express, implied, statutory or otherwise — including any warranty of merchantability, fitness for a particular purpose, non-infringement, or that the deliverables will be uninterrupted, error-free or secure against unauthorised access. The Client acknowledges that the deliverables are tools that depend on Client data, Client systems, third-party providers and regulatory frameworks not within the Consultant’s control.</w:t>
      </w:r>
    </w:p>
    <w:p>
      <w:pPr>
        <w:pStyle w:val="Heading1"/>
        <w:pageBreakBefore/>
        <w:spacing w:after="240" w:before="0"/>
      </w:pPr>
      <w:r>
        <w:rPr>
          <w:rFonts w:ascii="Calibri" w:cs="Calibri" w:eastAsia="Calibri" w:hAnsi="Calibri"/>
          <w:b/>
          <w:bCs/>
          <w:color w:val="1F3864"/>
          <w:sz w:val="36"/>
          <w:szCs w:val="36"/>
        </w:rPr>
        <w:t xml:space="preserve">43. Limitation of Liability</w:t>
      </w:r>
    </w:p>
    <w:p>
      <w:pPr>
        <w:spacing w:after="120" w:before="0"/>
      </w:pPr>
      <w:r>
        <w:rPr>
          <w:rFonts w:ascii="Calibri" w:cs="Calibri" w:eastAsia="Calibri" w:hAnsi="Calibri"/>
          <w:color w:val="1A1A1A"/>
          <w:sz w:val="20"/>
          <w:szCs w:val="20"/>
        </w:rPr>
        <w:t xml:space="preserve">This Section is a fundamental basis on which the Consultant has agreed the charges in Part XI. Without these limits, the charges would be materially higher. Any provision of this Section deemed unenforceable is to be construed to the maximum extent permissible by law.</w:t>
      </w:r>
    </w:p>
    <w:p>
      <w:pPr>
        <w:pStyle w:val="Heading2"/>
        <w:spacing w:after="140" w:before="280"/>
      </w:pPr>
      <w:r>
        <w:rPr>
          <w:rFonts w:ascii="Calibri" w:cs="Calibri" w:eastAsia="Calibri" w:hAnsi="Calibri"/>
          <w:b/>
          <w:bCs/>
          <w:color w:val="1F3864"/>
          <w:sz w:val="28"/>
          <w:szCs w:val="28"/>
        </w:rPr>
        <w:t xml:space="preserve">43.1  Aggregate cap</w:t>
      </w:r>
    </w:p>
    <w:p>
      <w:pPr>
        <w:spacing w:after="120" w:before="0"/>
      </w:pPr>
      <w:r>
        <w:rPr>
          <w:rFonts w:ascii="Calibri" w:cs="Calibri" w:eastAsia="Calibri" w:hAnsi="Calibri"/>
          <w:color w:val="1A1A1A"/>
          <w:sz w:val="20"/>
          <w:szCs w:val="20"/>
        </w:rPr>
        <w:t xml:space="preserve">Each Party’s aggregate liability arising out of or in connection with this SOW — whether in contract, tort (including negligence), under statute, or on any other basis — is capped at the total fees paid by the Client to the Consultant under this SOW in the twelve (12) months immediately preceding the event giving rise to the claim. Where the engagement has been in effect for less than twelve months, the cap is the total fees paid to date.</w:t>
      </w:r>
    </w:p>
    <w:p>
      <w:pPr>
        <w:pStyle w:val="Heading2"/>
        <w:spacing w:after="140" w:before="280"/>
      </w:pPr>
      <w:r>
        <w:rPr>
          <w:rFonts w:ascii="Calibri" w:cs="Calibri" w:eastAsia="Calibri" w:hAnsi="Calibri"/>
          <w:b/>
          <w:bCs/>
          <w:color w:val="1F3864"/>
          <w:sz w:val="28"/>
          <w:szCs w:val="28"/>
        </w:rPr>
        <w:t xml:space="preserve">43.2  Exclusion of indirect damages</w:t>
      </w:r>
    </w:p>
    <w:p>
      <w:pPr>
        <w:spacing w:after="120" w:before="0"/>
      </w:pPr>
      <w:r>
        <w:rPr>
          <w:rFonts w:ascii="Calibri" w:cs="Calibri" w:eastAsia="Calibri" w:hAnsi="Calibri"/>
          <w:color w:val="1A1A1A"/>
          <w:sz w:val="20"/>
          <w:szCs w:val="20"/>
        </w:rPr>
        <w:t xml:space="preserve">Neither Party is liable to the other for any indirect, incidental, special, consequential, exemplary or punitive damages, or for any loss of profits, loss of revenue, loss of business, loss of goodwill, loss of opportunity, loss of anticipated savings, loss of data, or cost of substitute services — whether or not the Party has been advised of the possibility of such damages — arising out of or in connection with this SOW.</w:t>
      </w:r>
    </w:p>
    <w:p>
      <w:pPr>
        <w:pStyle w:val="Heading2"/>
        <w:spacing w:after="140" w:before="280"/>
      </w:pPr>
      <w:r>
        <w:rPr>
          <w:rFonts w:ascii="Calibri" w:cs="Calibri" w:eastAsia="Calibri" w:hAnsi="Calibri"/>
          <w:b/>
          <w:bCs/>
          <w:color w:val="1F3864"/>
          <w:sz w:val="28"/>
          <w:szCs w:val="28"/>
        </w:rPr>
        <w:t xml:space="preserve">43.3  Exceptions</w:t>
      </w:r>
    </w:p>
    <w:p>
      <w:pPr>
        <w:spacing w:after="120" w:before="0"/>
      </w:pPr>
      <w:r>
        <w:rPr>
          <w:rFonts w:ascii="Calibri" w:cs="Calibri" w:eastAsia="Calibri" w:hAnsi="Calibri"/>
          <w:color w:val="1A1A1A"/>
          <w:sz w:val="20"/>
          <w:szCs w:val="20"/>
        </w:rPr>
        <w:t xml:space="preserve">The cap and exclusion in Sections 43.1 and 43.2 do not apply to: (a) breach of confidentiality obligations under Section 47; (b) infringement by either Party of the other’s intellectual property; (c) gross negligence, fraud or wilful misconduct; (d) liability that cannot be limited or excluded under applicable law; or (e) the Client’s obligation to pay charges due and undisputed under Part XI.</w:t>
      </w:r>
    </w:p>
    <w:p>
      <w:pPr>
        <w:pStyle w:val="Heading2"/>
        <w:spacing w:after="140" w:before="280"/>
      </w:pPr>
      <w:r>
        <w:rPr>
          <w:rFonts w:ascii="Calibri" w:cs="Calibri" w:eastAsia="Calibri" w:hAnsi="Calibri"/>
          <w:b/>
          <w:bCs/>
          <w:color w:val="1F3864"/>
          <w:sz w:val="28"/>
          <w:szCs w:val="28"/>
        </w:rPr>
        <w:t xml:space="preserve">43.4  Allocation of risk</w:t>
      </w:r>
    </w:p>
    <w:p>
      <w:pPr>
        <w:spacing w:after="120" w:before="0"/>
      </w:pPr>
      <w:r>
        <w:rPr>
          <w:rFonts w:ascii="Calibri" w:cs="Calibri" w:eastAsia="Calibri" w:hAnsi="Calibri"/>
          <w:color w:val="1A1A1A"/>
          <w:sz w:val="20"/>
          <w:szCs w:val="20"/>
        </w:rPr>
        <w:t xml:space="preserve">The Parties acknowledge that the limits in this Section reflect a deliberate allocation of risk consistent with the charges agreed and the scope of the engagement. Each Party has had the opportunity to obtain independent legal advice on this allocation.</w:t>
      </w:r>
    </w:p>
    <w:p>
      <w:pPr>
        <w:pStyle w:val="Heading1"/>
        <w:pageBreakBefore/>
        <w:spacing w:after="240" w:before="0"/>
      </w:pPr>
      <w:r>
        <w:rPr>
          <w:rFonts w:ascii="Calibri" w:cs="Calibri" w:eastAsia="Calibri" w:hAnsi="Calibri"/>
          <w:b/>
          <w:bCs/>
          <w:color w:val="1F3864"/>
          <w:sz w:val="36"/>
          <w:szCs w:val="36"/>
        </w:rPr>
        <w:t xml:space="preserve">44. Indemnification</w:t>
      </w:r>
    </w:p>
    <w:p>
      <w:pPr>
        <w:spacing w:after="120" w:before="0"/>
      </w:pPr>
      <w:r>
        <w:rPr>
          <w:rFonts w:ascii="Calibri" w:cs="Calibri" w:eastAsia="Calibri" w:hAnsi="Calibri"/>
          <w:color w:val="1A1A1A"/>
          <w:sz w:val="20"/>
          <w:szCs w:val="20"/>
        </w:rPr>
        <w:t xml:space="preserve">Each Party indemnifies the other against specified third-party claims as set out below. Indemnification is the indemnified Party’s sole remedy for the matters covered.</w:t>
      </w:r>
    </w:p>
    <w:p>
      <w:pPr>
        <w:pStyle w:val="Heading2"/>
        <w:spacing w:after="140" w:before="280"/>
      </w:pPr>
      <w:r>
        <w:rPr>
          <w:rFonts w:ascii="Calibri" w:cs="Calibri" w:eastAsia="Calibri" w:hAnsi="Calibri"/>
          <w:b/>
          <w:bCs/>
          <w:color w:val="1F3864"/>
          <w:sz w:val="28"/>
          <w:szCs w:val="28"/>
        </w:rPr>
        <w:t xml:space="preserve">44.1  Consultant indemnity — IP infringement</w:t>
      </w:r>
    </w:p>
    <w:p>
      <w:pPr>
        <w:spacing w:after="120" w:before="0"/>
      </w:pPr>
      <w:r>
        <w:rPr>
          <w:rFonts w:ascii="Calibri" w:cs="Calibri" w:eastAsia="Calibri" w:hAnsi="Calibri"/>
          <w:color w:val="1A1A1A"/>
          <w:sz w:val="20"/>
          <w:szCs w:val="20"/>
        </w:rPr>
        <w:t xml:space="preserve">The Consultant will defend the Client against any third-party claim that the deliverables produced under this SOW, when used by the Client as contemplated in this SOW, infringe the copyright, trademark, registered design, or trade secret of that third party in India, and will pay any damages and costs finally awarded against the Client by a court of competent jurisdiction (or paid in settlement approved by the Consultant). The Consultant’s obligation under this Section 44.1 is conditional on the Client (i) notifying the Consultant in writing within 10 business days of becoming aware of the claim; (ii) giving the Consultant sole control of the defence and any settlement; and (iii) providing reasonable cooperation.</w:t>
      </w:r>
    </w:p>
    <w:p>
      <w:pPr>
        <w:spacing w:after="120" w:before="0"/>
      </w:pPr>
      <w:r>
        <w:rPr>
          <w:rFonts w:ascii="Calibri" w:cs="Calibri" w:eastAsia="Calibri" w:hAnsi="Calibri"/>
          <w:color w:val="1A1A1A"/>
          <w:sz w:val="20"/>
          <w:szCs w:val="20"/>
        </w:rPr>
        <w:t xml:space="preserve">If a claim is made or, in the Consultant’s reasonable opinion, is likely to be made, the Consultant may, at its option: (a) procure the right for the Client to continue to use the deliverable; (b) replace or modify the deliverable to be non-infringing while preserving its functional equivalence; or (c) accept return of the deliverable and refund the corresponding portion of fees paid. The remedies in this Section 44.1 are the Client’s sole and exclusive remedies for any IP infringement claim.</w:t>
      </w:r>
    </w:p>
    <w:p>
      <w:pPr>
        <w:pStyle w:val="Heading2"/>
        <w:spacing w:after="140" w:before="280"/>
      </w:pPr>
      <w:r>
        <w:rPr>
          <w:rFonts w:ascii="Calibri" w:cs="Calibri" w:eastAsia="Calibri" w:hAnsi="Calibri"/>
          <w:b/>
          <w:bCs/>
          <w:color w:val="1F3864"/>
          <w:sz w:val="28"/>
          <w:szCs w:val="28"/>
        </w:rPr>
        <w:t xml:space="preserve">44.2  Consultant indemnity exclusions</w:t>
      </w:r>
    </w:p>
    <w:p>
      <w:pPr>
        <w:spacing w:after="120" w:before="0"/>
      </w:pPr>
      <w:r>
        <w:rPr>
          <w:rFonts w:ascii="Calibri" w:cs="Calibri" w:eastAsia="Calibri" w:hAnsi="Calibri"/>
          <w:color w:val="1A1A1A"/>
          <w:sz w:val="20"/>
          <w:szCs w:val="20"/>
        </w:rPr>
        <w:t xml:space="preserve">The Consultant has no obligation under Section 44.1 to the extent a claim arises from: (a) Client modification of the deliverable not authorised by the Consultant; (b) Client combination of the deliverable with software, data or processes not supplied by the Consultant where the claim would not have arisen but for the combination; (c) Client use outside the scope contemplated in this SOW; (d) Client failure to implement an updated, non-infringing version made available by the Consultant; or (e) materials, content, brand assets or templates supplied by the Client to the Consultant.</w:t>
      </w:r>
    </w:p>
    <w:p>
      <w:pPr>
        <w:pStyle w:val="Heading2"/>
        <w:spacing w:after="140" w:before="280"/>
      </w:pPr>
      <w:r>
        <w:rPr>
          <w:rFonts w:ascii="Calibri" w:cs="Calibri" w:eastAsia="Calibri" w:hAnsi="Calibri"/>
          <w:b/>
          <w:bCs/>
          <w:color w:val="1F3864"/>
          <w:sz w:val="28"/>
          <w:szCs w:val="28"/>
        </w:rPr>
        <w:t xml:space="preserve">44.3  Client indemnity</w:t>
      </w:r>
    </w:p>
    <w:p>
      <w:pPr>
        <w:spacing w:after="120" w:before="0"/>
      </w:pPr>
      <w:r>
        <w:rPr>
          <w:rFonts w:ascii="Calibri" w:cs="Calibri" w:eastAsia="Calibri" w:hAnsi="Calibri"/>
          <w:color w:val="1A1A1A"/>
          <w:sz w:val="20"/>
          <w:szCs w:val="20"/>
        </w:rPr>
        <w:t xml:space="preserve">The Client will defend the Consultant against any third-party claim arising from: (a) the Client’s misuse of the deliverables outside the scope contemplated in this SOW; (b) data, content, brand assets, customer lists or PII supplied by the Client to the Consultant being unlawful, infringing, or processed without lawful basis; (c) the Client’s breach of its obligations under DPDPA, IRDAI regulations or any other applicable law; or (d) the Client’s independent business decisions including selection of channel providers, registration of DLT entities, and decisions to dispatch any specific message. The same conditions and process as Section 44.1 apply, with roles reversed.</w:t>
      </w:r>
    </w:p>
    <w:p>
      <w:pPr>
        <w:pStyle w:val="Heading2"/>
        <w:spacing w:after="140" w:before="280"/>
      </w:pPr>
      <w:r>
        <w:rPr>
          <w:rFonts w:ascii="Calibri" w:cs="Calibri" w:eastAsia="Calibri" w:hAnsi="Calibri"/>
          <w:b/>
          <w:bCs/>
          <w:color w:val="1F3864"/>
          <w:sz w:val="28"/>
          <w:szCs w:val="28"/>
        </w:rPr>
        <w:t xml:space="preserve">44.4  Mutual indemnity — confidentiality</w:t>
      </w:r>
    </w:p>
    <w:p>
      <w:pPr>
        <w:spacing w:after="120" w:before="0"/>
      </w:pPr>
      <w:r>
        <w:rPr>
          <w:rFonts w:ascii="Calibri" w:cs="Calibri" w:eastAsia="Calibri" w:hAnsi="Calibri"/>
          <w:color w:val="1A1A1A"/>
          <w:sz w:val="20"/>
          <w:szCs w:val="20"/>
        </w:rPr>
        <w:t xml:space="preserve">Each Party indemnifies the other against direct losses arising from a breach of confidentiality obligations under Section 47 by the indemnifying Party or its personnel. Such losses are subject to Section 43.1 and are exceptions only to the extent stated in Section 43.3.</w:t>
      </w:r>
    </w:p>
    <w:p>
      <w:pPr>
        <w:pStyle w:val="Heading1"/>
        <w:pageBreakBefore/>
        <w:spacing w:after="240" w:before="0"/>
      </w:pPr>
      <w:r>
        <w:rPr>
          <w:rFonts w:ascii="Calibri" w:cs="Calibri" w:eastAsia="Calibri" w:hAnsi="Calibri"/>
          <w:b/>
          <w:bCs/>
          <w:color w:val="1F3864"/>
          <w:sz w:val="36"/>
          <w:szCs w:val="36"/>
        </w:rPr>
        <w:t xml:space="preserve">45. Insurance Requirements</w:t>
      </w:r>
    </w:p>
    <w:p>
      <w:pPr>
        <w:spacing w:after="120" w:before="0"/>
      </w:pPr>
      <w:r>
        <w:rPr>
          <w:rFonts w:ascii="Calibri" w:cs="Calibri" w:eastAsia="Calibri" w:hAnsi="Calibri"/>
          <w:color w:val="1A1A1A"/>
          <w:sz w:val="20"/>
          <w:szCs w:val="20"/>
        </w:rPr>
        <w:t xml:space="preserve">The Consultant agrees to maintain insurance cover commensurate with the scope and risk of the engagement. The Client has the right to request a current certificate of insurance from each policy at any time during the term.</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8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Cover</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Minimum sum insured</w:t>
            </w:r>
          </w:p>
        </w:tc>
        <w:tc>
          <w:tcPr>
            <w:tcW w:type="dxa" w:w="3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Professional Indemnity (errors &amp; omissions)</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1,00,00,000 (1 Crore)</w:t>
            </w:r>
          </w:p>
        </w:tc>
        <w:tc>
          <w:tcPr>
            <w:tcW w:type="dxa" w:w="3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Aggregate per policy year; covering services delivered under this SOW</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Public Liability / Commercial General Liability</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50,00,000 (50 Lakh)</w:t>
            </w:r>
          </w:p>
        </w:tc>
        <w:tc>
          <w:tcPr>
            <w:tcW w:type="dxa" w:w="3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occurrence; covering on-site presence and equipment use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Cyber Liability (recommended, not mandatory in v1)</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50,00,000 (50 Lakh)</w:t>
            </w:r>
          </w:p>
        </w:tc>
        <w:tc>
          <w:tcPr>
            <w:tcW w:type="dxa" w:w="3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Where the Consultant handles Client PII at material volume</w:t>
            </w:r>
          </w:p>
        </w:tc>
      </w:tr>
    </w:tbl>
    <w:p>
      <w:pPr>
        <w:pStyle w:val="Heading2"/>
        <w:spacing w:after="140" w:before="280"/>
      </w:pPr>
      <w:r>
        <w:rPr>
          <w:rFonts w:ascii="Calibri" w:cs="Calibri" w:eastAsia="Calibri" w:hAnsi="Calibri"/>
          <w:b/>
          <w:bCs/>
          <w:color w:val="1F3864"/>
          <w:sz w:val="28"/>
          <w:szCs w:val="28"/>
        </w:rPr>
        <w:t xml:space="preserve">45.1  General terms</w:t>
      </w:r>
    </w:p>
    <w:p>
      <w:pPr>
        <w:pStyle w:val="ListParagraph"/>
        <w:numPr>
          <w:ilvl w:val="0"/>
          <w:numId w:val="2"/>
        </w:numPr>
        <w:spacing w:after="80"/>
      </w:pPr>
      <w:r>
        <w:rPr>
          <w:rFonts w:ascii="Calibri" w:cs="Calibri" w:eastAsia="Calibri" w:hAnsi="Calibri"/>
          <w:color w:val="1A1A1A"/>
          <w:sz w:val="20"/>
          <w:szCs w:val="20"/>
        </w:rPr>
        <w:t xml:space="preserve">Coverage to be maintained continuously through the term of this SOW and for 12 months thereafter (run-off / extended reporting).</w:t>
      </w:r>
    </w:p>
    <w:p>
      <w:pPr>
        <w:pStyle w:val="ListParagraph"/>
        <w:numPr>
          <w:ilvl w:val="0"/>
          <w:numId w:val="2"/>
        </w:numPr>
        <w:spacing w:after="80"/>
      </w:pPr>
      <w:r>
        <w:rPr>
          <w:rFonts w:ascii="Calibri" w:cs="Calibri" w:eastAsia="Calibri" w:hAnsi="Calibri"/>
          <w:color w:val="1A1A1A"/>
          <w:sz w:val="20"/>
          <w:szCs w:val="20"/>
        </w:rPr>
        <w:t xml:space="preserve">Consultant to notify Client within 10 business days of any change that materially reduces cover, lapse of policy, or claim made against any policy that may impact the Client.</w:t>
      </w:r>
    </w:p>
    <w:p>
      <w:pPr>
        <w:pStyle w:val="ListParagraph"/>
        <w:numPr>
          <w:ilvl w:val="0"/>
          <w:numId w:val="2"/>
        </w:numPr>
        <w:spacing w:after="80"/>
      </w:pPr>
      <w:r>
        <w:rPr>
          <w:rFonts w:ascii="Calibri" w:cs="Calibri" w:eastAsia="Calibri" w:hAnsi="Calibri"/>
          <w:color w:val="1A1A1A"/>
          <w:sz w:val="20"/>
          <w:szCs w:val="20"/>
        </w:rPr>
        <w:t xml:space="preserve">Insurance does not cap, reduce or substitute for any liability under this SOW; it is additional to any contractual remedy.</w:t>
      </w:r>
    </w:p>
    <w:p>
      <w:pPr>
        <w:pStyle w:val="ListParagraph"/>
        <w:numPr>
          <w:ilvl w:val="0"/>
          <w:numId w:val="2"/>
        </w:numPr>
        <w:spacing w:after="80"/>
      </w:pPr>
      <w:r>
        <w:rPr>
          <w:rFonts w:ascii="Calibri" w:cs="Calibri" w:eastAsia="Calibri" w:hAnsi="Calibri"/>
          <w:color w:val="1A1A1A"/>
          <w:sz w:val="20"/>
          <w:szCs w:val="20"/>
        </w:rPr>
        <w:t xml:space="preserve">Where the Consultant operates as an individual rather than an entity, the Parties may at signing agree to substitute insurance with a higher liability cap under Section 43.1, by mutual written agreement on the schedule of definitions.</w:t>
      </w:r>
    </w:p>
    <w:p>
      <w:pPr>
        <w:pStyle w:val="Heading1"/>
        <w:pageBreakBefore/>
        <w:spacing w:after="240" w:before="0"/>
      </w:pPr>
      <w:r>
        <w:rPr>
          <w:rFonts w:ascii="Calibri" w:cs="Calibri" w:eastAsia="Calibri" w:hAnsi="Calibri"/>
          <w:b/>
          <w:bCs/>
          <w:color w:val="1F3864"/>
          <w:sz w:val="36"/>
          <w:szCs w:val="36"/>
        </w:rPr>
        <w:t xml:space="preserve">46. Term, Renewal &amp; Termination</w:t>
      </w:r>
    </w:p>
    <w:p>
      <w:pPr>
        <w:pStyle w:val="Heading2"/>
        <w:spacing w:after="140" w:before="280"/>
      </w:pPr>
      <w:r>
        <w:rPr>
          <w:rFonts w:ascii="Calibri" w:cs="Calibri" w:eastAsia="Calibri" w:hAnsi="Calibri"/>
          <w:b/>
          <w:bCs/>
          <w:color w:val="1F3864"/>
          <w:sz w:val="28"/>
          <w:szCs w:val="28"/>
        </w:rPr>
        <w:t xml:space="preserve">46.1  Term</w:t>
      </w:r>
    </w:p>
    <w:p>
      <w:pPr>
        <w:spacing w:after="120" w:before="0"/>
      </w:pPr>
      <w:r>
        <w:rPr>
          <w:rFonts w:ascii="Calibri" w:cs="Calibri" w:eastAsia="Calibri" w:hAnsi="Calibri"/>
          <w:color w:val="1A1A1A"/>
          <w:sz w:val="20"/>
          <w:szCs w:val="20"/>
        </w:rPr>
        <w:t xml:space="preserve">This SOW takes effect on the Effective Date stated in Section 1 and continues until the later of: (a) acceptance of all in-scope deliverables under Section 24; and (b) the end of the post-implementation support window under Section 37 (12 calendar months from P4 acceptance), unless terminated earlier under this Section.</w:t>
      </w:r>
    </w:p>
    <w:p>
      <w:pPr>
        <w:pStyle w:val="Heading2"/>
        <w:spacing w:after="140" w:before="280"/>
      </w:pPr>
      <w:r>
        <w:rPr>
          <w:rFonts w:ascii="Calibri" w:cs="Calibri" w:eastAsia="Calibri" w:hAnsi="Calibri"/>
          <w:b/>
          <w:bCs/>
          <w:color w:val="1F3864"/>
          <w:sz w:val="28"/>
          <w:szCs w:val="28"/>
        </w:rPr>
        <w:t xml:space="preserve">46.2  Renewal</w:t>
      </w:r>
    </w:p>
    <w:p>
      <w:pPr>
        <w:spacing w:after="120" w:before="0"/>
      </w:pPr>
      <w:r>
        <w:rPr>
          <w:rFonts w:ascii="Calibri" w:cs="Calibri" w:eastAsia="Calibri" w:hAnsi="Calibri"/>
          <w:color w:val="1A1A1A"/>
          <w:sz w:val="20"/>
          <w:szCs w:val="20"/>
        </w:rPr>
        <w:t xml:space="preserve">This SOW does not auto-renew. Continuation of services beyond the Term — including additional phases, new audiences, new channels, ongoing managed services, or further support — requires either an executed Change Order (Section 41) or a new Statement of Work referencing the master engagement.</w:t>
      </w:r>
    </w:p>
    <w:p>
      <w:pPr>
        <w:pStyle w:val="Heading2"/>
        <w:spacing w:after="140" w:before="280"/>
      </w:pPr>
      <w:r>
        <w:rPr>
          <w:rFonts w:ascii="Calibri" w:cs="Calibri" w:eastAsia="Calibri" w:hAnsi="Calibri"/>
          <w:b/>
          <w:bCs/>
          <w:color w:val="1F3864"/>
          <w:sz w:val="28"/>
          <w:szCs w:val="28"/>
        </w:rPr>
        <w:t xml:space="preserve">46.3  Termination for convenience</w:t>
      </w:r>
    </w:p>
    <w:p>
      <w:pPr>
        <w:spacing w:after="120" w:before="0"/>
      </w:pPr>
      <w:r>
        <w:rPr>
          <w:rFonts w:ascii="Calibri" w:cs="Calibri" w:eastAsia="Calibri" w:hAnsi="Calibri"/>
          <w:color w:val="1A1A1A"/>
          <w:sz w:val="20"/>
          <w:szCs w:val="20"/>
        </w:rPr>
        <w:t xml:space="preserve">Either Party may terminate this SOW for convenience by providing 30 calendar days’ written notice to the other Party. On termination for convenience: (a) the Consultant ceases work in an orderly manner; (b) the Client pays for all consultant-days delivered up to the effective termination date plus any committed third-party costs the Consultant cannot mitigate; (c) any work-in-progress deliverables are handed over in their then-current state; and (d) the mobilisation advance is reconciled against work delivered, with any surplus refunded within 30 days.</w:t>
      </w:r>
    </w:p>
    <w:p>
      <w:pPr>
        <w:pStyle w:val="Heading2"/>
        <w:spacing w:after="140" w:before="280"/>
      </w:pPr>
      <w:r>
        <w:rPr>
          <w:rFonts w:ascii="Calibri" w:cs="Calibri" w:eastAsia="Calibri" w:hAnsi="Calibri"/>
          <w:b/>
          <w:bCs/>
          <w:color w:val="1F3864"/>
          <w:sz w:val="28"/>
          <w:szCs w:val="28"/>
        </w:rPr>
        <w:t xml:space="preserve">46.4  Termination for material breach</w:t>
      </w:r>
    </w:p>
    <w:p>
      <w:pPr>
        <w:spacing w:after="120" w:before="0"/>
      </w:pPr>
      <w:r>
        <w:rPr>
          <w:rFonts w:ascii="Calibri" w:cs="Calibri" w:eastAsia="Calibri" w:hAnsi="Calibri"/>
          <w:color w:val="1A1A1A"/>
          <w:sz w:val="20"/>
          <w:szCs w:val="20"/>
        </w:rPr>
        <w:t xml:space="preserve">Either Party may terminate this SOW for material breach if the other Party: (a) commits a material breach of this SOW capable of remedy and fails to remedy that breach within 15 calendar days of receiving written notice specifying the breach; (b) commits a material breach not capable of remedy; or (c) becomes insolvent, enters into liquidation (other than for solvent reconstruction), has a receiver appointed, files for protection from creditors, or ceases or threatens to cease carrying on business.</w:t>
      </w:r>
    </w:p>
    <w:p>
      <w:pPr>
        <w:spacing w:after="120" w:before="0"/>
      </w:pPr>
      <w:r>
        <w:rPr>
          <w:rFonts w:ascii="Calibri" w:cs="Calibri" w:eastAsia="Calibri" w:hAnsi="Calibri"/>
          <w:color w:val="1A1A1A"/>
          <w:sz w:val="20"/>
          <w:szCs w:val="20"/>
        </w:rPr>
        <w:t xml:space="preserve">“Material breach” includes, without limitation: persistent failure to meet phase acceptance criteria after rework cycles permitted under Section 24.3; non-payment of an undisputed invoice for more than 60 calendar days past due; breach of confidentiality obligations under Section 47; breach of data-protection obligations under Section 48; and any conduct by either Party’s personnel that creates a material regulatory or reputational risk to the other Party.</w:t>
      </w:r>
    </w:p>
    <w:p>
      <w:pPr>
        <w:pStyle w:val="Heading2"/>
        <w:spacing w:after="140" w:before="280"/>
      </w:pPr>
      <w:r>
        <w:rPr>
          <w:rFonts w:ascii="Calibri" w:cs="Calibri" w:eastAsia="Calibri" w:hAnsi="Calibri"/>
          <w:b/>
          <w:bCs/>
          <w:color w:val="1F3864"/>
          <w:sz w:val="28"/>
          <w:szCs w:val="28"/>
        </w:rPr>
        <w:t xml:space="preserve">46.5  Effects of termination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Effect</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Description</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Charges accrued</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pays Consultant for all services delivered up to the effective termination date, including any phase milestone where acceptance criteria have substantially been met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Hand-over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provides reasonable hand-over of in-progress work; final hand-over invoice may include up to 2 days of effort at the rate card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property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returns or destroys Client confidential information per Section 47.5</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Repository ownership</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Repository ownership transfers to Client (where not already vested) as soon as accrued and disputed amounts are settled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Survival</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Sections 1, 2, 24 (for accrued acceptance), 38–41 (for accrued payments), 42–51 survive termination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relief from accrued obligations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Termination does not relieve either Party of any obligation accrued before the effective date</w:t>
            </w:r>
          </w:p>
        </w:tc>
      </w:tr>
    </w:tbl>
    <w:p>
      <w:pPr>
        <w:pStyle w:val="Heading1"/>
        <w:pageBreakBefore/>
        <w:spacing w:after="240" w:before="0"/>
      </w:pPr>
      <w:r>
        <w:rPr>
          <w:rFonts w:ascii="Calibri" w:cs="Calibri" w:eastAsia="Calibri" w:hAnsi="Calibri"/>
          <w:b/>
          <w:bCs/>
          <w:color w:val="1F3864"/>
          <w:sz w:val="36"/>
          <w:szCs w:val="36"/>
        </w:rPr>
        <w:t xml:space="preserve">47. Confidentiality, IP &amp; Data Ownership</w:t>
      </w:r>
    </w:p>
    <w:p>
      <w:pPr>
        <w:pStyle w:val="Heading2"/>
        <w:spacing w:after="140" w:before="280"/>
      </w:pPr>
      <w:r>
        <w:rPr>
          <w:rFonts w:ascii="Calibri" w:cs="Calibri" w:eastAsia="Calibri" w:hAnsi="Calibri"/>
          <w:b/>
          <w:bCs/>
          <w:color w:val="1F3864"/>
          <w:sz w:val="28"/>
          <w:szCs w:val="28"/>
        </w:rPr>
        <w:t xml:space="preserve">47.1  Confidential information</w:t>
      </w:r>
    </w:p>
    <w:p>
      <w:pPr>
        <w:spacing w:after="120" w:before="0"/>
      </w:pPr>
      <w:r>
        <w:rPr>
          <w:rFonts w:ascii="Calibri" w:cs="Calibri" w:eastAsia="Calibri" w:hAnsi="Calibri"/>
          <w:color w:val="1A1A1A"/>
          <w:sz w:val="20"/>
          <w:szCs w:val="20"/>
        </w:rPr>
        <w:t xml:space="preserve">“Confidential Information” means any non-public information disclosed by one Party to the other in connection with this SOW, in any form, that is identified as confidential or that a reasonable person would understand to be confidential. It includes Client business plans, customer data, operational metrics, partner relationships, internal documents, and the Consultant’s methodologies, prompt suites, skill code, and pricing.</w:t>
      </w:r>
    </w:p>
    <w:p>
      <w:pPr>
        <w:pStyle w:val="Heading2"/>
        <w:spacing w:after="140" w:before="280"/>
      </w:pPr>
      <w:r>
        <w:rPr>
          <w:rFonts w:ascii="Calibri" w:cs="Calibri" w:eastAsia="Calibri" w:hAnsi="Calibri"/>
          <w:b/>
          <w:bCs/>
          <w:color w:val="1F3864"/>
          <w:sz w:val="28"/>
          <w:szCs w:val="28"/>
        </w:rPr>
        <w:t xml:space="preserve">47.2  Obligations</w:t>
      </w:r>
    </w:p>
    <w:p>
      <w:pPr>
        <w:pStyle w:val="ListParagraph"/>
        <w:numPr>
          <w:ilvl w:val="0"/>
          <w:numId w:val="2"/>
        </w:numPr>
        <w:spacing w:after="80"/>
      </w:pPr>
      <w:r>
        <w:rPr>
          <w:rFonts w:ascii="Calibri" w:cs="Calibri" w:eastAsia="Calibri" w:hAnsi="Calibri"/>
          <w:color w:val="1A1A1A"/>
          <w:sz w:val="20"/>
          <w:szCs w:val="20"/>
        </w:rPr>
        <w:t xml:space="preserve">Each Party will hold the other’s Confidential Information in strict confidence; will use it only for the purpose of performing this SOW; and will protect it with at least the same degree of care it uses for its own confidential information of like importance, and in any event no less than reasonable care.</w:t>
      </w:r>
    </w:p>
    <w:p>
      <w:pPr>
        <w:pStyle w:val="ListParagraph"/>
        <w:numPr>
          <w:ilvl w:val="0"/>
          <w:numId w:val="2"/>
        </w:numPr>
        <w:spacing w:after="80"/>
      </w:pPr>
      <w:r>
        <w:rPr>
          <w:rFonts w:ascii="Calibri" w:cs="Calibri" w:eastAsia="Calibri" w:hAnsi="Calibri"/>
          <w:color w:val="1A1A1A"/>
          <w:sz w:val="20"/>
          <w:szCs w:val="20"/>
        </w:rPr>
        <w:t xml:space="preserve">Disclosure is permitted only to the receiving Party’s personnel, advisers and subcontractors who have a need to know, who are bound by written confidentiality obligations no less protective than this Section, and for whose acts and omissions the receiving Party remains responsible.</w:t>
      </w:r>
    </w:p>
    <w:p>
      <w:pPr>
        <w:pStyle w:val="ListParagraph"/>
        <w:numPr>
          <w:ilvl w:val="0"/>
          <w:numId w:val="2"/>
        </w:numPr>
        <w:spacing w:after="80"/>
      </w:pPr>
      <w:r>
        <w:rPr>
          <w:rFonts w:ascii="Calibri" w:cs="Calibri" w:eastAsia="Calibri" w:hAnsi="Calibri"/>
          <w:color w:val="1A1A1A"/>
          <w:sz w:val="20"/>
          <w:szCs w:val="20"/>
        </w:rPr>
        <w:t xml:space="preserve">Confidential Information does not include information that: (a) is or becomes publicly known other than through a breach of this Section; (b) was known to the receiving Party before disclosure without obligation of confidence; (c) is independently developed by the receiving Party without use of the other’s Confidential Information; or (d) is received from a third party without obligation of confidence and without breach of any duty owed to the disclosing Party.</w:t>
      </w:r>
    </w:p>
    <w:p>
      <w:pPr>
        <w:pStyle w:val="ListParagraph"/>
        <w:numPr>
          <w:ilvl w:val="0"/>
          <w:numId w:val="2"/>
        </w:numPr>
        <w:spacing w:after="80"/>
      </w:pPr>
      <w:r>
        <w:rPr>
          <w:rFonts w:ascii="Calibri" w:cs="Calibri" w:eastAsia="Calibri" w:hAnsi="Calibri"/>
          <w:color w:val="1A1A1A"/>
          <w:sz w:val="20"/>
          <w:szCs w:val="20"/>
        </w:rPr>
        <w:t xml:space="preserve">If the receiving Party is compelled by law, court order or regulator to disclose Confidential Information, it will (where lawful) notify the disclosing Party in advance and disclose only the minimum necessary.</w:t>
      </w:r>
    </w:p>
    <w:p>
      <w:pPr>
        <w:pStyle w:val="Heading2"/>
        <w:spacing w:after="140" w:before="280"/>
      </w:pPr>
      <w:r>
        <w:rPr>
          <w:rFonts w:ascii="Calibri" w:cs="Calibri" w:eastAsia="Calibri" w:hAnsi="Calibri"/>
          <w:b/>
          <w:bCs/>
          <w:color w:val="1F3864"/>
          <w:sz w:val="28"/>
          <w:szCs w:val="28"/>
        </w:rPr>
        <w:t xml:space="preserve">47.3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Class</w:t>
            </w:r>
          </w:p>
        </w:tc>
        <w:tc>
          <w:tcPr>
            <w:tcW w:type="dxa" w:w="3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w:t>
            </w:r>
          </w:p>
        </w:tc>
        <w:tc>
          <w:tcPr>
            <w:tcW w:type="dxa" w:w="3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Handling</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High</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ph_name, phone, email, PAN, bank_last4</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Tokenised in templates; never logged raw; audit-masked</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Medium</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policy_no, premium_amount, due_date</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Encrypted at rest; least-privilege access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trigger_id, template_id, status</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use; safe to log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confidential</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texts, brand-voice rules</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Internal-only; no external sharing</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proprietary</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Skill code, methodologies, prompt suites</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retains; licensed to Client per 47.4</w:t>
            </w:r>
          </w:p>
        </w:tc>
      </w:tr>
    </w:tbl>
    <w:p>
      <w:pPr>
        <w:pStyle w:val="Heading2"/>
        <w:spacing w:after="140" w:before="280"/>
      </w:pPr>
      <w:r>
        <w:rPr>
          <w:rFonts w:ascii="Calibri" w:cs="Calibri" w:eastAsia="Calibri" w:hAnsi="Calibri"/>
          <w:b/>
          <w:bCs/>
          <w:color w:val="1F3864"/>
          <w:sz w:val="28"/>
          <w:szCs w:val="28"/>
        </w:rPr>
        <w:t xml:space="preserve">47.4  Intellectual property</w:t>
      </w:r>
    </w:p>
    <w:p>
      <w:pPr>
        <w:spacing w:after="120" w:before="0"/>
      </w:pPr>
      <w:r>
        <w:rPr>
          <w:rFonts w:ascii="Calibri" w:cs="Calibri" w:eastAsia="Calibri" w:hAnsi="Calibri"/>
          <w:color w:val="1A1A1A"/>
          <w:sz w:val="20"/>
          <w:szCs w:val="20"/>
        </w:rPr>
        <w:t xml:space="preserve">Subject to full payment of the charges due under Part XI, all rights, title and interest in the deliverables specifically created for the Client under this SOW (including the Client-specific trigger catalogue, templates, compliance-rule definitions tailored to Client regimes, and Client-specific runbooks and documentation) vest in the Client on acceptance under Section 24.</w:t>
      </w:r>
    </w:p>
    <w:p>
      <w:pPr>
        <w:spacing w:after="120" w:before="0"/>
      </w:pPr>
      <w:r>
        <w:rPr>
          <w:rFonts w:ascii="Calibri" w:cs="Calibri" w:eastAsia="Calibri" w:hAnsi="Calibri"/>
          <w:color w:val="1A1A1A"/>
          <w:sz w:val="20"/>
          <w:szCs w:val="20"/>
        </w:rPr>
        <w:t xml:space="preserve">The Consultant retains all rights, title and interest in: (a) generic methodologies, frameworks, prompt patterns, skill scaffolds, slash-command structures, lint engines and authoring tools that are not Client-specific and that the Consultant brings to the engagement or develops independently of Client confidential information; (b) generic best-practice content that is not specific to TPE’s business; and (c) skills, knowledge, and experience gained during the engagement. The Consultant grants the Client a perpetual, irrevocable, royalty-free, worldwide, non-exclusive licence to use, reproduce, modify and create derivative works of items in (a) and (b) to the extent embedded in the Client deliverables.</w:t>
      </w:r>
    </w:p>
    <w:p>
      <w:pPr>
        <w:spacing w:after="120" w:before="0"/>
      </w:pPr>
      <w:r>
        <w:rPr>
          <w:rFonts w:ascii="Calibri" w:cs="Calibri" w:eastAsia="Calibri" w:hAnsi="Calibri"/>
          <w:color w:val="1A1A1A"/>
          <w:sz w:val="20"/>
          <w:szCs w:val="20"/>
        </w:rPr>
        <w:t xml:space="preserve">Open-source components incorporated in any deliverable are governed by their applicable licences. The Consultant identifies material open-source components in the runbook (Section 23 deliverables) and will not knowingly incorporate copyleft-licensed components that would impose additional obligations on the Client deliverables without prior written approval.</w:t>
      </w:r>
    </w:p>
    <w:p>
      <w:pPr>
        <w:pStyle w:val="Heading2"/>
        <w:spacing w:after="140" w:before="280"/>
      </w:pPr>
      <w:r>
        <w:rPr>
          <w:rFonts w:ascii="Calibri" w:cs="Calibri" w:eastAsia="Calibri" w:hAnsi="Calibri"/>
          <w:b/>
          <w:bCs/>
          <w:color w:val="1F3864"/>
          <w:sz w:val="28"/>
          <w:szCs w:val="28"/>
        </w:rPr>
        <w:t xml:space="preserve">47.5  Return or destruction</w:t>
      </w:r>
    </w:p>
    <w:p>
      <w:pPr>
        <w:spacing w:after="120" w:before="0"/>
      </w:pPr>
      <w:r>
        <w:rPr>
          <w:rFonts w:ascii="Calibri" w:cs="Calibri" w:eastAsia="Calibri" w:hAnsi="Calibri"/>
          <w:color w:val="1A1A1A"/>
          <w:sz w:val="20"/>
          <w:szCs w:val="20"/>
        </w:rPr>
        <w:t xml:space="preserve">On termination of this SOW or on the disclosing Party’s written request, the receiving Party will, within 30 calendar days, return or destroy (at the disclosing Party’s option) all Confidential Information of the disclosing Party in the receiving Party’s possession or control, and certify the same in writing. The receiving Party may retain copies required by law, by professional standards, or for archival purposes only — such retained copies remain subject to the confidentiality obligations of this Section.</w:t>
      </w:r>
    </w:p>
    <w:p>
      <w:pPr>
        <w:pStyle w:val="Heading2"/>
        <w:spacing w:after="140" w:before="280"/>
      </w:pPr>
      <w:r>
        <w:rPr>
          <w:rFonts w:ascii="Calibri" w:cs="Calibri" w:eastAsia="Calibri" w:hAnsi="Calibri"/>
          <w:b/>
          <w:bCs/>
          <w:color w:val="1F3864"/>
          <w:sz w:val="28"/>
          <w:szCs w:val="28"/>
        </w:rPr>
        <w:t xml:space="preserve">47.6  Duration</w:t>
      </w:r>
    </w:p>
    <w:p>
      <w:pPr>
        <w:spacing w:after="120" w:before="0"/>
      </w:pPr>
      <w:r>
        <w:rPr>
          <w:rFonts w:ascii="Calibri" w:cs="Calibri" w:eastAsia="Calibri" w:hAnsi="Calibri"/>
          <w:color w:val="1A1A1A"/>
          <w:sz w:val="20"/>
          <w:szCs w:val="20"/>
        </w:rPr>
        <w:t xml:space="preserve">Confidentiality obligations under this Section survive termination of this SOW for: (a) 5 years from termination, in respect of general business and operational information; (b) indefinitely, in respect of trade secrets and personal data; and (c) the period required by law, in respect of regulated information.</w:t>
      </w:r>
    </w:p>
    <w:p>
      <w:pPr>
        <w:pStyle w:val="Heading1"/>
        <w:pageBreakBefore/>
        <w:spacing w:after="240" w:before="0"/>
      </w:pPr>
      <w:r>
        <w:rPr>
          <w:rFonts w:ascii="Calibri" w:cs="Calibri" w:eastAsia="Calibri" w:hAnsi="Calibri"/>
          <w:b/>
          <w:bCs/>
          <w:color w:val="1F3864"/>
          <w:sz w:val="36"/>
          <w:szCs w:val="36"/>
        </w:rPr>
        <w:t xml:space="preserve">48. Data Protection (DPDPA) &amp; Data Processing Agreement</w:t>
      </w:r>
    </w:p>
    <w:p>
      <w:pPr>
        <w:spacing w:after="120" w:before="0"/>
      </w:pPr>
      <w:r>
        <w:rPr>
          <w:rFonts w:ascii="Calibri" w:cs="Calibri" w:eastAsia="Calibri" w:hAnsi="Calibri"/>
          <w:color w:val="1A1A1A"/>
          <w:sz w:val="20"/>
          <w:szCs w:val="20"/>
        </w:rPr>
        <w:t xml:space="preserve">To the extent the Consultant processes personal data on behalf of the Client in performing this SOW, the Parties’ respective obligations under the Digital Personal Data Protection Act, 2023 (DPDPA) are set out in a separate Data Processing Agreement (DPA) executed contemporaneously with, or before, this SOW. The DPA forms part of the contractual framework between the Parties; in case of conflict between this SOW and the DPA on data-protection matters, the DPA prevails.</w:t>
      </w:r>
    </w:p>
    <w:p>
      <w:pPr>
        <w:pStyle w:val="Heading2"/>
        <w:spacing w:after="140" w:before="280"/>
      </w:pPr>
      <w:r>
        <w:rPr>
          <w:rFonts w:ascii="Calibri" w:cs="Calibri" w:eastAsia="Calibri" w:hAnsi="Calibri"/>
          <w:b/>
          <w:bCs/>
          <w:color w:val="1F3864"/>
          <w:sz w:val="28"/>
          <w:szCs w:val="28"/>
        </w:rPr>
        <w:t xml:space="preserve">48.1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Data Fiduciary (Controller)</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Client, in respect of all personal data of policyholders, investors, partners, employees and other data principals processed in connection with the Client’s business</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Data Processor</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Consultant, in respect of any personal data processed on behalf of the Client during this engagement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Sub-processors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Any third party engaged by the Consultant to process Client personal data; engagement requires Client prior written consent and equivalent data-protection obligations</w:t>
            </w:r>
          </w:p>
        </w:tc>
      </w:tr>
    </w:tbl>
    <w:p>
      <w:pPr>
        <w:pStyle w:val="Heading2"/>
        <w:spacing w:after="140" w:before="280"/>
      </w:pPr>
      <w:r>
        <w:rPr>
          <w:rFonts w:ascii="Calibri" w:cs="Calibri" w:eastAsia="Calibri" w:hAnsi="Calibri"/>
          <w:b/>
          <w:bCs/>
          <w:color w:val="1F3864"/>
          <w:sz w:val="28"/>
          <w:szCs w:val="28"/>
        </w:rPr>
        <w:t xml:space="preserve">48.2  Core obligations</w:t>
      </w:r>
    </w:p>
    <w:p>
      <w:pPr>
        <w:pStyle w:val="ListParagraph"/>
        <w:numPr>
          <w:ilvl w:val="0"/>
          <w:numId w:val="2"/>
        </w:numPr>
        <w:spacing w:after="80"/>
      </w:pPr>
      <w:r>
        <w:rPr>
          <w:rFonts w:ascii="Calibri" w:cs="Calibri" w:eastAsia="Calibri" w:hAnsi="Calibri"/>
          <w:color w:val="1A1A1A"/>
          <w:sz w:val="20"/>
          <w:szCs w:val="20"/>
        </w:rPr>
        <w:t xml:space="preserve">The Consultant processes Client personal data only on the documented instructions of the Client, including with regard to transfers outside India to the extent permitted by DPDPA.</w:t>
      </w:r>
    </w:p>
    <w:p>
      <w:pPr>
        <w:pStyle w:val="ListParagraph"/>
        <w:numPr>
          <w:ilvl w:val="0"/>
          <w:numId w:val="2"/>
        </w:numPr>
        <w:spacing w:after="80"/>
      </w:pPr>
      <w:r>
        <w:rPr>
          <w:rFonts w:ascii="Calibri" w:cs="Calibri" w:eastAsia="Calibri" w:hAnsi="Calibri"/>
          <w:color w:val="1A1A1A"/>
          <w:sz w:val="20"/>
          <w:szCs w:val="20"/>
        </w:rPr>
        <w:t xml:space="preserve">The Consultant ensures that personnel authorised to process Client personal data are bound by appropriate confidentiality obligations and have received reasonable data-protection training.</w:t>
      </w:r>
    </w:p>
    <w:p>
      <w:pPr>
        <w:pStyle w:val="ListParagraph"/>
        <w:numPr>
          <w:ilvl w:val="0"/>
          <w:numId w:val="2"/>
        </w:numPr>
        <w:spacing w:after="80"/>
      </w:pPr>
      <w:r>
        <w:rPr>
          <w:rFonts w:ascii="Calibri" w:cs="Calibri" w:eastAsia="Calibri" w:hAnsi="Calibri"/>
          <w:color w:val="1A1A1A"/>
          <w:sz w:val="20"/>
          <w:szCs w:val="20"/>
        </w:rPr>
        <w:t xml:space="preserve">The Consultant assists the Client, taking into account the nature of processing and the information available, in: (a) responding to data-principal requests under DPDPA; (b) ensuring security of processing; (c) notifying personal-data breaches; and (d) consulting the Data Protection Board of India where required.</w:t>
      </w:r>
    </w:p>
    <w:p>
      <w:pPr>
        <w:pStyle w:val="ListParagraph"/>
        <w:numPr>
          <w:ilvl w:val="0"/>
          <w:numId w:val="2"/>
        </w:numPr>
        <w:spacing w:after="80"/>
      </w:pPr>
      <w:r>
        <w:rPr>
          <w:rFonts w:ascii="Calibri" w:cs="Calibri" w:eastAsia="Calibri" w:hAnsi="Calibri"/>
          <w:color w:val="1A1A1A"/>
          <w:sz w:val="20"/>
          <w:szCs w:val="20"/>
        </w:rPr>
        <w:t xml:space="preserve">The Consultant notifies the Client without undue delay (and in any event within 24 hours) of becoming aware of any personal-data breach affecting Client personal data.</w:t>
      </w:r>
    </w:p>
    <w:p>
      <w:pPr>
        <w:pStyle w:val="ListParagraph"/>
        <w:numPr>
          <w:ilvl w:val="0"/>
          <w:numId w:val="2"/>
        </w:numPr>
        <w:spacing w:after="80"/>
      </w:pPr>
      <w:r>
        <w:rPr>
          <w:rFonts w:ascii="Calibri" w:cs="Calibri" w:eastAsia="Calibri" w:hAnsi="Calibri"/>
          <w:color w:val="1A1A1A"/>
          <w:sz w:val="20"/>
          <w:szCs w:val="20"/>
        </w:rPr>
        <w:t xml:space="preserve">On end of processing services, the Consultant deletes or returns all Client personal data, at the Client’s choice, save where retention is required by law.</w:t>
      </w:r>
    </w:p>
    <w:p>
      <w:pPr>
        <w:pStyle w:val="Heading2"/>
        <w:spacing w:after="140" w:before="280"/>
      </w:pPr>
      <w:r>
        <w:rPr>
          <w:rFonts w:ascii="Calibri" w:cs="Calibri" w:eastAsia="Calibri" w:hAnsi="Calibri"/>
          <w:b/>
          <w:bCs/>
          <w:color w:val="1F3864"/>
          <w:sz w:val="28"/>
          <w:szCs w:val="28"/>
        </w:rPr>
        <w:t xml:space="preserve">48.3  PII handling within this engagement</w:t>
      </w:r>
    </w:p>
    <w:p>
      <w:pPr>
        <w:spacing w:after="120" w:before="0"/>
      </w:pPr>
      <w:r>
        <w:rPr>
          <w:rFonts w:ascii="Calibri" w:cs="Calibri" w:eastAsia="Calibri" w:hAnsi="Calibri"/>
          <w:color w:val="1A1A1A"/>
          <w:sz w:val="20"/>
          <w:szCs w:val="20"/>
        </w:rPr>
        <w:t xml:space="preserve">In practice, this engagement does not require the Consultant to hold production PII at scale. Sample data used for design, render goldens and tests is tokenised PII (synthetic or anonymised) provided by the Client. Where genuine PII is exposed during pair-debugging or production-incident triage, it is handled per Section 20 (Security &amp; Privacy Framework) and is not retained beyond the immediate triage.</w:t>
      </w:r>
    </w:p>
    <w:p>
      <w:pPr>
        <w:pStyle w:val="Heading2"/>
        <w:spacing w:after="140" w:before="280"/>
      </w:pPr>
      <w:r>
        <w:rPr>
          <w:rFonts w:ascii="Calibri" w:cs="Calibri" w:eastAsia="Calibri" w:hAnsi="Calibri"/>
          <w:b/>
          <w:bCs/>
          <w:color w:val="1F3864"/>
          <w:sz w:val="28"/>
          <w:szCs w:val="28"/>
        </w:rPr>
        <w:t xml:space="preserve">48.4  Data residency</w:t>
      </w:r>
    </w:p>
    <w:p>
      <w:pPr>
        <w:spacing w:after="120" w:before="0"/>
      </w:pPr>
      <w:r>
        <w:rPr>
          <w:rFonts w:ascii="Calibri" w:cs="Calibri" w:eastAsia="Calibri" w:hAnsi="Calibri"/>
          <w:color w:val="1A1A1A"/>
          <w:sz w:val="20"/>
          <w:szCs w:val="20"/>
        </w:rPr>
        <w:t xml:space="preserve">The Novu deployment delivered under this SOW is self-hosted on Client-controlled infrastructure in India (AWS Mumbai region or equivalent). Personal data of policyholders, investors, partners, employees and other data principals processed by the system is resident within India in normal operation. Egress to channel-provider APIs (Gupshup, MSG91, Karix, Meta WhatsApp Cloud API via BSP) is limited to the message content, addressing data and DLT identifiers required for dispatch; bulk transfers of resident PII to such providers are not part of normal operation. Cross-border transfers, if any, occur only on documented Client instruction and only to the extent permitted by DPDPA.</w:t>
      </w:r>
    </w:p>
    <w:p>
      <w:pPr>
        <w:pStyle w:val="Heading1"/>
        <w:pageBreakBefore/>
        <w:spacing w:after="240" w:before="0"/>
      </w:pPr>
      <w:r>
        <w:rPr>
          <w:rFonts w:ascii="Calibri" w:cs="Calibri" w:eastAsia="Calibri" w:hAnsi="Calibri"/>
          <w:b/>
          <w:bCs/>
          <w:color w:val="1F3864"/>
          <w:sz w:val="36"/>
          <w:szCs w:val="36"/>
        </w:rPr>
        <w:t xml:space="preserve">49. Force Majeure</w:t>
      </w:r>
    </w:p>
    <w:p>
      <w:pPr>
        <w:spacing w:after="120" w:before="0"/>
      </w:pPr>
      <w:r>
        <w:rPr>
          <w:rFonts w:ascii="Calibri" w:cs="Calibri" w:eastAsia="Calibri" w:hAnsi="Calibri"/>
          <w:color w:val="1A1A1A"/>
          <w:sz w:val="20"/>
          <w:szCs w:val="20"/>
        </w:rPr>
        <w:t xml:space="preserve">Neither Party is liable for any delay or failure to perform any obligation under this SOW (other than the obligation to pay money due) where the delay or failure results from a Force Majeure Event, provided the affected Party (a) notifies the other Party promptly with details and expected impact; (b) takes reasonable steps to mitigate; and (c) resumes performance as soon as reasonably practicable.</w:t>
      </w:r>
    </w:p>
    <w:p>
      <w:pPr>
        <w:pStyle w:val="Heading2"/>
        <w:spacing w:after="140" w:before="280"/>
      </w:pPr>
      <w:r>
        <w:rPr>
          <w:rFonts w:ascii="Calibri" w:cs="Calibri" w:eastAsia="Calibri" w:hAnsi="Calibri"/>
          <w:b/>
          <w:bCs/>
          <w:color w:val="1F3864"/>
          <w:sz w:val="28"/>
          <w:szCs w:val="28"/>
        </w:rPr>
        <w:t xml:space="preserve">49.1  Force Majeure Events</w:t>
      </w:r>
    </w:p>
    <w:p>
      <w:pPr>
        <w:spacing w:after="120" w:before="0"/>
      </w:pPr>
      <w:r>
        <w:rPr>
          <w:rFonts w:ascii="Calibri" w:cs="Calibri" w:eastAsia="Calibri" w:hAnsi="Calibri"/>
          <w:color w:val="1A1A1A"/>
          <w:sz w:val="20"/>
          <w:szCs w:val="20"/>
        </w:rPr>
        <w:t xml:space="preserve">“Force Majeure Event” means any event beyond the reasonable control of the affected Party, including: acts of God; natural disasters (earthquake, flood, fire, cyclone); epidemics and pandemics, and public-health measures imposed in response; war, terrorism, civil unrest and acts of public enemies; acts or omissions of government, regulator, court or other competent authority including new laws or restrictions; failure or unavailability of public utilities (power, water) for a sustained period; nationwide strike or lockout not localised to one Party. The following are expressly not Force Majeure Events: (i) ordinary internet outages affecting an individual Party’s premises; (ii) the affected Party’s own internal labour disputes; (iii) inability to pay; (iv) failure of an affected Party’s subcontractor or supplier unless that failure itself qualifies as a Force Majeure Event.</w:t>
      </w:r>
    </w:p>
    <w:p>
      <w:pPr>
        <w:pStyle w:val="Heading2"/>
        <w:spacing w:after="140" w:before="280"/>
      </w:pPr>
      <w:r>
        <w:rPr>
          <w:rFonts w:ascii="Calibri" w:cs="Calibri" w:eastAsia="Calibri" w:hAnsi="Calibri"/>
          <w:b/>
          <w:bCs/>
          <w:color w:val="1F3864"/>
          <w:sz w:val="28"/>
          <w:szCs w:val="28"/>
        </w:rPr>
        <w:t xml:space="preserve">49.2  Termination for prolonged Force Majeure</w:t>
      </w:r>
    </w:p>
    <w:p>
      <w:pPr>
        <w:spacing w:after="120" w:before="0"/>
      </w:pPr>
      <w:r>
        <w:rPr>
          <w:rFonts w:ascii="Calibri" w:cs="Calibri" w:eastAsia="Calibri" w:hAnsi="Calibri"/>
          <w:color w:val="1A1A1A"/>
          <w:sz w:val="20"/>
          <w:szCs w:val="20"/>
        </w:rPr>
        <w:t xml:space="preserve">If a Force Majeure Event continues to prevent material performance for more than 30 consecutive calendar days, either Party may terminate this SOW by written notice with no liability beyond charges accrued to the date of the Event. Section 46.5 (Effects of termination) applies.</w:t>
      </w:r>
    </w:p>
    <w:p>
      <w:pPr>
        <w:pStyle w:val="Heading1"/>
        <w:pageBreakBefore/>
        <w:spacing w:after="240" w:before="0"/>
      </w:pPr>
      <w:r>
        <w:rPr>
          <w:rFonts w:ascii="Calibri" w:cs="Calibri" w:eastAsia="Calibri" w:hAnsi="Calibri"/>
          <w:b/>
          <w:bCs/>
          <w:color w:val="1F3864"/>
          <w:sz w:val="36"/>
          <w:szCs w:val="36"/>
        </w:rPr>
        <w:t xml:space="preserve">50. Governing Law &amp; Dispute Resolution</w:t>
      </w:r>
    </w:p>
    <w:p>
      <w:pPr>
        <w:pStyle w:val="Heading2"/>
        <w:spacing w:after="140" w:before="280"/>
      </w:pPr>
      <w:r>
        <w:rPr>
          <w:rFonts w:ascii="Calibri" w:cs="Calibri" w:eastAsia="Calibri" w:hAnsi="Calibri"/>
          <w:b/>
          <w:bCs/>
          <w:color w:val="1F3864"/>
          <w:sz w:val="28"/>
          <w:szCs w:val="28"/>
        </w:rPr>
        <w:t xml:space="preserve">50.1  Governing law</w:t>
      </w:r>
    </w:p>
    <w:p>
      <w:pPr>
        <w:spacing w:after="120" w:before="0"/>
      </w:pPr>
      <w:r>
        <w:rPr>
          <w:rFonts w:ascii="Calibri" w:cs="Calibri" w:eastAsia="Calibri" w:hAnsi="Calibri"/>
          <w:color w:val="1A1A1A"/>
          <w:sz w:val="20"/>
          <w:szCs w:val="20"/>
        </w:rPr>
        <w:t xml:space="preserve">This SOW, and any non-contractual obligation arising in connection with it, is governed by and construed in accordance with the laws of the Republic of India, without giving effect to any conflict-of-laws principles that would result in the application of the laws of another jurisdiction.</w:t>
      </w:r>
    </w:p>
    <w:p>
      <w:pPr>
        <w:pStyle w:val="Heading2"/>
        <w:spacing w:after="140" w:before="280"/>
      </w:pPr>
      <w:r>
        <w:rPr>
          <w:rFonts w:ascii="Calibri" w:cs="Calibri" w:eastAsia="Calibri" w:hAnsi="Calibri"/>
          <w:b/>
          <w:bCs/>
          <w:color w:val="1F3864"/>
          <w:sz w:val="28"/>
          <w:szCs w:val="28"/>
        </w:rPr>
        <w:t xml:space="preserve">50.2  Tier 1 — Negotiation</w:t>
      </w:r>
    </w:p>
    <w:p>
      <w:pPr>
        <w:spacing w:after="120" w:before="0"/>
      </w:pPr>
      <w:r>
        <w:rPr>
          <w:rFonts w:ascii="Calibri" w:cs="Calibri" w:eastAsia="Calibri" w:hAnsi="Calibri"/>
          <w:color w:val="1A1A1A"/>
          <w:sz w:val="20"/>
          <w:szCs w:val="20"/>
        </w:rPr>
        <w:t xml:space="preserve">The Parties will attempt in good faith to resolve any dispute arising out of or in connection with this SOW (“Dispute”) by negotiation between the Client Sponsor and the Consultant Engagement Lead. Either Party may initiate negotiation by written notice to the other identifying the Dispute. If the Dispute is not resolved within 30 calendar days of the notice, either Party may proceed to Tier 2.</w:t>
      </w:r>
    </w:p>
    <w:p>
      <w:pPr>
        <w:pStyle w:val="Heading2"/>
        <w:spacing w:after="140" w:before="280"/>
      </w:pPr>
      <w:r>
        <w:rPr>
          <w:rFonts w:ascii="Calibri" w:cs="Calibri" w:eastAsia="Calibri" w:hAnsi="Calibri"/>
          <w:b/>
          <w:bCs/>
          <w:color w:val="1F3864"/>
          <w:sz w:val="28"/>
          <w:szCs w:val="28"/>
        </w:rPr>
        <w:t xml:space="preserve">50.3  Tier 2 — Arbitration</w:t>
      </w:r>
    </w:p>
    <w:p>
      <w:pPr>
        <w:spacing w:after="120" w:before="0"/>
      </w:pPr>
      <w:r>
        <w:rPr>
          <w:rFonts w:ascii="Calibri" w:cs="Calibri" w:eastAsia="Calibri" w:hAnsi="Calibri"/>
          <w:color w:val="1A1A1A"/>
          <w:sz w:val="20"/>
          <w:szCs w:val="20"/>
        </w:rPr>
        <w:t xml:space="preserve">Any Dispute not resolved under Section 50.2 will be referred to and finally resolved by arbitration conducted under the Arbitration and Conciliation Act, 1996 (as amended), and the rules thereunder. The arbitration will be conducted by a sole arbitrator appointed by mutual agreement of the Parties; failing such agreement within 15 business days of the request for arbitration, the appointment will be made in accordance with the Act. The seat and venue of arbitration is New Delhi, India. The language of arbitration is English. The award is final and binding on the Parties.</w:t>
      </w:r>
    </w:p>
    <w:p>
      <w:pPr>
        <w:pStyle w:val="Heading2"/>
        <w:spacing w:after="140" w:before="280"/>
      </w:pPr>
      <w:r>
        <w:rPr>
          <w:rFonts w:ascii="Calibri" w:cs="Calibri" w:eastAsia="Calibri" w:hAnsi="Calibri"/>
          <w:b/>
          <w:bCs/>
          <w:color w:val="1F3864"/>
          <w:sz w:val="28"/>
          <w:szCs w:val="28"/>
        </w:rPr>
        <w:t xml:space="preserve">50.4  Jurisdiction</w:t>
      </w:r>
    </w:p>
    <w:p>
      <w:pPr>
        <w:spacing w:after="120" w:before="0"/>
      </w:pPr>
      <w:r>
        <w:rPr>
          <w:rFonts w:ascii="Calibri" w:cs="Calibri" w:eastAsia="Calibri" w:hAnsi="Calibri"/>
          <w:color w:val="1A1A1A"/>
          <w:sz w:val="20"/>
          <w:szCs w:val="20"/>
        </w:rPr>
        <w:t xml:space="preserve">Subject to Section 50.3, the courts at New Delhi have exclusive jurisdiction in respect of any matter not required to be submitted to arbitration, including applications for interim relief and enforcement of an arbitral award.</w:t>
      </w:r>
    </w:p>
    <w:p>
      <w:pPr>
        <w:pStyle w:val="Heading2"/>
        <w:spacing w:after="140" w:before="280"/>
      </w:pPr>
      <w:r>
        <w:rPr>
          <w:rFonts w:ascii="Calibri" w:cs="Calibri" w:eastAsia="Calibri" w:hAnsi="Calibri"/>
          <w:b/>
          <w:bCs/>
          <w:color w:val="1F3864"/>
          <w:sz w:val="28"/>
          <w:szCs w:val="28"/>
        </w:rPr>
        <w:t xml:space="preserve">50.5  Continued performance</w:t>
      </w:r>
    </w:p>
    <w:p>
      <w:pPr>
        <w:spacing w:after="120" w:before="0"/>
      </w:pPr>
      <w:r>
        <w:rPr>
          <w:rFonts w:ascii="Calibri" w:cs="Calibri" w:eastAsia="Calibri" w:hAnsi="Calibri"/>
          <w:color w:val="1A1A1A"/>
          <w:sz w:val="20"/>
          <w:szCs w:val="20"/>
        </w:rPr>
        <w:t xml:space="preserve">During the pendency of any Dispute, both Parties continue to perform their obligations under this SOW (other than the disputed obligations) and the Client continues to pay all undisputed amounts when due.</w:t>
      </w:r>
    </w:p>
    <w:p>
      <w:pPr>
        <w:pStyle w:val="Heading2"/>
        <w:spacing w:after="140" w:before="280"/>
      </w:pPr>
      <w:r>
        <w:rPr>
          <w:rFonts w:ascii="Calibri" w:cs="Calibri" w:eastAsia="Calibri" w:hAnsi="Calibri"/>
          <w:b/>
          <w:bCs/>
          <w:color w:val="1F3864"/>
          <w:sz w:val="28"/>
          <w:szCs w:val="28"/>
        </w:rPr>
        <w:t xml:space="preserve">50.6  Equitable relief</w:t>
      </w:r>
    </w:p>
    <w:p>
      <w:pPr>
        <w:spacing w:after="120" w:before="0"/>
      </w:pPr>
      <w:r>
        <w:rPr>
          <w:rFonts w:ascii="Calibri" w:cs="Calibri" w:eastAsia="Calibri" w:hAnsi="Calibri"/>
          <w:color w:val="1A1A1A"/>
          <w:sz w:val="20"/>
          <w:szCs w:val="20"/>
        </w:rPr>
        <w:t xml:space="preserve">Notwithstanding Sections 50.2 and 50.3, either Party may at any time apply to a court of competent jurisdiction for interim or injunctive relief to protect its confidential information, intellectual property, or to enforce payment obligations, without first exhausting the negotiation and arbitration tiers.</w:t>
      </w:r>
    </w:p>
    <w:p>
      <w:pPr>
        <w:pStyle w:val="Heading1"/>
        <w:pageBreakBefore/>
        <w:spacing w:after="240" w:before="0"/>
      </w:pPr>
      <w:r>
        <w:rPr>
          <w:rFonts w:ascii="Calibri" w:cs="Calibri" w:eastAsia="Calibri" w:hAnsi="Calibri"/>
          <w:b/>
          <w:bCs/>
          <w:color w:val="1F3864"/>
          <w:sz w:val="36"/>
          <w:szCs w:val="36"/>
        </w:rPr>
        <w:t xml:space="preserve">51. General Provisions</w:t>
      </w:r>
    </w:p>
    <w:p>
      <w:pPr>
        <w:pStyle w:val="Heading2"/>
        <w:spacing w:after="140" w:before="280"/>
      </w:pPr>
      <w:r>
        <w:rPr>
          <w:rFonts w:ascii="Calibri" w:cs="Calibri" w:eastAsia="Calibri" w:hAnsi="Calibri"/>
          <w:b/>
          <w:bCs/>
          <w:color w:val="1F3864"/>
          <w:sz w:val="28"/>
          <w:szCs w:val="28"/>
        </w:rPr>
        <w:t xml:space="preserve">51.1  Independent contractor</w:t>
      </w:r>
    </w:p>
    <w:p>
      <w:pPr>
        <w:spacing w:after="120" w:before="0"/>
      </w:pPr>
      <w:r>
        <w:rPr>
          <w:rFonts w:ascii="Calibri" w:cs="Calibri" w:eastAsia="Calibri" w:hAnsi="Calibri"/>
          <w:color w:val="1A1A1A"/>
          <w:sz w:val="20"/>
          <w:szCs w:val="20"/>
        </w:rPr>
        <w:t xml:space="preserve">The Consultant is engaged as an independent contractor. Nothing in this SOW creates a partnership, joint venture, agency, employer-employee, or fiduciary relationship between the Parties. Neither Party has authority to bind the other or to incur any obligation on behalf of the other except as expressly stated in this SOW. The Consultant is solely responsible for any income tax, professional tax, social-security or other statutory contributions arising from the charges payable under this SOW.</w:t>
      </w:r>
    </w:p>
    <w:p>
      <w:pPr>
        <w:pStyle w:val="Heading2"/>
        <w:spacing w:after="140" w:before="280"/>
      </w:pPr>
      <w:r>
        <w:rPr>
          <w:rFonts w:ascii="Calibri" w:cs="Calibri" w:eastAsia="Calibri" w:hAnsi="Calibri"/>
          <w:b/>
          <w:bCs/>
          <w:color w:val="1F3864"/>
          <w:sz w:val="28"/>
          <w:szCs w:val="28"/>
        </w:rPr>
        <w:t xml:space="preserve">51.2  Non-solicitation</w:t>
      </w:r>
    </w:p>
    <w:p>
      <w:pPr>
        <w:spacing w:after="120" w:before="0"/>
      </w:pPr>
      <w:r>
        <w:rPr>
          <w:rFonts w:ascii="Calibri" w:cs="Calibri" w:eastAsia="Calibri" w:hAnsi="Calibri"/>
          <w:color w:val="1A1A1A"/>
          <w:sz w:val="20"/>
          <w:szCs w:val="20"/>
        </w:rPr>
        <w:t xml:space="preserve">During the Term and for 12 calendar months thereafter, neither Party will, directly or indirectly, solicit for employment or engagement any employee or contractor of the other Party who was actively involved in this engagement, except: (a) through general public advertisements not specifically targeted at such persons; or (b) with the prior written consent of the other Party. Hire of an applicant who responds to a general public advertisement is permitted.</w:t>
      </w:r>
    </w:p>
    <w:p>
      <w:pPr>
        <w:pStyle w:val="Heading2"/>
        <w:spacing w:after="140" w:before="280"/>
      </w:pPr>
      <w:r>
        <w:rPr>
          <w:rFonts w:ascii="Calibri" w:cs="Calibri" w:eastAsia="Calibri" w:hAnsi="Calibri"/>
          <w:b/>
          <w:bCs/>
          <w:color w:val="1F3864"/>
          <w:sz w:val="28"/>
          <w:szCs w:val="28"/>
        </w:rPr>
        <w:t xml:space="preserve">51.3  Anti-bribery and anti-corruption</w:t>
      </w:r>
    </w:p>
    <w:p>
      <w:pPr>
        <w:spacing w:after="120" w:before="0"/>
      </w:pPr>
      <w:r>
        <w:rPr>
          <w:rFonts w:ascii="Calibri" w:cs="Calibri" w:eastAsia="Calibri" w:hAnsi="Calibri"/>
          <w:color w:val="1A1A1A"/>
          <w:sz w:val="20"/>
          <w:szCs w:val="20"/>
        </w:rPr>
        <w:t xml:space="preserve">Each Party will comply with all applicable anti-bribery and anti-corruption laws, including the Prevention of Corruption Act, 1988 (India). Neither Party will offer, give, or accept any bribe, kickback or improper benefit in connection with this SOW. Each Party may terminate this SOW immediately on written notice for breach of this Section, treating it as material breach not capable of remedy under Section 46.4.</w:t>
      </w:r>
    </w:p>
    <w:p>
      <w:pPr>
        <w:pStyle w:val="Heading2"/>
        <w:spacing w:after="140" w:before="280"/>
      </w:pPr>
      <w:r>
        <w:rPr>
          <w:rFonts w:ascii="Calibri" w:cs="Calibri" w:eastAsia="Calibri" w:hAnsi="Calibri"/>
          <w:b/>
          <w:bCs/>
          <w:color w:val="1F3864"/>
          <w:sz w:val="28"/>
          <w:szCs w:val="28"/>
        </w:rPr>
        <w:t xml:space="preserve">51.4  Severability</w:t>
      </w:r>
    </w:p>
    <w:p>
      <w:pPr>
        <w:spacing w:after="120" w:before="0"/>
      </w:pPr>
      <w:r>
        <w:rPr>
          <w:rFonts w:ascii="Calibri" w:cs="Calibri" w:eastAsia="Calibri" w:hAnsi="Calibri"/>
          <w:color w:val="1A1A1A"/>
          <w:sz w:val="20"/>
          <w:szCs w:val="20"/>
        </w:rPr>
        <w:t xml:space="preserve">If any provision of this SOW is held by a court or arbitrator of competent jurisdiction to be invalid or unenforceable, the remainder of the SOW remains in full force and effect, and the Parties will negotiate in good faith to replace the invalid or unenforceable provision with a valid and enforceable one that achieves the original commercial intent as closely as possible.</w:t>
      </w:r>
    </w:p>
    <w:p>
      <w:pPr>
        <w:pStyle w:val="Heading2"/>
        <w:spacing w:after="140" w:before="280"/>
      </w:pPr>
      <w:r>
        <w:rPr>
          <w:rFonts w:ascii="Calibri" w:cs="Calibri" w:eastAsia="Calibri" w:hAnsi="Calibri"/>
          <w:b/>
          <w:bCs/>
          <w:color w:val="1F3864"/>
          <w:sz w:val="28"/>
          <w:szCs w:val="28"/>
        </w:rPr>
        <w:t xml:space="preserve">51.5  Entire agreement</w:t>
      </w:r>
    </w:p>
    <w:p>
      <w:pPr>
        <w:spacing w:after="120" w:before="0"/>
      </w:pPr>
      <w:r>
        <w:rPr>
          <w:rFonts w:ascii="Calibri" w:cs="Calibri" w:eastAsia="Calibri" w:hAnsi="Calibri"/>
          <w:color w:val="1A1A1A"/>
          <w:sz w:val="20"/>
          <w:szCs w:val="20"/>
        </w:rPr>
        <w:t xml:space="preserve">This SOW (together with any Change Orders and the DPA referenced in Section 48) constitutes the entire agreement between the Parties with respect to its subject matter and supersedes all prior or contemporaneous proposals, negotiations, understandings, and agreements (whether written or oral), including any prior version of this SOW (v1.0 through v3.0). The Parties have not relied on any statement, representation, assurance or warranty not expressly set out in this SOW.</w:t>
      </w:r>
    </w:p>
    <w:p>
      <w:pPr>
        <w:pStyle w:val="Heading2"/>
        <w:spacing w:after="140" w:before="280"/>
      </w:pPr>
      <w:r>
        <w:rPr>
          <w:rFonts w:ascii="Calibri" w:cs="Calibri" w:eastAsia="Calibri" w:hAnsi="Calibri"/>
          <w:b/>
          <w:bCs/>
          <w:color w:val="1F3864"/>
          <w:sz w:val="28"/>
          <w:szCs w:val="28"/>
        </w:rPr>
        <w:t xml:space="preserve">51.6  Amendment</w:t>
      </w:r>
    </w:p>
    <w:p>
      <w:pPr>
        <w:spacing w:after="120" w:before="0"/>
      </w:pPr>
      <w:r>
        <w:rPr>
          <w:rFonts w:ascii="Calibri" w:cs="Calibri" w:eastAsia="Calibri" w:hAnsi="Calibri"/>
          <w:color w:val="1A1A1A"/>
          <w:sz w:val="20"/>
          <w:szCs w:val="20"/>
        </w:rPr>
        <w:t xml:space="preserve">No amendment, modification or waiver of any provision of this SOW is effective unless in writing and signed by an authorised representative of each Party. Email exchanges, even if explicit, do not amend this SOW unless the email is countersigned by an authorised representative or attaches a signed amendment instrument.</w:t>
      </w:r>
    </w:p>
    <w:p>
      <w:pPr>
        <w:pStyle w:val="Heading2"/>
        <w:spacing w:after="140" w:before="280"/>
      </w:pPr>
      <w:r>
        <w:rPr>
          <w:rFonts w:ascii="Calibri" w:cs="Calibri" w:eastAsia="Calibri" w:hAnsi="Calibri"/>
          <w:b/>
          <w:bCs/>
          <w:color w:val="1F3864"/>
          <w:sz w:val="28"/>
          <w:szCs w:val="28"/>
        </w:rPr>
        <w:t xml:space="preserve">51.7  Notices</w:t>
      </w:r>
    </w:p>
    <w:p>
      <w:pPr>
        <w:spacing w:after="120" w:before="0"/>
      </w:pPr>
      <w:r>
        <w:rPr>
          <w:rFonts w:ascii="Calibri" w:cs="Calibri" w:eastAsia="Calibri" w:hAnsi="Calibri"/>
          <w:color w:val="1A1A1A"/>
          <w:sz w:val="20"/>
          <w:szCs w:val="20"/>
        </w:rPr>
        <w:t xml:space="preserve">Any notice required or permitted under this SOW must be in writing and will be deemed to have been duly given: (a) on personal delivery to the addressee; (b) on delivery confirmation if sent by registered post; or (c) on transmission confirmation if sent by email to the address designated by the Party. Each Party may change its notice address by written notice to the other.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Notices to Client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to insert: name, address, email of designated notice recipient]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Notices to Consultant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to insert: name, address, email of designated notice recipient]</w:t>
            </w:r>
          </w:p>
        </w:tc>
      </w:tr>
    </w:tbl>
    <w:p>
      <w:pPr>
        <w:pStyle w:val="Heading2"/>
        <w:spacing w:after="140" w:before="280"/>
      </w:pPr>
      <w:r>
        <w:rPr>
          <w:rFonts w:ascii="Calibri" w:cs="Calibri" w:eastAsia="Calibri" w:hAnsi="Calibri"/>
          <w:b/>
          <w:bCs/>
          <w:color w:val="1F3864"/>
          <w:sz w:val="28"/>
          <w:szCs w:val="28"/>
        </w:rPr>
        <w:t xml:space="preserve">51.8  Assignment</w:t>
      </w:r>
    </w:p>
    <w:p>
      <w:pPr>
        <w:spacing w:after="120" w:before="0"/>
      </w:pPr>
      <w:r>
        <w:rPr>
          <w:rFonts w:ascii="Calibri" w:cs="Calibri" w:eastAsia="Calibri" w:hAnsi="Calibri"/>
          <w:color w:val="1A1A1A"/>
          <w:sz w:val="20"/>
          <w:szCs w:val="20"/>
        </w:rPr>
        <w:t xml:space="preserve">Neither Party may assign, transfer or sub-contract any of its rights or obligations under this SOW without the prior written consent of the other Party, such consent not to be unreasonably withheld. Notwithstanding the foregoing: (a) the Consultant may sub-contract specific tasks to qualified personnel provided the Consultant remains primarily responsible to the Client and obtains equivalent confidentiality and IP protections; and (b) either Party may assign this SOW to a successor in connection with a merger, acquisition, or sale of substantially all of its assets, on written notice to the other Party.</w:t>
      </w:r>
    </w:p>
    <w:p>
      <w:pPr>
        <w:pStyle w:val="Heading2"/>
        <w:spacing w:after="140" w:before="280"/>
      </w:pPr>
      <w:r>
        <w:rPr>
          <w:rFonts w:ascii="Calibri" w:cs="Calibri" w:eastAsia="Calibri" w:hAnsi="Calibri"/>
          <w:b/>
          <w:bCs/>
          <w:color w:val="1F3864"/>
          <w:sz w:val="28"/>
          <w:szCs w:val="28"/>
        </w:rPr>
        <w:t xml:space="preserve">51.9  Counterparts and electronic signatures</w:t>
      </w:r>
    </w:p>
    <w:p>
      <w:pPr>
        <w:spacing w:after="120" w:before="0"/>
      </w:pPr>
      <w:r>
        <w:rPr>
          <w:rFonts w:ascii="Calibri" w:cs="Calibri" w:eastAsia="Calibri" w:hAnsi="Calibri"/>
          <w:color w:val="1A1A1A"/>
          <w:sz w:val="20"/>
          <w:szCs w:val="20"/>
        </w:rPr>
        <w:t xml:space="preserve">This SOW may be executed in counterparts, each of which is an original and which together constitute one and the same instrument. Electronic signatures (including DSC under the Information Technology Act, 2000) are valid and binding.</w:t>
      </w:r>
    </w:p>
    <w:p>
      <w:pPr>
        <w:pStyle w:val="Heading2"/>
        <w:spacing w:after="140" w:before="280"/>
      </w:pPr>
      <w:r>
        <w:rPr>
          <w:rFonts w:ascii="Calibri" w:cs="Calibri" w:eastAsia="Calibri" w:hAnsi="Calibri"/>
          <w:b/>
          <w:bCs/>
          <w:color w:val="1F3864"/>
          <w:sz w:val="28"/>
          <w:szCs w:val="28"/>
        </w:rPr>
        <w:t xml:space="preserve">51.10  No third-party beneficiaries</w:t>
      </w:r>
    </w:p>
    <w:p>
      <w:pPr>
        <w:spacing w:after="120" w:before="0"/>
      </w:pPr>
      <w:r>
        <w:rPr>
          <w:rFonts w:ascii="Calibri" w:cs="Calibri" w:eastAsia="Calibri" w:hAnsi="Calibri"/>
          <w:color w:val="1A1A1A"/>
          <w:sz w:val="20"/>
          <w:szCs w:val="20"/>
        </w:rPr>
        <w:t xml:space="preserve">This SOW is for the benefit of the Parties and their respective successors and permitted assigns. It does not create any rights or remedies in any third party.</w:t>
      </w:r>
    </w:p>
    <w:p>
      <w:pPr>
        <w:pStyle w:val="Heading2"/>
        <w:spacing w:after="140" w:before="280"/>
      </w:pPr>
      <w:r>
        <w:rPr>
          <w:rFonts w:ascii="Calibri" w:cs="Calibri" w:eastAsia="Calibri" w:hAnsi="Calibri"/>
          <w:b/>
          <w:bCs/>
          <w:color w:val="1F3864"/>
          <w:sz w:val="28"/>
          <w:szCs w:val="28"/>
        </w:rPr>
        <w:t xml:space="preserve">51.11  Publicity</w:t>
      </w:r>
    </w:p>
    <w:p>
      <w:pPr>
        <w:spacing w:after="120" w:before="0"/>
      </w:pPr>
      <w:r>
        <w:rPr>
          <w:rFonts w:ascii="Calibri" w:cs="Calibri" w:eastAsia="Calibri" w:hAnsi="Calibri"/>
          <w:color w:val="1A1A1A"/>
          <w:sz w:val="20"/>
          <w:szCs w:val="20"/>
        </w:rPr>
        <w:t xml:space="preserve">The Consultant may, with the Client’s prior written approval (not to be unreasonably withheld for general capability marketing), reference the Client’s name and a high-level description of the engagement on the Consultant’s website and proposals. The Consultant will not disclose specific commercial terms, customer data, or operational metrics without express written consent of the Client. The Client may reference the Consultant similarly, subject to the same constraints.</w:t>
      </w:r>
    </w:p>
    <w:p>
      <w:pPr>
        <w:pageBreakBefore/>
        <w:spacing w:after="200" w:before="4000"/>
        <w:jc w:val="center"/>
      </w:pPr>
      <w:r>
        <w:rPr>
          <w:rFonts w:ascii="Calibri" w:cs="Calibri" w:eastAsia="Calibri" w:hAnsi="Calibri"/>
          <w:b/>
          <w:bCs/>
          <w:caps/>
          <w:color w:val="808080"/>
          <w:sz w:val="22"/>
          <w:szCs w:val="22"/>
        </w:rPr>
        <w:t xml:space="preserve">Part XIII</w:t>
      </w:r>
    </w:p>
    <w:p>
      <w:pPr>
        <w:spacing w:after="1600" w:before="0"/>
        <w:jc w:val="center"/>
      </w:pPr>
      <w:r>
        <w:rPr>
          <w:rFonts w:ascii="Calibri" w:cs="Calibri" w:eastAsia="Calibri" w:hAnsi="Calibri"/>
          <w:b/>
          <w:bCs/>
          <w:color w:val="1F3864"/>
          <w:sz w:val="56"/>
          <w:szCs w:val="56"/>
        </w:rPr>
        <w:t xml:space="preserve">Reference &amp; Sign-off</w:t>
      </w:r>
    </w:p>
    <w:p>
      <w:pPr>
        <w:pStyle w:val="Heading1"/>
        <w:pageBreakBefore/>
        <w:spacing w:after="240" w:before="0"/>
      </w:pPr>
      <w:r>
        <w:rPr>
          <w:rFonts w:ascii="Calibri" w:cs="Calibri" w:eastAsia="Calibri" w:hAnsi="Calibri"/>
          <w:b/>
          <w:bCs/>
          <w:color w:val="1F3864"/>
          <w:sz w:val="36"/>
          <w:szCs w:val="36"/>
        </w:rPr>
        <w:t xml:space="preserve">52. Glossary</w:t>
      </w:r>
    </w:p>
    <w:p>
      <w:pPr>
        <w:spacing w:after="120" w:before="0"/>
      </w:pPr>
      <w:r>
        <w:rPr>
          <w:rFonts w:ascii="Calibri" w:cs="Calibri" w:eastAsia="Calibri" w:hAnsi="Calibri"/>
          <w:color w:val="1A1A1A"/>
          <w:sz w:val="20"/>
          <w:szCs w:val="20"/>
        </w:rPr>
        <w:t xml:space="preserve">Defined terms used in this SOW. Where a term is not defined here but is in capitalised form, its meaning is taken from the relevant statute or industry standard.</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Term</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Meaning</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ap-south-1</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Mumbai region; the default India-resident hosting region for the self-hosted Novu deployment delivered under this SOW</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 Solution Provider — Meta-authorised reseller for WhatsApp Business Cloud API (e.g. MSG91, Karix, Gupshup)</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Control Board — the cross-party body that decides on Material and Critical change requests (Section 27.2)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Request — a formal proposal to alter the scope, effort, timeline or terms of this SOW (Section 27)</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Distributed Ledger Technology — the TRAI mandate for SMS sender registration in India; in this SOW, refers to Principal Entity ID (PE ID) and Template ID assignment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DPA</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Processing Agreement — the separate agreement governing personal-data processing (Section 48)</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Digital Personal Data Protection Act, 2023 — India’s primary data-protection statute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DSC</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Digital Signature Certificate — issued under the Information Technology Act, 2000</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ECS / EKS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Elastic Container Service / Elastic Kubernetes Service — AWS container hosting options for the Novu API and Worker tiers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Foreign Account Tax Compliance Act — US legislation requiring reporting on US-person investors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IaC</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as Code — Terraform / Helm definitions delivered with the engagement (Section 17.4)</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Regulatory and Development Authority of India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ISmsProvider / IChatProvider / IEmailProvider</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provider plugin interfaces (Apache-2.0). Implemented by the Consultant for MSG91 and Karix custom plugins (Section 18.1)</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 Pipeline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TPE’s existing automated batch-process generating monthly remittance attachments to insurer partners (used by workflow INS-02)</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Multi-AZ</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deployment topology spanning two or more Availability Zones within a region for high availability (Section 17.2)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Open-source / source-available notification infrastructure platform (novu.co) on which the v4.0 deployment is built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Bridge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Component that synchronises workflow code from the Client repository into the running Novu instance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Framework</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TypeScript SDK in which workflows are authored as code; deployed via Novu Bridge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Web</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dashboard for Novu (subscribers, integrations, executions); access-controlled to Client SSO in this deployment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NPV</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 Present Value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OOP</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Out-of-Pocket — reimbursable expenses (Section 40.3)</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 ID</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Principal Entity ID — DLT registration identifier required on every transactional / promotional SMS in India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Personally Identifiable Information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RACI</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Responsible / Accountable / Consulted / Informed (Section 25)</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Rich Communication Services — a SMS-successor messaging standard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RDS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Amazon Relational Database Service — managed Postgres in this deployment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RPO / RTO</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Recovery Point Objective / Recovery Time Objective — backup-recovery targets (Section 20)</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 Access Request — a data-principal request under DPDPA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 Sev-2 / Sev-3 / Sev-4</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Defect severity levels (Section 21.2)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Service Level Agreement (Section 28)</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SOW</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Statement of Work — this document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step.custom</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Framework primitive used to invoke a custom step in a workflow (e.g. compliance-check, audit-emit) — Section 18.2 and 18.3</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Novu’s representation of a recipient (policyholder, investor, partner contact, internal user). Carries channel addresses and per-channel preferences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T&amp;M</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 and Materials — billing model based on consultant-days at rate-card rates (Section 41)</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Tax Deducted at Source — under the Income Tax Act, 1961</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Policy Exchange — operating brand of Fairvalue Insuretech Pvt. Ltd., the Client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Telecom Regulatory Authority of India</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 Cloud API</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since 23 Oct 2025 the only supported WhatsApp Business API path, accessed in this deployment via a BSP</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 category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Marketing / Utility / Authentication — Meta’s template categorisation that gates send eligibility</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 Novu, a TypeScript-defined unit that ties a trigger payload to channel steps, cadence and provider routing. The 49 lifecycle triggers in Section 14 each map to one workflow</w:t>
            </w:r>
          </w:p>
        </w:tc>
      </w:tr>
    </w:tbl>
    <w:p>
      <w:pPr>
        <w:pStyle w:val="Heading1"/>
        <w:pageBreakBefore/>
        <w:spacing w:after="240" w:before="0"/>
      </w:pPr>
      <w:r>
        <w:rPr>
          <w:rFonts w:ascii="Calibri" w:cs="Calibri" w:eastAsia="Calibri" w:hAnsi="Calibri"/>
          <w:b/>
          <w:bCs/>
          <w:color w:val="1F3864"/>
          <w:sz w:val="36"/>
          <w:szCs w:val="36"/>
        </w:rPr>
        <w:t xml:space="preserve">53. References</w:t>
      </w:r>
    </w:p>
    <w:p>
      <w:pPr>
        <w:spacing w:after="120" w:before="0"/>
      </w:pPr>
      <w:r>
        <w:rPr>
          <w:rFonts w:ascii="Calibri" w:cs="Calibri" w:eastAsia="Calibri" w:hAnsi="Calibri"/>
          <w:color w:val="1A1A1A"/>
          <w:sz w:val="20"/>
          <w:szCs w:val="20"/>
        </w:rPr>
        <w:t xml:space="preserve">Sources and reference frameworks consulted in preparing this SOW. References are non-exhaustive and are provided for traceability; the Parties’ obligations are governed by the body of this SOW and applicable law as in force from time to time.</w:t>
      </w:r>
    </w:p>
    <w:p>
      <w:pPr>
        <w:pStyle w:val="Heading2"/>
        <w:spacing w:after="140" w:before="280"/>
      </w:pPr>
      <w:r>
        <w:rPr>
          <w:rFonts w:ascii="Calibri" w:cs="Calibri" w:eastAsia="Calibri" w:hAnsi="Calibri"/>
          <w:b/>
          <w:bCs/>
          <w:color w:val="1F3864"/>
          <w:sz w:val="28"/>
          <w:szCs w:val="28"/>
        </w:rPr>
        <w:t xml:space="preserve">53.1  Statutes and regulations</w:t>
      </w:r>
    </w:p>
    <w:p>
      <w:pPr>
        <w:pStyle w:val="ListParagraph"/>
        <w:numPr>
          <w:ilvl w:val="0"/>
          <w:numId w:val="2"/>
        </w:numPr>
        <w:spacing w:after="80"/>
      </w:pPr>
      <w:r>
        <w:rPr>
          <w:rFonts w:ascii="Calibri" w:cs="Calibri" w:eastAsia="Calibri" w:hAnsi="Calibri"/>
          <w:color w:val="1A1A1A"/>
          <w:sz w:val="20"/>
          <w:szCs w:val="20"/>
        </w:rPr>
        <w:t xml:space="preserve">Information Technology Act, 2000 (India), and the Information Technology (Reasonable Security Practices) Rules, 2011.</w:t>
      </w:r>
    </w:p>
    <w:p>
      <w:pPr>
        <w:pStyle w:val="ListParagraph"/>
        <w:numPr>
          <w:ilvl w:val="0"/>
          <w:numId w:val="2"/>
        </w:numPr>
        <w:spacing w:after="80"/>
      </w:pPr>
      <w:r>
        <w:rPr>
          <w:rFonts w:ascii="Calibri" w:cs="Calibri" w:eastAsia="Calibri" w:hAnsi="Calibri"/>
          <w:color w:val="1A1A1A"/>
          <w:sz w:val="20"/>
          <w:szCs w:val="20"/>
        </w:rPr>
        <w:t xml:space="preserve">Digital Personal Data Protection Act, 2023 (India).</w:t>
      </w:r>
    </w:p>
    <w:p>
      <w:pPr>
        <w:pStyle w:val="ListParagraph"/>
        <w:numPr>
          <w:ilvl w:val="0"/>
          <w:numId w:val="2"/>
        </w:numPr>
        <w:spacing w:after="80"/>
      </w:pPr>
      <w:r>
        <w:rPr>
          <w:rFonts w:ascii="Calibri" w:cs="Calibri" w:eastAsia="Calibri" w:hAnsi="Calibri"/>
          <w:color w:val="1A1A1A"/>
          <w:sz w:val="20"/>
          <w:szCs w:val="20"/>
        </w:rPr>
        <w:t xml:space="preserve">Insurance Act, 1938; Insurance Regulatory and Development Authority Act, 1999; relevant IRDAI regulations and circulars in force.</w:t>
      </w:r>
    </w:p>
    <w:p>
      <w:pPr>
        <w:pStyle w:val="ListParagraph"/>
        <w:numPr>
          <w:ilvl w:val="0"/>
          <w:numId w:val="2"/>
        </w:numPr>
        <w:spacing w:after="80"/>
      </w:pPr>
      <w:r>
        <w:rPr>
          <w:rFonts w:ascii="Calibri" w:cs="Calibri" w:eastAsia="Calibri" w:hAnsi="Calibri"/>
          <w:color w:val="1A1A1A"/>
          <w:sz w:val="20"/>
          <w:szCs w:val="20"/>
        </w:rPr>
        <w:t xml:space="preserve">Income Tax Act, 1961 (TDS, statutory documentation).</w:t>
      </w:r>
    </w:p>
    <w:p>
      <w:pPr>
        <w:pStyle w:val="ListParagraph"/>
        <w:numPr>
          <w:ilvl w:val="0"/>
          <w:numId w:val="2"/>
        </w:numPr>
        <w:spacing w:after="80"/>
      </w:pPr>
      <w:r>
        <w:rPr>
          <w:rFonts w:ascii="Calibri" w:cs="Calibri" w:eastAsia="Calibri" w:hAnsi="Calibri"/>
          <w:color w:val="1A1A1A"/>
          <w:sz w:val="20"/>
          <w:szCs w:val="20"/>
        </w:rPr>
        <w:t xml:space="preserve">Goods and Services Tax (Compensation to States) Act, 2017; Central / State / Integrated Goods and Services Tax Acts, 2017.</w:t>
      </w:r>
    </w:p>
    <w:p>
      <w:pPr>
        <w:pStyle w:val="ListParagraph"/>
        <w:numPr>
          <w:ilvl w:val="0"/>
          <w:numId w:val="2"/>
        </w:numPr>
        <w:spacing w:after="80"/>
      </w:pPr>
      <w:r>
        <w:rPr>
          <w:rFonts w:ascii="Calibri" w:cs="Calibri" w:eastAsia="Calibri" w:hAnsi="Calibri"/>
          <w:color w:val="1A1A1A"/>
          <w:sz w:val="20"/>
          <w:szCs w:val="20"/>
        </w:rPr>
        <w:t xml:space="preserve">Telecom Regulatory Authority of India Act, 1997; TRAI Telecom Commercial Communications Customer Preference Regulations, 2018 (DLT framework).</w:t>
      </w:r>
    </w:p>
    <w:p>
      <w:pPr>
        <w:pStyle w:val="ListParagraph"/>
        <w:numPr>
          <w:ilvl w:val="0"/>
          <w:numId w:val="2"/>
        </w:numPr>
        <w:spacing w:after="80"/>
      </w:pPr>
      <w:r>
        <w:rPr>
          <w:rFonts w:ascii="Calibri" w:cs="Calibri" w:eastAsia="Calibri" w:hAnsi="Calibri"/>
          <w:color w:val="1A1A1A"/>
          <w:sz w:val="20"/>
          <w:szCs w:val="20"/>
        </w:rPr>
        <w:t xml:space="preserve">Arbitration and Conciliation Act, 1996 (as amended).</w:t>
      </w:r>
    </w:p>
    <w:p>
      <w:pPr>
        <w:pStyle w:val="ListParagraph"/>
        <w:numPr>
          <w:ilvl w:val="0"/>
          <w:numId w:val="2"/>
        </w:numPr>
        <w:spacing w:after="80"/>
      </w:pPr>
      <w:r>
        <w:rPr>
          <w:rFonts w:ascii="Calibri" w:cs="Calibri" w:eastAsia="Calibri" w:hAnsi="Calibri"/>
          <w:color w:val="1A1A1A"/>
          <w:sz w:val="20"/>
          <w:szCs w:val="20"/>
        </w:rPr>
        <w:t xml:space="preserve">Indian Contract Act, 1872; Sale of Goods Act, 1930.</w:t>
      </w:r>
    </w:p>
    <w:p>
      <w:pPr>
        <w:pStyle w:val="ListParagraph"/>
        <w:numPr>
          <w:ilvl w:val="0"/>
          <w:numId w:val="2"/>
        </w:numPr>
        <w:spacing w:after="80"/>
      </w:pPr>
      <w:r>
        <w:rPr>
          <w:rFonts w:ascii="Calibri" w:cs="Calibri" w:eastAsia="Calibri" w:hAnsi="Calibri"/>
          <w:color w:val="1A1A1A"/>
          <w:sz w:val="20"/>
          <w:szCs w:val="20"/>
        </w:rPr>
        <w:t xml:space="preserve">Prevention of Corruption Act, 1988.</w:t>
      </w:r>
    </w:p>
    <w:p>
      <w:pPr>
        <w:pStyle w:val="Heading2"/>
        <w:spacing w:after="140" w:before="280"/>
      </w:pPr>
      <w:r>
        <w:rPr>
          <w:rFonts w:ascii="Calibri" w:cs="Calibri" w:eastAsia="Calibri" w:hAnsi="Calibri"/>
          <w:b/>
          <w:bCs/>
          <w:color w:val="1F3864"/>
          <w:sz w:val="28"/>
          <w:szCs w:val="28"/>
        </w:rPr>
        <w:t xml:space="preserve">53.2  Industry standards and guidance</w:t>
      </w:r>
    </w:p>
    <w:p>
      <w:pPr>
        <w:pStyle w:val="ListParagraph"/>
        <w:numPr>
          <w:ilvl w:val="0"/>
          <w:numId w:val="2"/>
        </w:numPr>
        <w:spacing w:after="80"/>
      </w:pPr>
      <w:r>
        <w:rPr>
          <w:rFonts w:ascii="Calibri" w:cs="Calibri" w:eastAsia="Calibri" w:hAnsi="Calibri"/>
          <w:color w:val="1A1A1A"/>
          <w:sz w:val="20"/>
          <w:szCs w:val="20"/>
        </w:rPr>
        <w:t xml:space="preserve">WhatsApp Business Solution Terms; Meta Business Messaging policies (template categories: Marketing / Utility / Authentication).</w:t>
      </w:r>
    </w:p>
    <w:p>
      <w:pPr>
        <w:pStyle w:val="ListParagraph"/>
        <w:numPr>
          <w:ilvl w:val="0"/>
          <w:numId w:val="2"/>
        </w:numPr>
        <w:spacing w:after="80"/>
      </w:pPr>
      <w:r>
        <w:rPr>
          <w:rFonts w:ascii="Calibri" w:cs="Calibri" w:eastAsia="Calibri" w:hAnsi="Calibri"/>
          <w:color w:val="1A1A1A"/>
          <w:sz w:val="20"/>
          <w:szCs w:val="20"/>
        </w:rPr>
        <w:t xml:space="preserve">ISO/IEC 27001:2022 — Information security management (referenced for Section 20 controls).</w:t>
      </w:r>
    </w:p>
    <w:p>
      <w:pPr>
        <w:pStyle w:val="ListParagraph"/>
        <w:numPr>
          <w:ilvl w:val="0"/>
          <w:numId w:val="2"/>
        </w:numPr>
        <w:spacing w:after="80"/>
      </w:pPr>
      <w:r>
        <w:rPr>
          <w:rFonts w:ascii="Calibri" w:cs="Calibri" w:eastAsia="Calibri" w:hAnsi="Calibri"/>
          <w:color w:val="1A1A1A"/>
          <w:sz w:val="20"/>
          <w:szCs w:val="20"/>
        </w:rPr>
        <w:t xml:space="preserve">OWASP ASVS — Application Security Verification Standard (where relevant to renderer code).</w:t>
      </w:r>
    </w:p>
    <w:p>
      <w:pPr>
        <w:pStyle w:val="Heading2"/>
        <w:spacing w:after="140" w:before="280"/>
      </w:pPr>
      <w:r>
        <w:rPr>
          <w:rFonts w:ascii="Calibri" w:cs="Calibri" w:eastAsia="Calibri" w:hAnsi="Calibri"/>
          <w:b/>
          <w:bCs/>
          <w:color w:val="1F3864"/>
          <w:sz w:val="28"/>
          <w:szCs w:val="28"/>
        </w:rPr>
        <w:t xml:space="preserve">53.3  Internal references</w:t>
      </w:r>
    </w:p>
    <w:p>
      <w:pPr>
        <w:pStyle w:val="ListParagraph"/>
        <w:numPr>
          <w:ilvl w:val="0"/>
          <w:numId w:val="2"/>
        </w:numPr>
        <w:spacing w:after="80"/>
      </w:pPr>
      <w:r>
        <w:rPr>
          <w:rFonts w:ascii="Calibri" w:cs="Calibri" w:eastAsia="Calibri" w:hAnsi="Calibri"/>
          <w:color w:val="1A1A1A"/>
          <w:sz w:val="20"/>
          <w:szCs w:val="20"/>
        </w:rPr>
        <w:t xml:space="preserve">TPE current message templates spreadsheet (provided by Client at scoping).</w:t>
      </w:r>
    </w:p>
    <w:p>
      <w:pPr>
        <w:pStyle w:val="ListParagraph"/>
        <w:numPr>
          <w:ilvl w:val="0"/>
          <w:numId w:val="2"/>
        </w:numPr>
        <w:spacing w:after="80"/>
      </w:pPr>
      <w:r>
        <w:rPr>
          <w:rFonts w:ascii="Calibri" w:cs="Calibri" w:eastAsia="Calibri" w:hAnsi="Calibri"/>
          <w:color w:val="1A1A1A"/>
          <w:sz w:val="20"/>
          <w:szCs w:val="20"/>
        </w:rPr>
        <w:t xml:space="preserve">Existing MIS Pipeline runbook (used by workflow INS-02).</w:t>
      </w:r>
    </w:p>
    <w:p>
      <w:pPr>
        <w:pStyle w:val="ListParagraph"/>
        <w:numPr>
          <w:ilvl w:val="0"/>
          <w:numId w:val="2"/>
        </w:numPr>
        <w:spacing w:after="80"/>
      </w:pPr>
      <w:r>
        <w:rPr>
          <w:rFonts w:ascii="Calibri" w:cs="Calibri" w:eastAsia="Calibri" w:hAnsi="Calibri"/>
          <w:color w:val="1A1A1A"/>
          <w:sz w:val="20"/>
          <w:szCs w:val="20"/>
        </w:rPr>
        <w:t xml:space="preserve">Brand voice samples and style guide (Client).</w:t>
      </w:r>
    </w:p>
    <w:p>
      <w:pPr>
        <w:pStyle w:val="ListParagraph"/>
        <w:numPr>
          <w:ilvl w:val="0"/>
          <w:numId w:val="2"/>
        </w:numPr>
        <w:spacing w:after="80"/>
      </w:pPr>
      <w:r>
        <w:rPr>
          <w:rFonts w:ascii="Calibri" w:cs="Calibri" w:eastAsia="Calibri" w:hAnsi="Calibri"/>
          <w:color w:val="1A1A1A"/>
          <w:sz w:val="20"/>
          <w:szCs w:val="20"/>
        </w:rPr>
        <w:t xml:space="preserve">Novu documentation (docs.novu.co), in particular: workflow framework, Gupshup native provider integration with DLT overrides, subscriber model, Bridge sync model, and self-hosting guide — as in force on the SOW signing date.</w:t>
      </w:r>
    </w:p>
    <w:p>
      <w:pPr>
        <w:pStyle w:val="ListParagraph"/>
        <w:numPr>
          <w:ilvl w:val="0"/>
          <w:numId w:val="2"/>
        </w:numPr>
        <w:spacing w:after="80"/>
      </w:pPr>
      <w:r>
        <w:rPr>
          <w:rFonts w:ascii="Calibri" w:cs="Calibri" w:eastAsia="Calibri" w:hAnsi="Calibri"/>
          <w:color w:val="1A1A1A"/>
          <w:sz w:val="20"/>
          <w:szCs w:val="20"/>
        </w:rPr>
        <w:t xml:space="preserve">MSG91 Flow / SMS / WhatsApp API documentation; Karix transactional and conversational messaging API documentation — referenced for custom Novu provider plugin development under Section 18.1.</w:t>
      </w:r>
    </w:p>
    <w:p>
      <w:pPr>
        <w:pStyle w:val="ListParagraph"/>
        <w:numPr>
          <w:ilvl w:val="0"/>
          <w:numId w:val="2"/>
        </w:numPr>
        <w:spacing w:after="80"/>
      </w:pPr>
      <w:r>
        <w:rPr>
          <w:rFonts w:ascii="Calibri" w:cs="Calibri" w:eastAsia="Calibri" w:hAnsi="Calibri"/>
          <w:color w:val="1A1A1A"/>
          <w:sz w:val="20"/>
          <w:szCs w:val="20"/>
        </w:rPr>
        <w:t xml:space="preserve">WhatsApp Business Cloud API documentation; Meta Business Messaging policies (template categorisation, 24-hour session window).</w:t>
      </w:r>
    </w:p>
    <w:p>
      <w:pPr>
        <w:pStyle w:val="Heading1"/>
        <w:pageBreakBefore/>
        <w:spacing w:after="240" w:before="0"/>
      </w:pPr>
      <w:r>
        <w:rPr>
          <w:rFonts w:ascii="Calibri" w:cs="Calibri" w:eastAsia="Calibri" w:hAnsi="Calibri"/>
          <w:b/>
          <w:bCs/>
          <w:color w:val="1F3864"/>
          <w:sz w:val="36"/>
          <w:szCs w:val="36"/>
        </w:rPr>
        <w:t xml:space="preserve">54. Sign-off</w:t>
      </w:r>
    </w:p>
    <w:p>
      <w:pPr>
        <w:spacing w:after="120" w:before="0"/>
      </w:pPr>
      <w:r>
        <w:rPr>
          <w:rFonts w:ascii="Calibri" w:cs="Calibri" w:eastAsia="Calibri" w:hAnsi="Calibri"/>
          <w:color w:val="1A1A1A"/>
          <w:sz w:val="20"/>
          <w:szCs w:val="20"/>
        </w:rPr>
        <w:t xml:space="preserve">In witness of the terms set out in this Statement of Work, the duly authorised representatives of the Parties have signed below on the dates indicated. By signing, each Party represents that it has reviewed this SOW in full, that it has had the opportunity to obtain independent advice, and that the person signing has authority to bind the Party named.</w:t>
      </w:r>
    </w:p>
    <w:p>
      <w:pPr>
        <w:spacing w:after="100"/>
      </w:pPr>
      <w:r>
        <w:t xml:space="preserve"/>
      </w:r>
    </w:p>
    <w:p>
      <w:pPr>
        <w:spacing w:after="120" w:before="0"/>
      </w:pPr>
      <w:r>
        <w:rPr>
          <w:rFonts w:ascii="Calibri" w:cs="Calibri" w:eastAsia="Calibri" w:hAnsi="Calibri"/>
          <w:i/>
          <w:iCs/>
          <w:color w:val="1A1A1A"/>
          <w:sz w:val="18"/>
          <w:szCs w:val="18"/>
        </w:rPr>
        <w:t xml:space="preserve">This Statement of Work — Document ID TPE-COMMS-SOW-2026-001, Version 3.0 — comprises 54 sections in 13 Parts and is incorporated in full by signature.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FBFBF" w:sz="4"/>
              <w:left w:val="single" w:color="BFBFBF" w:sz="4"/>
              <w:bottom w:val="single" w:color="BFBFBF" w:sz="4"/>
              <w:right w:val="single" w:color="BFBFBF" w:sz="4"/>
            </w:tcBorders>
            <w:shd w:fill="1F3864" w:color="auto" w:val="clear"/>
            <w:tcMar>
              <w:top w:type="dxa" w:w="120"/>
              <w:left w:type="dxa" w:w="240"/>
              <w:bottom w:type="dxa" w:w="120"/>
              <w:right w:type="dxa" w:w="240"/>
            </w:tcMar>
          </w:tcPr>
          <w:p>
            <w:pPr>
              <w:jc w:val="center"/>
            </w:pPr>
            <w:r>
              <w:rPr>
                <w:rFonts w:ascii="Calibri" w:cs="Calibri" w:eastAsia="Calibri" w:hAnsi="Calibri"/>
                <w:b/>
                <w:bCs/>
                <w:caps/>
                <w:color w:val="FFFFFF"/>
                <w:sz w:val="16"/>
                <w:szCs w:val="16"/>
              </w:rPr>
              <w:t xml:space="preserve">FOR THE CLIENT</w:t>
            </w:r>
          </w:p>
        </w:tc>
        <w:tc>
          <w:tcPr>
            <w:tcW w:type="dxa" w:w="4873"/>
            <w:tcBorders>
              <w:top w:val="single" w:color="BFBFBF" w:sz="4"/>
              <w:left w:val="single" w:color="BFBFBF" w:sz="4"/>
              <w:bottom w:val="single" w:color="BFBFBF" w:sz="4"/>
              <w:right w:val="single" w:color="BFBFBF" w:sz="4"/>
            </w:tcBorders>
            <w:shd w:fill="1F3864" w:color="auto" w:val="clear"/>
            <w:tcMar>
              <w:top w:type="dxa" w:w="120"/>
              <w:left w:type="dxa" w:w="240"/>
              <w:bottom w:type="dxa" w:w="120"/>
              <w:right w:type="dxa" w:w="240"/>
            </w:tcMar>
          </w:tcPr>
          <w:p>
            <w:pPr>
              <w:jc w:val="center"/>
            </w:pPr>
            <w:r>
              <w:rPr>
                <w:rFonts w:ascii="Calibri" w:cs="Calibri" w:eastAsia="Calibri" w:hAnsi="Calibri"/>
                <w:b/>
                <w:bCs/>
                <w:caps/>
                <w:color w:val="FFFFFF"/>
                <w:sz w:val="16"/>
                <w:szCs w:val="16"/>
              </w:rPr>
              <w:t xml:space="preserve">FOR THE CONSULTANT</w:t>
            </w:r>
          </w:p>
        </w:tc>
      </w:tr>
      <w:tr>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80"/>
              <w:jc w:val="center"/>
            </w:pPr>
            <w:r>
              <w:rPr>
                <w:rFonts w:ascii="Calibri" w:cs="Calibri" w:eastAsia="Calibri" w:hAnsi="Calibri"/>
                <w:b/>
                <w:bCs/>
                <w:caps/>
                <w:color w:val="FFFFFF"/>
                <w:sz w:val="14"/>
                <w:szCs w:val="14"/>
              </w:rPr>
              <w:t xml:space="preserve">PRIMARY SIGNATORY</w:t>
            </w:r>
          </w:p>
          <w:p>
            <w:pPr>
              <w:spacing w:after="60"/>
              <w:jc w:val="center"/>
            </w:pPr>
            <w:r>
              <w:rPr>
                <w:rFonts w:ascii="Calibri" w:cs="Calibri" w:eastAsia="Calibri" w:hAnsi="Calibri"/>
                <w:b/>
                <w:bCs/>
                <w:color w:val="1F3864"/>
                <w:sz w:val="20"/>
                <w:szCs w:val="20"/>
              </w:rPr>
              <w:t xml:space="preserve">Fairvalue Insuretech Pvt. Ltd.</w:t>
            </w:r>
          </w:p>
          <w:p>
            <w:pPr>
              <w:spacing w:after="80"/>
              <w:jc w:val="center"/>
            </w:pPr>
            <w:r>
              <w:rPr>
                <w:rFonts w:ascii="Calibri" w:cs="Calibri" w:eastAsia="Calibri" w:hAnsi="Calibri"/>
                <w:i/>
                <w:iCs/>
                <w:color w:val="1A1A1A"/>
                <w:sz w:val="14"/>
                <w:szCs w:val="14"/>
              </w:rPr>
              <w:t xml:space="preserve">Authorised representative</w:t>
            </w:r>
          </w:p>
          <w:p>
            <w:pPr>
              <w:spacing w:after="320"/>
              <w:jc w:val="center"/>
            </w:pPr>
            <w:r>
              <w:rPr>
                <w:rFonts w:ascii="Calibri" w:cs="Calibri" w:eastAsia="Calibri" w:hAnsi="Calibri"/>
                <w:color w:val="808080"/>
                <w:sz w:val="12"/>
                <w:szCs w:val="12"/>
              </w:rPr>
              <w:t xml:space="preserve">(operating as “The Policy Exchange”), Noida, UP, India</w:t>
            </w:r>
          </w:p>
          <w:p>
            <w:pPr>
              <w:spacing w:after="60"/>
            </w:pPr>
            <w:r>
              <w:rPr>
                <w:rFonts w:ascii="Calibri" w:cs="Calibri" w:eastAsia="Calibri" w:hAnsi="Calibri"/>
                <w:color w:val="1A1A1A"/>
                <w:sz w:val="14"/>
                <w:szCs w:val="14"/>
              </w:rPr>
              <w:t xml:space="preserve">Signature:  __________________________________</w:t>
            </w:r>
          </w:p>
          <w:p>
            <w:pPr>
              <w:spacing w:after="200"/>
            </w:pPr>
            <w:r>
              <w:rPr>
                <w:rFonts w:ascii="Calibri" w:cs="Calibri" w:eastAsia="Calibri" w:hAnsi="Calibri"/>
                <w:color w:val="1A1A1A"/>
                <w:sz w:val="14"/>
                <w:szCs w:val="14"/>
              </w:rPr>
              <w:t xml:space="preserve">Name:  ____________________________________</w:t>
            </w:r>
          </w:p>
          <w:p>
            <w:pPr>
              <w:spacing w:after="200"/>
            </w:pPr>
            <w:r>
              <w:rPr>
                <w:rFonts w:ascii="Calibri" w:cs="Calibri" w:eastAsia="Calibri" w:hAnsi="Calibri"/>
                <w:color w:val="1A1A1A"/>
                <w:sz w:val="14"/>
                <w:szCs w:val="14"/>
              </w:rPr>
              <w:t xml:space="preserve">Title:  ____________________________________</w:t>
            </w:r>
          </w:p>
          <w:p>
            <w:pPr>
              <w:spacing w:after="200"/>
            </w:pPr>
            <w:r>
              <w:rPr>
                <w:rFonts w:ascii="Calibri" w:cs="Calibri" w:eastAsia="Calibri" w:hAnsi="Calibri"/>
                <w:color w:val="1A1A1A"/>
                <w:sz w:val="14"/>
                <w:szCs w:val="14"/>
              </w:rPr>
              <w:t xml:space="preserve">Date:  ____________________________________</w:t>
            </w:r>
          </w:p>
          <w:p>
            <w:pPr>
              <w:spacing w:after="0"/>
            </w:pPr>
            <w:r>
              <w:rPr>
                <w:rFonts w:ascii="Calibri" w:cs="Calibri" w:eastAsia="Calibri" w:hAnsi="Calibri"/>
                <w:color w:val="1A1A1A"/>
                <w:sz w:val="14"/>
                <w:szCs w:val="14"/>
              </w:rPr>
              <w:t xml:space="preserve">Place:  ____________________________________</w:t>
            </w:r>
          </w:p>
        </w:tc>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80"/>
              <w:jc w:val="center"/>
            </w:pPr>
            <w:r>
              <w:rPr>
                <w:rFonts w:ascii="Calibri" w:cs="Calibri" w:eastAsia="Calibri" w:hAnsi="Calibri"/>
                <w:b/>
                <w:bCs/>
                <w:caps/>
                <w:color w:val="FFFFFF"/>
                <w:sz w:val="14"/>
                <w:szCs w:val="14"/>
              </w:rPr>
              <w:t xml:space="preserve">PRIMARY SIGNATORY</w:t>
            </w:r>
          </w:p>
          <w:p>
            <w:pPr>
              <w:spacing w:after="60"/>
              <w:jc w:val="center"/>
            </w:pPr>
            <w:r>
              <w:rPr>
                <w:rFonts w:ascii="Calibri" w:cs="Calibri" w:eastAsia="Calibri" w:hAnsi="Calibri"/>
                <w:b/>
                <w:bCs/>
                <w:color w:val="1F3864"/>
                <w:sz w:val="20"/>
                <w:szCs w:val="20"/>
              </w:rPr>
              <w:t xml:space="preserve">Ashish Kumar Satyam</w:t>
            </w:r>
          </w:p>
          <w:p>
            <w:pPr>
              <w:spacing w:after="80"/>
              <w:jc w:val="center"/>
            </w:pPr>
            <w:r>
              <w:rPr>
                <w:rFonts w:ascii="Calibri" w:cs="Calibri" w:eastAsia="Calibri" w:hAnsi="Calibri"/>
                <w:i/>
                <w:iCs/>
                <w:color w:val="1A1A1A"/>
                <w:sz w:val="14"/>
                <w:szCs w:val="14"/>
              </w:rPr>
              <w:t xml:space="preserve">Independent Consultant — Principal Engineer &amp; Solution Architect</w:t>
            </w:r>
          </w:p>
          <w:p>
            <w:pPr>
              <w:spacing w:after="320"/>
              <w:jc w:val="center"/>
            </w:pPr>
            <w:r>
              <w:rPr>
                <w:rFonts w:ascii="Calibri" w:cs="Calibri" w:eastAsia="Calibri" w:hAnsi="Calibri"/>
                <w:color w:val="808080"/>
                <w:sz w:val="12"/>
                <w:szCs w:val="12"/>
              </w:rPr>
              <w:t xml:space="preserve">BFSI &amp; Insurtech</w:t>
            </w:r>
          </w:p>
          <w:p>
            <w:pPr>
              <w:spacing w:after="60"/>
            </w:pPr>
            <w:r>
              <w:rPr>
                <w:rFonts w:ascii="Calibri" w:cs="Calibri" w:eastAsia="Calibri" w:hAnsi="Calibri"/>
                <w:color w:val="1A1A1A"/>
                <w:sz w:val="14"/>
                <w:szCs w:val="14"/>
              </w:rPr>
              <w:t xml:space="preserve">Signature:  __________________________________</w:t>
            </w:r>
          </w:p>
          <w:p>
            <w:pPr>
              <w:spacing w:after="200"/>
            </w:pPr>
            <w:r>
              <w:rPr>
                <w:rFonts w:ascii="Calibri" w:cs="Calibri" w:eastAsia="Calibri" w:hAnsi="Calibri"/>
                <w:color w:val="1A1A1A"/>
                <w:sz w:val="14"/>
                <w:szCs w:val="14"/>
              </w:rPr>
              <w:t xml:space="preserve">Name:  ____________________________________</w:t>
            </w:r>
          </w:p>
          <w:p>
            <w:pPr>
              <w:spacing w:after="200"/>
            </w:pPr>
            <w:r>
              <w:rPr>
                <w:rFonts w:ascii="Calibri" w:cs="Calibri" w:eastAsia="Calibri" w:hAnsi="Calibri"/>
                <w:color w:val="1A1A1A"/>
                <w:sz w:val="14"/>
                <w:szCs w:val="14"/>
              </w:rPr>
              <w:t xml:space="preserve">Title:  ____________________________________</w:t>
            </w:r>
          </w:p>
          <w:p>
            <w:pPr>
              <w:spacing w:after="200"/>
            </w:pPr>
            <w:r>
              <w:rPr>
                <w:rFonts w:ascii="Calibri" w:cs="Calibri" w:eastAsia="Calibri" w:hAnsi="Calibri"/>
                <w:color w:val="1A1A1A"/>
                <w:sz w:val="14"/>
                <w:szCs w:val="14"/>
              </w:rPr>
              <w:t xml:space="preserve">Date:  ____________________________________</w:t>
            </w:r>
          </w:p>
          <w:p>
            <w:pPr>
              <w:spacing w:after="0"/>
            </w:pPr>
            <w:r>
              <w:rPr>
                <w:rFonts w:ascii="Calibri" w:cs="Calibri" w:eastAsia="Calibri" w:hAnsi="Calibri"/>
                <w:color w:val="1A1A1A"/>
                <w:sz w:val="14"/>
                <w:szCs w:val="14"/>
              </w:rPr>
              <w:t xml:space="preserve">Place:  ____________________________________</w:t>
            </w:r>
          </w:p>
        </w:tc>
      </w:tr>
    </w:tbl>
    <w:p>
      <w:pPr>
        <w:spacing w:after="100"/>
      </w:pPr>
      <w:r>
        <w:t xml:space="preserve"/>
      </w:r>
    </w:p>
    <w:p>
      <w:pPr>
        <w:pStyle w:val="Heading3"/>
        <w:spacing w:after="100" w:before="200"/>
      </w:pPr>
      <w:r>
        <w:rPr>
          <w:rFonts w:ascii="Calibri" w:cs="Calibri" w:eastAsia="Calibri" w:hAnsi="Calibri"/>
          <w:b/>
          <w:bCs/>
          <w:color w:val="1A1A1A"/>
          <w:sz w:val="24"/>
          <w:szCs w:val="24"/>
        </w:rPr>
        <w:t xml:space="preserve">Counter-signatures (for Client internal endorsement)</w:t>
      </w:r>
    </w:p>
    <w:p>
      <w:pPr>
        <w:spacing w:after="120" w:before="0"/>
      </w:pPr>
      <w:r>
        <w:rPr>
          <w:rFonts w:ascii="Calibri" w:cs="Calibri" w:eastAsia="Calibri" w:hAnsi="Calibri"/>
          <w:color w:val="1A1A1A"/>
          <w:sz w:val="20"/>
          <w:szCs w:val="20"/>
        </w:rPr>
        <w:t xml:space="preserve">The signatures below are for internal endorsement and document control only. They do not constitute additional contracting parties; the contractual signatories are those in the table above.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300"/>
        <w:gridCol w:w="154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Endorser role</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Name</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Signature</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Date</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Chief Technology Officer</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Compliance</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Customer Experience</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Effective date.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This SOW takes effect on the latest of the dates shown in the FOR THE CLIENT and FOR THE CONSULTANT signature blocks above. The Effective Date is recorded in Section 1 once both signatures are complete.</w:t>
            </w:r>
          </w:p>
        </w:tc>
      </w:tr>
    </w:tbl>
    <w:sectPr>
      <w:headerReference w:type="default" r:id="rId7"/>
      <w:footerReference w:type="default" r:id="rId8"/>
      <w:pgSz w:w="11906" w:h="16838"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center" w:pos="4873"/>
        <w:tab w:val="right" w:pos="9746"/>
      </w:tabs>
      <w:spacing w:before="0"/>
    </w:pPr>
    <w:r>
      <w:rPr>
        <w:rFonts w:ascii="Calibri" w:cs="Calibri" w:eastAsia="Calibri" w:hAnsi="Calibri"/>
        <w:color w:val="808080"/>
        <w:sz w:val="14"/>
        <w:szCs w:val="14"/>
      </w:rPr>
      <w:t xml:space="preserve">Fairvalue Insuretech Pvt. Ltd.  |  TPE-COMMS-SOW-2026-001-v5</w:t>
    </w:r>
    <w:r>
      <w:rPr>
        <w:rFonts w:ascii="Calibri" w:cs="Calibri" w:eastAsia="Calibri" w:hAnsi="Calibri"/>
        <w:sz w:val="14"/>
        <w:szCs w:val="14"/>
      </w:rPr>
      <w:t xml:space="preserve">	</w:t>
    </w:r>
    <w:r>
      <w:rPr>
        <w:rFonts w:ascii="Calibri" w:cs="Calibri" w:eastAsia="Calibri" w:hAnsi="Calibri"/>
        <w:color w:val="808080"/>
        <w:sz w:val="14"/>
        <w:szCs w:val="14"/>
      </w:rPr>
      <w:t xml:space="preserve">Page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of </w:t>
    </w:r>
    <w:r>
      <w:rPr>
        <w:rFonts w:ascii="Calibri" w:cs="Calibri" w:eastAsia="Calibri" w:hAnsi="Calibri"/>
        <w:color w:val="808080"/>
        <w:sz w:val="14"/>
        <w:szCs w:val="14"/>
      </w:rPr>
      <w:fldChar w:fldCharType="begin"/>
      <w:instrText xml:space="preserve">NUMPAGES</w:instrText>
      <w:fldChar w:fldCharType="separate"/>
      <w:fldChar w:fldCharType="end"/>
    </w:r>
    <w:r>
      <w:rPr>
        <w:rFonts w:ascii="Calibri" w:cs="Calibri" w:eastAsia="Calibri" w:hAnsi="Calibri"/>
        <w:sz w:val="14"/>
        <w:szCs w:val="14"/>
      </w:rPr>
      <w:t xml:space="preserve">	</w:t>
    </w:r>
    <w:r>
      <w:rPr>
        <w:rFonts w:ascii="Calibri" w:cs="Calibri" w:eastAsia="Calibri" w:hAnsi="Calibri"/>
        <w:i/>
        <w:iCs/>
        <w:color w:val="808080"/>
        <w:sz w:val="14"/>
        <w:szCs w:val="14"/>
      </w:rPr>
      <w:t xml:space="preserv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746"/>
      </w:tabs>
      <w:spacing w:after="0"/>
    </w:pPr>
    <w:r>
      <w:rPr>
        <w:rFonts w:ascii="Calibri" w:cs="Calibri" w:eastAsia="Calibri" w:hAnsi="Calibri"/>
        <w:color w:val="808080"/>
        <w:sz w:val="16"/>
        <w:szCs w:val="16"/>
      </w:rPr>
      <w:t xml:space="preserve">TPE Communication System  |  Statement of Work  |  v5.0 (Novu, SOW-only)</w:t>
    </w:r>
    <w:r>
      <w:rPr>
        <w:rFonts w:ascii="Calibri" w:cs="Calibri" w:eastAsia="Calibri" w:hAnsi="Calibri"/>
        <w:sz w:val="16"/>
        <w:szCs w:val="16"/>
      </w:rPr>
      <w:t xml:space="preserve">	</w:t>
    </w:r>
    <w:r>
      <w:rPr>
        <w:rFonts w:ascii="Calibri" w:cs="Calibri" w:eastAsia="Calibri" w:hAnsi="Calibri"/>
        <w:i/>
        <w:iCs/>
        <w:color w:val="808080"/>
        <w:sz w:val="16"/>
        <w:szCs w:val="16"/>
      </w:rPr>
      <w:t xml:space="preserve">Internal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360" w:hanging="3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6"/>
      <w:szCs w:val="36"/>
    </w:rPr>
  </w:style>
  <w:style w:type="paragraph" w:styleId="Heading2">
    <w:name w:val="Heading 2"/>
    <w:basedOn w:val="Normal"/>
    <w:next w:val="Normal"/>
    <w:qFormat/>
    <w:rPr>
      <w:rFonts w:ascii="Calibri" w:cs="Calibri" w:eastAsia="Calibri" w:hAnsi="Calibri"/>
      <w:b/>
      <w:bCs/>
      <w:color w:val="1F3864"/>
      <w:sz w:val="28"/>
      <w:szCs w:val="28"/>
    </w:rPr>
  </w:style>
  <w:style w:type="paragraph" w:styleId="Heading3">
    <w:name w:val="Heading 3"/>
    <w:basedOn w:val="Normal"/>
    <w:next w:val="Normal"/>
    <w:qFormat/>
    <w:rPr>
      <w:rFonts w:ascii="Calibri" w:cs="Calibri" w:eastAsia="Calibri" w:hAnsi="Calibri"/>
      <w:b/>
      <w:b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TPE Communication System — Statement of Work v5.0 (Novu, SOW-only)</dc:title>
  <dc:subject>Statement of Work between Fairvalue Insuretech Pvt. Ltd. and the Consultant</dc:subject>
  <dc:creator>Ashish Kumar Satyam (Consultant)</dc:creator>
  <dc:description>SOW-only revision; Novu-based architecture; companion TSD holds engineering detail; v5.0</dc:description>
  <cp:lastModifiedBy>Un-named</cp:lastModifiedBy>
  <cp:revision>1</cp:revision>
  <dcterms:created xsi:type="dcterms:W3CDTF">2026-04-26T15:07:03.667Z</dcterms:created>
  <dcterms:modified xsi:type="dcterms:W3CDTF">2026-04-26T15:07:03.669Z</dcterms:modified>
</cp:coreProperties>
</file>

<file path=docProps/custom.xml><?xml version="1.0" encoding="utf-8"?>
<Properties xmlns="http://schemas.openxmlformats.org/officeDocument/2006/custom-properties" xmlns:vt="http://schemas.openxmlformats.org/officeDocument/2006/docPropsVTypes"/>
</file>