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0" w:hRule="exact"/>
        </w:trPr>
        <w:tc>
          <w:tcPr>
            <w:tcW w:type="dxa" w:w="9360"/>
            <w:shd w:val="clear" w:color="auto" w:fill="1B3A5C"/>
          </w:tcPr>
          <w:p>
            <w:pPr>
              <w:spacing w:before="0" w:after="0"/>
            </w:pPr>
            <w:r/>
          </w:p>
        </w:tc>
      </w:tr>
    </w:tbl>
    <w:p>
      <w:pPr>
        <w:spacing w:after="360" w:line="300" w:lineRule="auto"/>
        <w:jc w:val="left"/>
      </w:pPr>
    </w:p>
    <w:p>
      <w:pPr>
        <w:spacing w:after="80" w:line="300" w:lineRule="auto"/>
        <w:jc w:val="center"/>
      </w:pPr>
      <w:r>
        <w:rPr>
          <w:rFonts w:ascii="Arial" w:hAnsi="Arial" w:cs="Arial"/>
          <w:b/>
          <w:i w:val="0"/>
          <w:color w:val="7F8C8D"/>
          <w:sz w:val="20"/>
        </w:rPr>
        <w:t>THE POLICY EXCHANGE (FAIRVALUE INSURETECH PVT. LTD.)</w:t>
      </w:r>
    </w:p>
    <w:p>
      <w:pPr>
        <w:spacing w:after="80" w:line="300" w:lineRule="auto"/>
        <w:jc w:val="center"/>
      </w:pPr>
      <w:r>
        <w:rPr>
          <w:rFonts w:ascii="Arial" w:hAnsi="Arial" w:cs="Arial"/>
          <w:b/>
          <w:i w:val="0"/>
          <w:color w:val="1B3A5C"/>
          <w:sz w:val="40"/>
        </w:rPr>
        <w:t>ARCHITECTURE DECISION RECORD</w:t>
      </w:r>
    </w:p>
    <w:p>
      <w:pPr>
        <w:spacing w:after="240" w:line="300" w:lineRule="auto"/>
        <w:jc w:val="center"/>
      </w:pPr>
      <w:r>
        <w:rPr>
          <w:rFonts w:ascii="Arial" w:hAnsi="Arial" w:cs="Arial"/>
          <w:b/>
          <w:i w:val="0"/>
          <w:color w:val="2E75B6"/>
          <w:sz w:val="28"/>
        </w:rPr>
        <w:t>ADR-001</w:t>
      </w:r>
    </w:p>
    <w:p>
      <w:pPr>
        <w:spacing w:after="120" w:line="300" w:lineRule="auto"/>
        <w:jc w:val="center"/>
      </w:pPr>
      <w:r>
        <w:rPr>
          <w:rFonts w:ascii="Arial" w:hAnsi="Arial" w:cs="Arial"/>
          <w:b/>
          <w:i w:val="0"/>
          <w:color w:val="2C3E50"/>
          <w:sz w:val="48"/>
        </w:rPr>
        <w:t>Sandbox-3.15 Promoted to Primary</w:t>
      </w:r>
    </w:p>
    <w:p>
      <w:pPr>
        <w:spacing w:after="480" w:line="300" w:lineRule="auto"/>
        <w:jc w:val="center"/>
      </w:pPr>
      <w:r>
        <w:rPr>
          <w:rFonts w:ascii="Arial" w:hAnsi="Arial" w:cs="Arial"/>
          <w:b w:val="0"/>
          <w:i/>
          <w:color w:val="7F8C8D"/>
          <w:sz w:val="22"/>
        </w:rPr>
        <w:t>Why we pivoted from custom TPE Admin to the Novu CE 3.15 dashboard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19"/>
        <w:gridCol w:w="3119"/>
        <w:gridCol w:w="3121"/>
      </w:tblGrid>
      <w:tr>
        <w:tc>
          <w:tcPr>
            <w:tcW w:type="dxa" w:w="3119"/>
            <w:shd w:val="clear" w:color="auto" w:fill="FAFBFC"/>
            <w:tcBorders>
              <w:top w:val="single" w:sz="18" w:color="27AE60"/>
              <w:left w:val="single" w:sz="18" w:color="27AE60"/>
              <w:bottom w:val="single" w:sz="18" w:color="27AE60"/>
              <w:right w:val="single" w:sz="18" w:color="27AE6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7AE60"/>
                <w:sz w:val="28"/>
              </w:rPr>
              <w:t>ACCEPTED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Status</w:t>
            </w:r>
          </w:p>
        </w:tc>
        <w:tc>
          <w:tcPr>
            <w:tcW w:type="dxa" w:w="3119"/>
            <w:shd w:val="clear" w:color="auto" w:fill="FAFBFC"/>
            <w:tcBorders>
              <w:top w:val="single" w:sz="18" w:color="1B3A5C"/>
              <w:left w:val="single" w:sz="18" w:color="1B3A5C"/>
              <w:bottom w:val="single" w:sz="18" w:color="1B3A5C"/>
              <w:right w:val="single" w:sz="18" w:color="1B3A5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B3A5C"/>
                <w:sz w:val="28"/>
              </w:rPr>
              <w:t>01 May 2026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Decision Date</w:t>
            </w:r>
          </w:p>
        </w:tc>
        <w:tc>
          <w:tcPr>
            <w:tcW w:type="dxa" w:w="3121"/>
            <w:shd w:val="clear" w:color="auto" w:fill="FAFBFC"/>
            <w:tcBorders>
              <w:top w:val="single" w:sz="18" w:color="2E75B6"/>
              <w:left w:val="single" w:sz="18" w:color="2E75B6"/>
              <w:bottom w:val="single" w:sz="18" w:color="2E75B6"/>
              <w:right w:val="single" w:sz="18" w:color="2E75B6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8"/>
              </w:rPr>
              <w:t>Engineering Lead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Decision Authority</w:t>
            </w:r>
          </w:p>
        </w:tc>
      </w:tr>
    </w:tbl>
    <w:p>
      <w:pPr>
        <w:spacing w:after="360" w:line="300" w:lineRule="auto"/>
        <w:jc w:val="left"/>
      </w:pPr>
    </w:p>
    <w:p>
      <w:pPr>
        <w:spacing w:after="80" w:line="300" w:lineRule="auto"/>
        <w:jc w:val="center"/>
      </w:pPr>
      <w:r>
        <w:rPr>
          <w:rFonts w:ascii="Arial" w:hAnsi="Arial" w:cs="Arial"/>
          <w:b/>
          <w:i w:val="0"/>
          <w:color w:val="1B3A5C"/>
          <w:sz w:val="20"/>
        </w:rPr>
        <w:t>Document metadata</w:t>
      </w:r>
    </w:p>
    <w:tbl>
      <w:tblPr>
        <w:tblW w:type="dxa" w:w="7488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4464"/>
      </w:tblGrid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Document ID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TPE-COMMS-ADR-2026-001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Version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1.0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Decision date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01 May 2026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Authors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Ashish Kumar Satyam  ·  TechDigital WishTree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For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The Policy Exchange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Audience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Engineering team, architecture review board, future maintainers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Status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● ACCEPTED — implementation complete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Supersedes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(none — first ADR for this project)</w:t>
            </w:r>
          </w:p>
        </w:tc>
      </w:tr>
    </w:tbl>
    <w:p>
      <w:pPr>
        <w:spacing w:after="240" w:line="300" w:lineRule="auto"/>
        <w:jc w:val="left"/>
      </w:pPr>
    </w:p>
    <w:p>
      <w:pPr>
        <w:spacing w:after="80" w:line="300" w:lineRule="auto"/>
        <w:jc w:val="center"/>
      </w:pPr>
      <w:r>
        <w:rPr>
          <w:rFonts w:ascii="Arial" w:hAnsi="Arial" w:cs="Arial"/>
          <w:b/>
          <w:i w:val="0"/>
          <w:color w:val="E74C3C"/>
          <w:sz w:val="18"/>
        </w:rPr>
        <w:t>INTERNAL / CONFIDENTIAL — DO NOT REDISTRIBUTE</w:t>
      </w:r>
    </w:p>
    <w:p>
      <w:r>
        <w:br w:type="page"/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1.  Document Information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Attribute</w:t>
            </w:r>
          </w:p>
        </w:tc>
        <w:tc>
          <w:tcPr>
            <w:tcW w:type="dxa" w:w="648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ADR ID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ADR-001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Title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Sandbox-3.15 Promoted to Primary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Status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ACCEPTED (implementation complete)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Decision date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01 May 2026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Authors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Ashish Kumar Satyam, TechDigital WishTree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For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The Policy Exchange (Fairvalue Insuretech Pvt. Ltd.)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Audience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Engineering, architecture review, future maintainers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Approvers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Engineering Lead (decided); informed: CTO, Compliance Lead, Operations Lead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Supersedes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(none)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Future review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Re-evaluate in 6 months OR if 4+ workflows need ad-hoc operator authoring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2.  Context — what was the situation before?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Through April 2026, the TPE Communication System ran on a single live Novu CE 2.3.0 stack at VPS port 80. Operator-facing functionality (channel allowlist, campaign builder, scheduled trigger UI, run history) was built into a custom Next.js application called "TPE Admin" served at /admin/. The 17 Charter §4.3 lifecycle workflows were already authored as Bridge code-first and dispatching via custom step.custom + lib/dispatch.ts to MSG91 (SMS) + ICPaaS (WhatsApp).</w:t>
      </w: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On 30 April 2026, a parallel Novu CE 3.15.0 sandbox stack was deployed at ports 8080 / 8081 / 8083 specifically to evaluate compatibility — could the existing Bridge code-first workflows + dispatch architecture forward-port from 2.3.0 to 3.15.0 without source changes? (Answer: yes, with strict 3.x payload validation gotchas documented separately in memory/novu_3x_payload_gotchas.md.)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On 1 May 2026, before the team fully evaluated the 3.15 sandbox, leadership directed: "we have to use the novu FE to manage all TPE Admin FE will be removed." Then refined to: "Use this — TPE Sandbox 3.15. Only to manage all notifications only." That triggered this ADR.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20"/>
              </w:rPr>
              <w:t>Trigger statement from leadership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"We have to use the novu FE to manage all TPE Admin FE will be removed. Use this — TPE Sandbox 3.15. Only to manage all notifications only."  — Project lead, 1 May 2026 (verbatim from chat directive)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3.  Problem statement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Five interlocking problems converged into the decision below: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P1 — Two operator surfaces (TPE Admin + Novu Dashboard) created confusion; operators didn't know which to use for what.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P2 — TPE Admin's compliance middleware lint was duplicating Novu's workflow validation, causing maintenance burden when Novu CE was upgraded.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P3 — Studio-UI workflow authoring (visible in Novu Dashboard) had no compliance gate; operators could create workflows that bypassed DLT template enforcement.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P4 — Live 2.3.0 was being evaluated for 3.15 upgrade; running TPE Admin v1 against 3.15 would require re-validating every custom admin endpoint.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P5 — Charter §E1 mandates code-first workflow authoring with PR review. TPE Admin was a custom app that had drifted slightly toward operator self-service authoring patterns.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4.  Considered options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4.1  Option A — Keep TPE Admin (status quo)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Description: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Keep the custom Next.js TPE Admin at /admin/ as the canonical operator surface. Maintain it across Novu version upgrades. Do not promote sandbox 3.15.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27AE60"/>
          <w:sz w:val="20"/>
        </w:rPr>
        <w:t>Pros: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Existing operator workflows continue uninterrupted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Custom features (channel allowlist UI, campaign builder, run history) remain accessible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No retraining of operations team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E74C3C"/>
          <w:sz w:val="20"/>
        </w:rPr>
        <w:t>Cons: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Maintenance cost of custom Next.js app on top of Novu CE upgrades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Two operator surfaces to test on every change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Doesn't address Charter §E1 alignment risk (P5)</w:t>
      </w: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/>
          <w:color w:val="2C3E50"/>
          <w:sz w:val="20"/>
        </w:rPr>
        <w:t>Verdict: REJECTED — leadership directive required different path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4.2  Option B — Full Novu fork with native MSG91 provider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Description: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Fork Novu's open-source repo, add MSG91 to the SMS catalog (8 files across 4 packages), build custom Docker images, replace ghcr.io upstream images. Operators can now use the native Novu Integration Store to configure MSG91, and Studio-authored workflows can fire MSG91 SMS.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27AE60"/>
          <w:sz w:val="20"/>
        </w:rPr>
        <w:t>Pros: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MSG91 visible in Integration Store (Studio workflows can use it)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Operators can author ad-hoc workflows via Studio UI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Full feature parity with native Novu providers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E74C3C"/>
          <w:sz w:val="20"/>
        </w:rPr>
        <w:t>Cons: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Fork maintenance burden — every Novu version (3.16, 3.17, 4.0) requires re-merge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Custom Docker image build + storage pipeline required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Initial effort 3-5 days + ongoing maintenance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DLT template_id + vars passing requires bridgeProviderData abstraction (still leaks knowledge to operators)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Doesn't address Charter §E1 (still allows Studio workflows that bypass compliance lint)</w:t>
      </w: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/>
          <w:color w:val="2C3E50"/>
          <w:sz w:val="20"/>
        </w:rPr>
        <w:t>Verdict: REJECTED — fork burden + Charter §E1 alignment doesn't improve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4.3  Option C — Sandbox 3.15 as primary, Bridge for SMS+WA, code-first authoring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Description: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Promote the existing Novu CE 3.15 sandbox dashboard to canonical operator surface. Stop (preserve) TPE Admin containers — code preserved for rollback. Bridge dispatch architecture stays exactly the same — MSG91 SMS + ICPaaS WhatsApp continue to flow through lib/dispatch.ts. Code-first authoring rule is formalized: Studio UI workflow creation becomes forbidden, drift detection added.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27AE60"/>
          <w:sz w:val="20"/>
        </w:rPr>
        <w:t>Pros: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Single operator surface (the standard Novu CE dashboard at :8080)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Zero fork burden — track upstream Novu CE releases unchanged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Charter §E1 alignment: code-first is the only authoring path → PR review enforced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Existing dispatch architecture preserved → zero risk to MSG91 + ICPaaS production paths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Reversible — TPE Admin containers stopped, not removed; can be revived via skill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Implementation effort minimal (~1 hour: stop containers, sync workflows to sandbox, smoke test)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E74C3C"/>
          <w:sz w:val="20"/>
        </w:rPr>
        <w:t>Cons: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Operations team loses TPE Admin's bespoke features (channel allowlist UI, campaign builder)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Operators cannot author ad-hoc workflows — every new trigger requires engineering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Channel allowlist becomes Mongo-direct edit (no UI) until alternative built</w:t>
      </w:r>
    </w:p>
    <w:p>
      <w:pPr>
        <w:spacing w:after="80" w:line="300" w:lineRule="auto"/>
        <w:jc w:val="left"/>
      </w:pPr>
      <w:r>
        <w:rPr>
          <w:rFonts w:ascii="Arial" w:hAnsi="Arial" w:cs="Arial"/>
          <w:b/>
          <w:i/>
          <w:color w:val="27AE60"/>
          <w:sz w:val="20"/>
        </w:rPr>
        <w:t>Verdict: ACCEPTED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5.  Decision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/>
          <w:i w:val="0"/>
          <w:color w:val="1B3A5C"/>
          <w:sz w:val="24"/>
        </w:rPr>
        <w:t>Adopt Option C — Sandbox 3.15 as primary, Bridge for SMS+WA, code-first authoring rule.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Specifically: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Operator UI: Novu CE 3.15 dashboard at http://103.138.96.180:8080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API: Novu CE 3.15 at http://103.138.96.180:8081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Bridge: next-bridge container with REAL MSG91 + ICPaaS creds (cloned from live novu-bridge)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Workflow authoring: code-first only, Studio UI authoring forbidden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TPE Admin: docker-stopped (preserved); rollback skill exists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Live 2.3.0 stack: kept running for redundancy, de-emphasised</w:t>
      </w:r>
    </w:p>
    <w:p>
      <w:pPr>
        <w:spacing w:after="80" w:line="300" w:lineRule="auto"/>
        <w:jc w:val="left"/>
      </w:pP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6.  Trade-offs accepted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By choosing Option C we explicitly accept the following trade-offs: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031"/>
        <w:gridCol w:w="5328"/>
      </w:tblGrid>
      <w:tr>
        <w:tc>
          <w:tcPr>
            <w:tcW w:type="dxa" w:w="4031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Trade-off accepted</w:t>
            </w:r>
          </w:p>
        </w:tc>
        <w:tc>
          <w:tcPr>
            <w:tcW w:type="dxa" w:w="532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Why we accept it</w:t>
            </w:r>
          </w:p>
        </w:tc>
      </w:tr>
      <w:tr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Operations team loses TPE Admin's custom features (channel allowlist UI, campaign builder)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Custom features are not Charter-required; standard Novu UI provides 80%+ of operator needs; rollback path exists if 20% becomes blocking</w:t>
            </w:r>
          </w:p>
        </w:tc>
      </w:tr>
      <w:tr>
        <w:tc>
          <w:tcPr>
            <w:tcW w:type="dxa" w:w="403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Operators cannot author ad-hoc workflows from the Dashboard (Studio UI banned)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Charter §E1 mandates PR-reviewed code-first authoring; operator self-service authoring would bypass compliance middleware lint, DLT enforcement, and audit-row format requirements</w:t>
            </w:r>
          </w:p>
        </w:tc>
      </w:tr>
      <w:tr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Channel allowlist becomes Mongo-direct (no UI)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Allowlist is engineering-managed config; operators rarely change it; UI can be rebuilt in a future Novu CE plugin if needed</w:t>
            </w:r>
          </w:p>
        </w:tc>
      </w:tr>
      <w:tr>
        <w:tc>
          <w:tcPr>
            <w:tcW w:type="dxa" w:w="403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Two parallel WhatsApp paths exist (Bridge → ICPaaS, native whatsapp-business → Meta direct)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User configured native whatsapp-business in Integration Store separately; doesn't conflict with Bridge path; future cleanup task</w:t>
            </w:r>
          </w:p>
        </w:tc>
      </w:tr>
      <w:tr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Single-VPS deployment (Track B) continues for sandbox primary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Pre-production stage; Track A migration planned for Phase 4 (Oct 2026) anyway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7.  Implementation summary (executed 2026-05-01)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The pivot was executed in approximately 1 hour with the following sequence: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4752"/>
        <w:gridCol w:w="4031"/>
      </w:tblGrid>
      <w:tr>
        <w:tc>
          <w:tcPr>
            <w:tcW w:type="dxa" w:w="576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#</w:t>
            </w:r>
          </w:p>
        </w:tc>
        <w:tc>
          <w:tcPr>
            <w:tcW w:type="dxa" w:w="475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Action</w:t>
            </w:r>
          </w:p>
        </w:tc>
        <w:tc>
          <w:tcPr>
            <w:tcW w:type="dxa" w:w="4031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Outcome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1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Stop tpe-admin + tpe-admin-worker containers (preserved, not removed)</w:t>
            </w:r>
          </w:p>
        </w:tc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Both containers stopped; data + code intact for rollback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Drop placeholder-cred next-bridge container</w:t>
            </w:r>
          </w:p>
        </w:tc>
        <w:tc>
          <w:tcPr>
            <w:tcW w:type="dxa" w:w="403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Removed compat-test artifact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Clone live novu-bridge env vars (MSG91, ICPaaS, NODE_ENV)</w:t>
            </w:r>
          </w:p>
        </w:tc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Captured 27 env-var values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4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Recreate next-bridge with real creds + sandbox-specific NOVU_SECRET_KEY + MONGO_URL</w:t>
            </w:r>
          </w:p>
        </w:tc>
        <w:tc>
          <w:tcPr>
            <w:tcW w:type="dxa" w:w="403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Container ready in 219ms; discovery returns 19 workflows / 79 steps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5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Run npx novu sync against sandbox API</w:t>
            </w:r>
          </w:p>
        </w:tc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21 workflows registered (17 Charter + welcome-onboarding + tpe-multichannel-test + 2 stale Studio Welcome dupes)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6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Smoke-trigger ph-02-registration with crypto.randomUUID()</w:t>
            </w:r>
          </w:p>
        </w:tc>
        <w:tc>
          <w:tcPr>
            <w:tcW w:type="dxa" w:w="403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Bridge dispatch: MSG91 v5/Flow HTTP 200 (status=sent); ICPaaS HTTP 200 (wamid issued); Email skipped (SES deferred); In-app sent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7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Document the pivot in memory/sandbox_315_primary.md</w:t>
            </w:r>
          </w:p>
        </w:tc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9 KB memory file with rollback path documented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8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Establish code-first rule in memory/architecture_code_first_only.md</w:t>
            </w:r>
          </w:p>
        </w:tc>
        <w:tc>
          <w:tcPr>
            <w:tcW w:type="dxa" w:w="403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Architectural rule with drift-check commands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9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Create skill novu-ce-pivot-rollback for reversal</w:t>
            </w:r>
          </w:p>
        </w:tc>
        <w:tc>
          <w:tcPr>
            <w:tcW w:type="dxa" w:w="403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Operational runbook for restoring TPE Admin if needed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8.  Verification — PH-02 smoke test results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End-to-end verification at 2026-05-01: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trigger payload  : { otp: "482910", ph_id: "PH-SANDBOX-001",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        testMode: true, triggerInstanceId: &lt;crypto.randomUUID()&gt;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subscriber       : test-icpaas-sandbox-1 (phone +919465185365)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Novu trigger     : status 201, transactionId txn_69f458d8shgs5i2ntcjh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Bridge dispatch: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SMS      : MSG91 v5/flow → HTTP 200, status=sent,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template 6409f80fd6fc05100b559b13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WhatsApp : ICPaaS dynamictemp2 → HTTP 200, wamid issued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(wamid.HBgMOTE5NDY1MTg1MzY1FQIAERgSM0Q2ODU0MjExQkI5RkU3REUyAA==)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Email    : skipped (SesNotConfigured: SES creds not provisioned — expected)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In-app   : sent via Novu native (messages collection has the entry)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Audit emission verified — all four channels produced audit rows with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transactionId, triggerInstanceId, channel, status, ts.</w:t>
            </w:r>
          </w:p>
        </w:tc>
      </w:tr>
    </w:tbl>
    <w:p>
      <w:pPr>
        <w:spacing w:after="4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8.1  Acceptance criteria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17 Charter workflows registered on sandbox 3.15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Confirmed via Mongo notificationtemplates count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MSG91 SMS dispatches successfully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HTTP 200 from MSG91 v5/Flow API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ICPaaS WhatsApp dispatches successfully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HTTP 200 + wamid issued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Email skips with descriptive reason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SesNotConfigured surfaced in audit row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In-app notification creates a messages doc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Confirmed via messages collection lookup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TPE Admin containers safely stopped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Both containers state = Exited (0)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Rollback path verified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novu-ce-pivot-rollback skill written + tested commands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9.  Reversal plan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If this decision proves wrong, reversal is straightforward and documented: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Invoke the novu-ce-pivot-rollback skill (.claude/skills/novu-ce-pivot-rollback/SKILL.md)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Restart tpe-admin + tpe-admin-worker containers (data + code preserved)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Re-seed tpe_channel_gating Mongo doc if it was wiped (recipe in skill)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Decide what to do with sandbox 3.15 stack (keep / stop / decommission)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Notify operators of the URL change back to /admin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Supersede this ADR with a follow-up ADR documenting the reversal</w:t>
      </w:r>
    </w:p>
    <w:p>
      <w:pPr>
        <w:spacing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20"/>
              </w:rPr>
              <w:t>Reversibility cost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Estimated reversal effort: ~1 hour. Same as the original pivot since the work is essentially mirrored. The pivot was deliberately designed to be reversible.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10.  Future review triggers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Re-evaluate this decision (open ADR-002) if any of the following occur: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Operators report 4+ workflows that they need to author ad-hoc without engineering involvement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Novu CE 3.15 → 3.16+ upgrade introduces breaking changes in the Bridge protocol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MSG91 contract changes (vendor switch, deprecation) requires SMS provider migration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Charter §E1 requirement for code-first authoring is relaxed by Compliance Lead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An operations-driven need for in-dashboard campaign builder emerges (i.e. Phase 1A-1C resurrection)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Track A (production ECS Fargate) migration begins — re-evaluate which surface to expose</w:t>
      </w:r>
    </w:p>
    <w:p>
      <w:pPr>
        <w:spacing w:after="80" w:line="300" w:lineRule="auto"/>
        <w:jc w:val="left"/>
      </w:pP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20"/>
        </w:rPr>
        <w:t>Default review cadence: every 6 months OR on any of the above triggers.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11.  References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Resource</w:t>
            </w:r>
          </w:p>
        </w:tc>
        <w:tc>
          <w:tcPr>
            <w:tcW w:type="dxa" w:w="576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Path / URL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Project memory: pivot context</w:t>
            </w:r>
          </w:p>
        </w:tc>
        <w:tc>
          <w:tcPr>
            <w:tcW w:type="dxa" w:w="57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memory/sandbox_315_primary.md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Project memory: code-first rule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memory/architecture_code_first_only.md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Project memory: 3.x payload gotchas</w:t>
            </w:r>
          </w:p>
        </w:tc>
        <w:tc>
          <w:tcPr>
            <w:tcW w:type="dxa" w:w="57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memory/novu_3x_payload_gotchas.md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Project memory: workflow wipe history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memory/workflow_wipe_2026-05-01.md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Skill: rollback this pivot</w:t>
            </w:r>
          </w:p>
        </w:tc>
        <w:tc>
          <w:tcPr>
            <w:tcW w:type="dxa" w:w="57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.claude/skills/novu-ce-pivot-rollback/SKILL.md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Skill: recreate Bridge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.claude/skills/novu-ce-sandbox-bridge-recreate/SKILL.md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Operator Manual</w:t>
            </w:r>
          </w:p>
        </w:tc>
        <w:tc>
          <w:tcPr>
            <w:tcW w:type="dxa" w:w="57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docs/TPE_Communication_System_Operator_Manual_v1.0.docx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Project Status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docs/TPE_Communication_System_Project_Status_v2.0.docx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Charter §E1 mandate</w:t>
            </w:r>
          </w:p>
        </w:tc>
        <w:tc>
          <w:tcPr>
            <w:tcW w:type="dxa" w:w="57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docs/TPE_Communication_System_Charter_v1.0.docx (§E1)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GitHub repo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https://github.com/aksatyamtpe/tpe-novu</w:t>
            </w:r>
          </w:p>
        </w:tc>
      </w:tr>
    </w:tbl>
    <w:p>
      <w:pPr>
        <w:spacing w:after="2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Borders>
              <w:top w:val="single" w:sz="8" w:color="0D1B2A"/>
              <w:left w:val="single" w:sz="8" w:color="0D1B2A"/>
              <w:bottom w:val="single" w:sz="8" w:color="0D1B2A"/>
              <w:right w:val="single" w:sz="8" w:color="0D1B2A"/>
            </w:tcBorders>
          </w:tcPr>
          <w:p>
            <w:pPr>
              <w:spacing w:before="160"/>
              <w:jc w:val="left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Prepared by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Ashish Kumar Satyam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 w:val="0"/>
                <w:color w:val="FFFFFF"/>
                <w:sz w:val="18"/>
              </w:rPr>
              <w:t>TechDigital WishTree  ·  for The Policy Exchange</w:t>
            </w:r>
          </w:p>
          <w:p>
            <w:pPr>
              <w:spacing w:after="160"/>
              <w:jc w:val="left"/>
            </w:pPr>
            <w:r>
              <w:rPr>
                <w:rFonts w:ascii="Arial" w:hAnsi="Arial" w:cs="Arial"/>
                <w:b w:val="0"/>
                <w:i/>
                <w:color w:val="FFFFFF"/>
                <w:sz w:val="16"/>
              </w:rPr>
              <w:t>Internal / Confidential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i w:val="0"/>
        <w:color w:val="7F8C8D"/>
        <w:sz w:val="16"/>
      </w:rPr>
      <w:t xml:space="preserve">TPE-COMMS-ADR-2026-001  |  Internal &amp; Confidential  |  Page </w:t>
    </w:r>
    <w:r>
      <w:rPr>
        <w:rFonts w:ascii="Arial" w:hAnsi="Arial" w:cs="Arial"/>
        <w:b/>
        <w:i w:val="0"/>
        <w:color w:val="7F8C8D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 w:val="0"/>
        <w:i/>
        <w:color w:val="7F8C8D"/>
        <w:sz w:val="16"/>
      </w:rPr>
      <w:t>ADR-001 Sandbox Pivot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