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trHeight w:val="200" w:hRule="exact"/>
        </w:trPr>
        <w:tc>
          <w:tcPr>
            <w:tcW w:type="dxa" w:w="9360"/>
            <w:shd w:val="clear" w:color="auto" w:fill="1B3A5C"/>
          </w:tcPr>
          <w:p>
            <w:pPr>
              <w:spacing w:before="0" w:after="0"/>
            </w:pPr>
            <w:r/>
          </w:p>
        </w:tc>
      </w:tr>
    </w:tbl>
    <w:p>
      <w:pPr>
        <w:spacing w:after="360" w:line="300" w:lineRule="auto"/>
        <w:jc w:val="left"/>
      </w:pPr>
    </w:p>
    <w:p>
      <w:pPr>
        <w:spacing w:after="80" w:line="300" w:lineRule="auto"/>
        <w:jc w:val="center"/>
      </w:pPr>
      <w:r>
        <w:rPr>
          <w:rFonts w:ascii="Arial" w:hAnsi="Arial" w:cs="Arial"/>
          <w:b/>
          <w:i w:val="0"/>
          <w:color w:val="7F8C8D"/>
          <w:sz w:val="20"/>
        </w:rPr>
        <w:t>THE POLICY EXCHANGE (FAIRVALUE INSURETECH PVT. LTD.)</w:t>
      </w:r>
    </w:p>
    <w:p>
      <w:pPr>
        <w:spacing w:after="80" w:line="300" w:lineRule="auto"/>
        <w:jc w:val="center"/>
      </w:pPr>
      <w:r>
        <w:rPr>
          <w:rFonts w:ascii="Arial" w:hAnsi="Arial" w:cs="Arial"/>
          <w:b/>
          <w:i w:val="0"/>
          <w:color w:val="1B3A5C"/>
          <w:sz w:val="40"/>
        </w:rPr>
        <w:t>ARCHITECTURE DECISION RECORD</w:t>
      </w:r>
    </w:p>
    <w:p>
      <w:pPr>
        <w:spacing w:after="240" w:line="300" w:lineRule="auto"/>
        <w:jc w:val="center"/>
      </w:pPr>
      <w:r>
        <w:rPr>
          <w:rFonts w:ascii="Arial" w:hAnsi="Arial" w:cs="Arial"/>
          <w:b/>
          <w:i w:val="0"/>
          <w:color w:val="2E75B6"/>
          <w:sz w:val="28"/>
        </w:rPr>
        <w:t>ADR-001</w:t>
      </w:r>
    </w:p>
    <w:p>
      <w:pPr>
        <w:spacing w:after="120" w:line="300" w:lineRule="auto"/>
        <w:jc w:val="center"/>
      </w:pPr>
      <w:r>
        <w:rPr>
          <w:rFonts w:ascii="Arial" w:hAnsi="Arial" w:cs="Arial"/>
          <w:b/>
          <w:i w:val="0"/>
          <w:color w:val="2C3E50"/>
          <w:sz w:val="48"/>
        </w:rPr>
        <w:t>Sandbox-3.15 Promoted to Primary</w:t>
      </w:r>
    </w:p>
    <w:p>
      <w:pPr>
        <w:spacing w:after="480" w:line="300" w:lineRule="auto"/>
        <w:jc w:val="center"/>
      </w:pPr>
      <w:r>
        <w:rPr>
          <w:rFonts w:ascii="Arial" w:hAnsi="Arial" w:cs="Arial"/>
          <w:b w:val="0"/>
          <w:i/>
          <w:color w:val="7F8C8D"/>
          <w:sz w:val="22"/>
        </w:rPr>
        <w:t>Why we pivoted from custom TPE Admin to the Novu CE 3.15 dashboard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3119"/>
        <w:gridCol w:w="3119"/>
        <w:gridCol w:w="3121"/>
      </w:tblGrid>
      <w:tr>
        <w:tc>
          <w:tcPr>
            <w:tcW w:type="dxa" w:w="3119"/>
            <w:shd w:val="clear" w:color="auto" w:fill="FAFBFC"/>
            <w:tcBorders>
              <w:top w:val="single" w:sz="18" w:color="27AE60"/>
              <w:left w:val="single" w:sz="18" w:color="27AE60"/>
              <w:bottom w:val="single" w:sz="18" w:color="27AE60"/>
              <w:right w:val="single" w:sz="18" w:color="27AE60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27AE60"/>
                <w:sz w:val="28"/>
              </w:rPr>
              <w:t>ACCEPTED</w:t>
            </w:r>
          </w:p>
          <w:p>
            <w:pPr>
              <w:spacing w:after="80"/>
              <w:jc w:val="center"/>
            </w:pPr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Status</w:t>
            </w:r>
          </w:p>
        </w:tc>
        <w:tc>
          <w:tcPr>
            <w:tcW w:type="dxa" w:w="3119"/>
            <w:shd w:val="clear" w:color="auto" w:fill="FAFBFC"/>
            <w:tcBorders>
              <w:top w:val="single" w:sz="18" w:color="1B3A5C"/>
              <w:left w:val="single" w:sz="18" w:color="1B3A5C"/>
              <w:bottom w:val="single" w:sz="18" w:color="1B3A5C"/>
              <w:right w:val="single" w:sz="18" w:color="1B3A5C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1B3A5C"/>
                <w:sz w:val="28"/>
              </w:rPr>
              <w:t>01 May 2026</w:t>
            </w:r>
          </w:p>
          <w:p>
            <w:pPr>
              <w:spacing w:after="80"/>
              <w:jc w:val="center"/>
            </w:pPr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Decision Date</w:t>
            </w:r>
          </w:p>
        </w:tc>
        <w:tc>
          <w:tcPr>
            <w:tcW w:type="dxa" w:w="3121"/>
            <w:shd w:val="clear" w:color="auto" w:fill="FAFBFC"/>
            <w:tcBorders>
              <w:top w:val="single" w:sz="18" w:color="2E75B6"/>
              <w:left w:val="single" w:sz="18" w:color="2E75B6"/>
              <w:bottom w:val="single" w:sz="18" w:color="2E75B6"/>
              <w:right w:val="single" w:sz="18" w:color="2E75B6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2E75B6"/>
                <w:sz w:val="28"/>
              </w:rPr>
              <w:t>Engineering Lead</w:t>
            </w:r>
          </w:p>
          <w:p>
            <w:pPr>
              <w:spacing w:after="80"/>
              <w:jc w:val="center"/>
            </w:pPr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Decision Authority</w:t>
            </w:r>
          </w:p>
        </w:tc>
      </w:tr>
    </w:tbl>
    <w:p>
      <w:pPr>
        <w:spacing w:after="360" w:line="300" w:lineRule="auto"/>
        <w:jc w:val="left"/>
      </w:pPr>
    </w:p>
    <w:p>
      <w:pPr>
        <w:spacing w:after="80" w:line="300" w:lineRule="auto"/>
        <w:jc w:val="center"/>
      </w:pPr>
      <w:r>
        <w:rPr>
          <w:rFonts w:ascii="Arial" w:hAnsi="Arial" w:cs="Arial"/>
          <w:b/>
          <w:i w:val="0"/>
          <w:color w:val="1B3A5C"/>
          <w:sz w:val="20"/>
        </w:rPr>
        <w:t>Document metadata</w:t>
      </w:r>
    </w:p>
    <w:tbl>
      <w:tblPr>
        <w:tblW w:type="dxa" w:w="7488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4464"/>
      </w:tblGrid>
      <w:tr>
        <w:tc>
          <w:tcPr>
            <w:tcW w:type="dxa" w:w="3024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/>
            <w:r>
              <w:rPr>
                <w:rFonts w:ascii="Arial" w:hAnsi="Arial" w:cs="Arial"/>
                <w:b/>
                <w:i w:val="0"/>
                <w:color w:val="1B3A5C"/>
                <w:sz w:val="18"/>
              </w:rPr>
              <w:t>Document ID</w:t>
            </w:r>
          </w:p>
        </w:tc>
        <w:tc>
          <w:tcPr>
            <w:tcW w:type="dxa" w:w="4464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TPE-COMMS-ADR-2026-001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/>
            <w:r>
              <w:rPr>
                <w:rFonts w:ascii="Arial" w:hAnsi="Arial" w:cs="Arial"/>
                <w:b/>
                <w:i w:val="0"/>
                <w:color w:val="1B3A5C"/>
                <w:sz w:val="18"/>
              </w:rPr>
              <w:t>Version</w:t>
            </w:r>
          </w:p>
        </w:tc>
        <w:tc>
          <w:tcPr>
            <w:tcW w:type="dxa" w:w="4464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1.0</w:t>
            </w:r>
          </w:p>
        </w:tc>
      </w:tr>
      <w:tr>
        <w:tc>
          <w:tcPr>
            <w:tcW w:type="dxa" w:w="3024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/>
            <w:r>
              <w:rPr>
                <w:rFonts w:ascii="Arial" w:hAnsi="Arial" w:cs="Arial"/>
                <w:b/>
                <w:i w:val="0"/>
                <w:color w:val="1B3A5C"/>
                <w:sz w:val="18"/>
              </w:rPr>
              <w:t>Decision date</w:t>
            </w:r>
          </w:p>
        </w:tc>
        <w:tc>
          <w:tcPr>
            <w:tcW w:type="dxa" w:w="4464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01 May 2026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/>
            <w:r>
              <w:rPr>
                <w:rFonts w:ascii="Arial" w:hAnsi="Arial" w:cs="Arial"/>
                <w:b/>
                <w:i w:val="0"/>
                <w:color w:val="1B3A5C"/>
                <w:sz w:val="18"/>
              </w:rPr>
              <w:t>Authors</w:t>
            </w:r>
          </w:p>
        </w:tc>
        <w:tc>
          <w:tcPr>
            <w:tcW w:type="dxa" w:w="4464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Ashish Kumar Satyam</w:t>
            </w:r>
          </w:p>
        </w:tc>
      </w:tr>
      <w:tr>
        <w:tc>
          <w:tcPr>
            <w:tcW w:type="dxa" w:w="3024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/>
            <w:r>
              <w:rPr>
                <w:rFonts w:ascii="Arial" w:hAnsi="Arial" w:cs="Arial"/>
                <w:b/>
                <w:i w:val="0"/>
                <w:color w:val="1B3A5C"/>
                <w:sz w:val="18"/>
              </w:rPr>
              <w:t>For</w:t>
            </w:r>
          </w:p>
        </w:tc>
        <w:tc>
          <w:tcPr>
            <w:tcW w:type="dxa" w:w="4464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The Policy Exchange (Fairvalue Insuretech Pvt. Ltd.)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/>
            <w:r>
              <w:rPr>
                <w:rFonts w:ascii="Arial" w:hAnsi="Arial" w:cs="Arial"/>
                <w:b/>
                <w:i w:val="0"/>
                <w:color w:val="1B3A5C"/>
                <w:sz w:val="18"/>
              </w:rPr>
              <w:t>Audience</w:t>
            </w:r>
          </w:p>
        </w:tc>
        <w:tc>
          <w:tcPr>
            <w:tcW w:type="dxa" w:w="4464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Engineering team, architecture review board, future maintainers</w:t>
            </w:r>
          </w:p>
        </w:tc>
      </w:tr>
      <w:tr>
        <w:tc>
          <w:tcPr>
            <w:tcW w:type="dxa" w:w="3024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/>
            <w:r>
              <w:rPr>
                <w:rFonts w:ascii="Arial" w:hAnsi="Arial" w:cs="Arial"/>
                <w:b/>
                <w:i w:val="0"/>
                <w:color w:val="1B3A5C"/>
                <w:sz w:val="18"/>
              </w:rPr>
              <w:t>Status</w:t>
            </w:r>
          </w:p>
        </w:tc>
        <w:tc>
          <w:tcPr>
            <w:tcW w:type="dxa" w:w="4464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● ACCEPTED — implementation complete</w:t>
            </w:r>
          </w:p>
        </w:tc>
      </w:tr>
      <w:tr>
        <w:tc>
          <w:tcPr>
            <w:tcW w:type="dxa" w:w="3024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/>
            <w:r>
              <w:rPr>
                <w:rFonts w:ascii="Arial" w:hAnsi="Arial" w:cs="Arial"/>
                <w:b/>
                <w:i w:val="0"/>
                <w:color w:val="1B3A5C"/>
                <w:sz w:val="18"/>
              </w:rPr>
              <w:t>Supersedes</w:t>
            </w:r>
          </w:p>
        </w:tc>
        <w:tc>
          <w:tcPr>
            <w:tcW w:type="dxa" w:w="4464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(none — first ADR for this project)</w:t>
            </w:r>
          </w:p>
        </w:tc>
      </w:tr>
    </w:tbl>
    <w:p>
      <w:pPr>
        <w:spacing w:after="240" w:line="300" w:lineRule="auto"/>
        <w:jc w:val="left"/>
      </w:pPr>
    </w:p>
    <w:p>
      <w:pPr>
        <w:spacing w:after="80" w:line="300" w:lineRule="auto"/>
        <w:jc w:val="center"/>
      </w:pPr>
      <w:r>
        <w:rPr>
          <w:rFonts w:ascii="Arial" w:hAnsi="Arial" w:cs="Arial"/>
          <w:b/>
          <w:i w:val="0"/>
          <w:color w:val="E74C3C"/>
          <w:sz w:val="18"/>
        </w:rPr>
        <w:t>INTERNAL / CONFIDENTIAL — DO NOT REDISTRIBUTE</w:t>
      </w:r>
    </w:p>
    <w:p>
      <w:r>
        <w:br w:type="page"/>
      </w:r>
    </w:p>
    <w:p>
      <w:pPr>
        <w:spacing w:after="0"/>
      </w:pPr>
    </w:p>
    <w:p>
      <w:pPr>
        <w:spacing w:before="160" w:after="40"/>
      </w:pPr>
      <w:r>
        <w:rPr>
          <w:rFonts w:ascii="Arial" w:hAnsi="Arial" w:cs="Arial"/>
          <w:b/>
          <w:i w:val="0"/>
          <w:color w:val="2C3E50"/>
          <w:sz w:val="28"/>
        </w:rPr>
        <w:t>1.  Document Information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trHeight w:val="20" w:hRule="exact"/>
        </w:trPr>
        <w:tc>
          <w:tcPr>
            <w:tcW w:type="dxa" w:w="9360"/>
            <w:shd w:val="clear" w:color="auto" w:fill="2C3E50"/>
          </w:tcPr>
          <w:p>
            <w:pPr>
              <w:spacing w:before="0" w:after="0"/>
            </w:pPr>
            <w:r/>
          </w:p>
        </w:tc>
      </w:tr>
    </w:tbl>
    <w:p>
      <w:pPr>
        <w:spacing w:after="8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8"/>
              </w:rPr>
              <w:t>Attribute</w:t>
            </w:r>
          </w:p>
        </w:tc>
        <w:tc>
          <w:tcPr>
            <w:tcW w:type="dxa" w:w="6480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8"/>
              </w:rPr>
              <w:t>Value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ADR ID</w:t>
            </w:r>
          </w:p>
        </w:tc>
        <w:tc>
          <w:tcPr>
            <w:tcW w:type="dxa" w:w="648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ADR-001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Title</w:t>
            </w:r>
          </w:p>
        </w:tc>
        <w:tc>
          <w:tcPr>
            <w:tcW w:type="dxa" w:w="648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Sandbox-3.15 Promoted to Primary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Status</w:t>
            </w:r>
          </w:p>
        </w:tc>
        <w:tc>
          <w:tcPr>
            <w:tcW w:type="dxa" w:w="648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ACCEPTED (implementation complete)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Decision date</w:t>
            </w:r>
          </w:p>
        </w:tc>
        <w:tc>
          <w:tcPr>
            <w:tcW w:type="dxa" w:w="648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01 May 2026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Authors</w:t>
            </w:r>
          </w:p>
        </w:tc>
        <w:tc>
          <w:tcPr>
            <w:tcW w:type="dxa" w:w="648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Ashish Kumar Satyam, The Policy Exchange (Fairvalue Insuretech Pvt. Ltd.)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For</w:t>
            </w:r>
          </w:p>
        </w:tc>
        <w:tc>
          <w:tcPr>
            <w:tcW w:type="dxa" w:w="648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The Policy Exchange (Fairvalue Insuretech Pvt. Ltd.)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Audience</w:t>
            </w:r>
          </w:p>
        </w:tc>
        <w:tc>
          <w:tcPr>
            <w:tcW w:type="dxa" w:w="648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Engineering, architecture review, future maintainers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Approvers</w:t>
            </w:r>
          </w:p>
        </w:tc>
        <w:tc>
          <w:tcPr>
            <w:tcW w:type="dxa" w:w="648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Engineering Lead (decided); informed: CTO, Compliance Lead, Operations Lead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Supersedes</w:t>
            </w:r>
          </w:p>
        </w:tc>
        <w:tc>
          <w:tcPr>
            <w:tcW w:type="dxa" w:w="648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(none)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Future review</w:t>
            </w:r>
          </w:p>
        </w:tc>
        <w:tc>
          <w:tcPr>
            <w:tcW w:type="dxa" w:w="648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Re-evaluate in 6 months OR if 4+ workflows need ad-hoc operator authoring</w:t>
            </w:r>
          </w:p>
        </w:tc>
      </w:tr>
    </w:tbl>
    <w:p>
      <w:pPr>
        <w:spacing w:after="0"/>
      </w:pPr>
    </w:p>
    <w:p>
      <w:pPr>
        <w:spacing w:before="160" w:after="40"/>
      </w:pPr>
      <w:r>
        <w:rPr>
          <w:rFonts w:ascii="Arial" w:hAnsi="Arial" w:cs="Arial"/>
          <w:b/>
          <w:i w:val="0"/>
          <w:color w:val="2C3E50"/>
          <w:sz w:val="28"/>
        </w:rPr>
        <w:t>2.  Context — what was the situation before?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trHeight w:val="20" w:hRule="exact"/>
        </w:trPr>
        <w:tc>
          <w:tcPr>
            <w:tcW w:type="dxa" w:w="9360"/>
            <w:shd w:val="clear" w:color="auto" w:fill="2C3E50"/>
          </w:tcPr>
          <w:p>
            <w:pPr>
              <w:spacing w:before="0" w:after="0"/>
            </w:pPr>
            <w:r/>
          </w:p>
        </w:tc>
      </w:tr>
    </w:tbl>
    <w:p>
      <w:pPr>
        <w:spacing w:after="80"/>
      </w:pPr>
    </w:p>
    <w:p>
      <w:pPr>
        <w:spacing w:after="160" w:line="300" w:lineRule="auto"/>
        <w:jc w:val="left"/>
      </w:pPr>
      <w:r>
        <w:rPr>
          <w:rFonts w:ascii="Arial" w:hAnsi="Arial" w:cs="Arial"/>
          <w:b w:val="0"/>
          <w:i w:val="0"/>
          <w:color w:val="2C3E50"/>
          <w:sz w:val="20"/>
        </w:rPr>
        <w:t>Through April 2026, the TPE Communication System ran on a single live Novu CE 2.3.0 stack at VPS port 80. Operator-facing functionality (channel allowlist, campaign builder, scheduled trigger UI, run history) was built into a custom Next.js application called "TPE Admin" served at /admin/. The 17 Charter §4.3 lifecycle workflows were already authored as Bridge code-first and dispatching via custom step.custom + lib/dispatch.ts to MSG91 (SMS) + ICPaaS (WhatsApp).</w:t>
      </w:r>
    </w:p>
    <w:p>
      <w:pPr>
        <w:spacing w:after="160" w:line="300" w:lineRule="auto"/>
        <w:jc w:val="left"/>
      </w:pPr>
      <w:r>
        <w:rPr>
          <w:rFonts w:ascii="Arial" w:hAnsi="Arial" w:cs="Arial"/>
          <w:b w:val="0"/>
          <w:i w:val="0"/>
          <w:color w:val="2C3E50"/>
          <w:sz w:val="20"/>
        </w:rPr>
        <w:t>On 30 April 2026, a parallel Novu CE 3.15.0 sandbox stack was deployed at ports 8080 / 8081 / 8083 specifically to evaluate compatibility — could the existing Bridge code-first workflows + dispatch architecture forward-port from 2.3.0 to 3.15.0 without source changes? (Answer: yes, with strict 3.x payload validation gotchas documented separately in memory/novu_3x_payload_gotchas.md.)</w:t>
      </w:r>
    </w:p>
    <w:p>
      <w:pPr>
        <w:spacing w:after="80" w:line="300" w:lineRule="auto"/>
        <w:jc w:val="left"/>
      </w:pPr>
      <w:r>
        <w:rPr>
          <w:rFonts w:ascii="Arial" w:hAnsi="Arial" w:cs="Arial"/>
          <w:b w:val="0"/>
          <w:i w:val="0"/>
          <w:color w:val="2C3E50"/>
          <w:sz w:val="20"/>
        </w:rPr>
        <w:t>On 1 May 2026, before the team fully evaluated the 3.15 sandbox, leadership directed: "we have to use the novu FE to manage all TPE Admin FE will be removed." Then refined to: "Use this — TPE Sandbox 3.15. Only to manage all notifications only." That triggered this ADR.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0F4F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/>
            <w:r>
              <w:rPr>
                <w:rFonts w:ascii="Arial" w:hAnsi="Arial" w:cs="Arial"/>
                <w:b/>
                <w:i w:val="0"/>
                <w:color w:val="1B3A5C"/>
                <w:sz w:val="20"/>
              </w:rPr>
              <w:t>Trigger statement from leadership</w:t>
            </w:r>
          </w:p>
          <w:p>
            <w:r>
              <w:rPr>
                <w:rFonts w:ascii="Arial" w:hAnsi="Arial" w:cs="Arial"/>
                <w:b w:val="0"/>
                <w:i w:val="0"/>
                <w:color w:val="2C3E50"/>
                <w:sz w:val="19"/>
              </w:rPr>
              <w:t>"We have to use the novu FE to manage all TPE Admin FE will be removed. Use this — TPE Sandbox 3.15. Only to manage all notifications only."  — Project lead, 1 May 2026 (verbatim from chat directive)</w:t>
            </w:r>
          </w:p>
        </w:tc>
      </w:tr>
    </w:tbl>
    <w:p>
      <w:pPr>
        <w:spacing w:after="40" w:line="300" w:lineRule="auto"/>
        <w:jc w:val="left"/>
      </w:pPr>
    </w:p>
    <w:p>
      <w:pPr>
        <w:spacing w:after="0"/>
      </w:pPr>
    </w:p>
    <w:p>
      <w:pPr>
        <w:spacing w:before="160" w:after="40"/>
      </w:pPr>
      <w:r>
        <w:rPr>
          <w:rFonts w:ascii="Arial" w:hAnsi="Arial" w:cs="Arial"/>
          <w:b/>
          <w:i w:val="0"/>
          <w:color w:val="2C3E50"/>
          <w:sz w:val="28"/>
        </w:rPr>
        <w:t>3.  Problem statement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trHeight w:val="20" w:hRule="exact"/>
        </w:trPr>
        <w:tc>
          <w:tcPr>
            <w:tcW w:type="dxa" w:w="9360"/>
            <w:shd w:val="clear" w:color="auto" w:fill="2C3E50"/>
          </w:tcPr>
          <w:p>
            <w:pPr>
              <w:spacing w:before="0" w:after="0"/>
            </w:pPr>
            <w:r/>
          </w:p>
        </w:tc>
      </w:tr>
    </w:tbl>
    <w:p>
      <w:pPr>
        <w:spacing w:after="80"/>
      </w:pPr>
    </w:p>
    <w:p>
      <w:pPr>
        <w:spacing w:after="80" w:line="300" w:lineRule="auto"/>
        <w:jc w:val="left"/>
      </w:pPr>
      <w:r>
        <w:rPr>
          <w:rFonts w:ascii="Arial" w:hAnsi="Arial" w:cs="Arial"/>
          <w:b w:val="0"/>
          <w:i w:val="0"/>
          <w:color w:val="2C3E50"/>
          <w:sz w:val="20"/>
        </w:rPr>
        <w:t>Five interlocking problems converged into the decision below: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P1 — Two operator surfaces (TPE Admin + Novu Dashboard) created confusion; operators didn't know which to use for what.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P2 — TPE Admin's compliance middleware lint was duplicating Novu's workflow validation, causing maintenance burden when Novu CE was upgraded.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P3 — Studio-UI workflow authoring (visible in Novu Dashboard) had no compliance gate; operators could create workflows that bypassed DLT template enforcement.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P4 — Live 2.3.0 was being evaluated for 3.15 upgrade; running TPE Admin v1 against 3.15 would require re-validating every custom admin endpoint.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P5 — Charter §E1 mandates code-first workflow authoring with PR review. TPE Admin was a custom app that had drifted slightly toward operator self-service authoring patterns.</w:t>
      </w:r>
    </w:p>
    <w:p>
      <w:pPr>
        <w:spacing w:after="0"/>
      </w:pPr>
    </w:p>
    <w:p>
      <w:pPr>
        <w:spacing w:before="160" w:after="40"/>
      </w:pPr>
      <w:r>
        <w:rPr>
          <w:rFonts w:ascii="Arial" w:hAnsi="Arial" w:cs="Arial"/>
          <w:b/>
          <w:i w:val="0"/>
          <w:color w:val="2C3E50"/>
          <w:sz w:val="28"/>
        </w:rPr>
        <w:t>4.  Considered options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trHeight w:val="20" w:hRule="exact"/>
        </w:trPr>
        <w:tc>
          <w:tcPr>
            <w:tcW w:type="dxa" w:w="9360"/>
            <w:shd w:val="clear" w:color="auto" w:fill="2C3E50"/>
          </w:tcPr>
          <w:p>
            <w:pPr>
              <w:spacing w:before="0" w:after="0"/>
            </w:pPr>
            <w:r/>
          </w:p>
        </w:tc>
      </w:tr>
    </w:tbl>
    <w:p>
      <w:pPr>
        <w:spacing w:after="80"/>
      </w:pPr>
    </w:p>
    <w:p>
      <w:pPr>
        <w:spacing w:before="80" w:after="40"/>
      </w:pPr>
      <w:r>
        <w:rPr>
          <w:rFonts w:ascii="Arial" w:hAnsi="Arial" w:cs="Arial"/>
          <w:b/>
          <w:i w:val="0"/>
          <w:color w:val="1B3A5C"/>
          <w:sz w:val="24"/>
        </w:rPr>
        <w:t>4.1  Option A — Keep TPE Admin (status quo)</w:t>
      </w:r>
    </w:p>
    <w:p>
      <w:pPr>
        <w:spacing w:after="40" w:line="300" w:lineRule="auto"/>
        <w:jc w:val="left"/>
      </w:pPr>
      <w:r>
        <w:rPr>
          <w:rFonts w:ascii="Arial" w:hAnsi="Arial" w:cs="Arial"/>
          <w:b/>
          <w:i w:val="0"/>
          <w:color w:val="1B3A5C"/>
          <w:sz w:val="20"/>
        </w:rPr>
        <w:t>Description:</w:t>
      </w:r>
    </w:p>
    <w:p>
      <w:pPr>
        <w:spacing w:after="80" w:line="300" w:lineRule="auto"/>
        <w:jc w:val="left"/>
      </w:pPr>
      <w:r>
        <w:rPr>
          <w:rFonts w:ascii="Arial" w:hAnsi="Arial" w:cs="Arial"/>
          <w:b w:val="0"/>
          <w:i w:val="0"/>
          <w:color w:val="2C3E50"/>
          <w:sz w:val="20"/>
        </w:rPr>
        <w:t>Keep the custom Next.js TPE Admin at /admin/ as the canonical operator surface. Maintain it across Novu version upgrades. Do not promote sandbox 3.15.</w:t>
      </w:r>
    </w:p>
    <w:p>
      <w:pPr>
        <w:spacing w:after="40" w:line="300" w:lineRule="auto"/>
        <w:jc w:val="left"/>
      </w:pPr>
      <w:r>
        <w:rPr>
          <w:rFonts w:ascii="Arial" w:hAnsi="Arial" w:cs="Arial"/>
          <w:b/>
          <w:i w:val="0"/>
          <w:color w:val="27AE60"/>
          <w:sz w:val="20"/>
        </w:rPr>
        <w:t>Pros: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Existing operator workflows continue uninterrupted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Custom features (channel allowlist UI, campaign builder, run history) remain accessible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No retraining of operations team</w:t>
      </w:r>
    </w:p>
    <w:p>
      <w:pPr>
        <w:spacing w:after="40" w:line="300" w:lineRule="auto"/>
        <w:jc w:val="left"/>
      </w:pPr>
      <w:r>
        <w:rPr>
          <w:rFonts w:ascii="Arial" w:hAnsi="Arial" w:cs="Arial"/>
          <w:b/>
          <w:i w:val="0"/>
          <w:color w:val="E74C3C"/>
          <w:sz w:val="20"/>
        </w:rPr>
        <w:t>Cons: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Maintenance cost of custom Next.js app on top of Novu CE upgrades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Two operator surfaces to test on every change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Doesn't address Charter §E1 alignment risk (P5)</w:t>
      </w:r>
    </w:p>
    <w:p>
      <w:pPr>
        <w:spacing w:after="160" w:line="300" w:lineRule="auto"/>
        <w:jc w:val="left"/>
      </w:pPr>
      <w:r>
        <w:rPr>
          <w:rFonts w:ascii="Arial" w:hAnsi="Arial" w:cs="Arial"/>
          <w:b w:val="0"/>
          <w:i/>
          <w:color w:val="2C3E50"/>
          <w:sz w:val="20"/>
        </w:rPr>
        <w:t>Verdict: REJECTED — leadership directive required different path</w:t>
      </w:r>
    </w:p>
    <w:p>
      <w:pPr>
        <w:spacing w:before="80" w:after="40"/>
      </w:pPr>
      <w:r>
        <w:rPr>
          <w:rFonts w:ascii="Arial" w:hAnsi="Arial" w:cs="Arial"/>
          <w:b/>
          <w:i w:val="0"/>
          <w:color w:val="1B3A5C"/>
          <w:sz w:val="24"/>
        </w:rPr>
        <w:t>4.2  Option B — Full Novu fork with native MSG91 provider</w:t>
      </w:r>
    </w:p>
    <w:p>
      <w:pPr>
        <w:spacing w:after="40" w:line="300" w:lineRule="auto"/>
        <w:jc w:val="left"/>
      </w:pPr>
      <w:r>
        <w:rPr>
          <w:rFonts w:ascii="Arial" w:hAnsi="Arial" w:cs="Arial"/>
          <w:b/>
          <w:i w:val="0"/>
          <w:color w:val="1B3A5C"/>
          <w:sz w:val="20"/>
        </w:rPr>
        <w:t>Description:</w:t>
      </w:r>
    </w:p>
    <w:p>
      <w:pPr>
        <w:spacing w:after="80" w:line="300" w:lineRule="auto"/>
        <w:jc w:val="left"/>
      </w:pPr>
      <w:r>
        <w:rPr>
          <w:rFonts w:ascii="Arial" w:hAnsi="Arial" w:cs="Arial"/>
          <w:b w:val="0"/>
          <w:i w:val="0"/>
          <w:color w:val="2C3E50"/>
          <w:sz w:val="20"/>
        </w:rPr>
        <w:t>Fork Novu's open-source repo, add MSG91 to the SMS catalog (8 files across 4 packages), build custom Docker images, replace ghcr.io upstream images. Operators can now use the native Novu Integration Store to configure MSG91, and Studio-authored workflows can fire MSG91 SMS.</w:t>
      </w:r>
    </w:p>
    <w:p>
      <w:pPr>
        <w:spacing w:after="40" w:line="300" w:lineRule="auto"/>
        <w:jc w:val="left"/>
      </w:pPr>
      <w:r>
        <w:rPr>
          <w:rFonts w:ascii="Arial" w:hAnsi="Arial" w:cs="Arial"/>
          <w:b/>
          <w:i w:val="0"/>
          <w:color w:val="27AE60"/>
          <w:sz w:val="20"/>
        </w:rPr>
        <w:t>Pros: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MSG91 visible in Integration Store (Studio workflows can use it)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Operators can author ad-hoc workflows via Studio UI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Full feature parity with native Novu providers</w:t>
      </w:r>
    </w:p>
    <w:p>
      <w:pPr>
        <w:spacing w:after="40" w:line="300" w:lineRule="auto"/>
        <w:jc w:val="left"/>
      </w:pPr>
      <w:r>
        <w:rPr>
          <w:rFonts w:ascii="Arial" w:hAnsi="Arial" w:cs="Arial"/>
          <w:b/>
          <w:i w:val="0"/>
          <w:color w:val="E74C3C"/>
          <w:sz w:val="20"/>
        </w:rPr>
        <w:t>Cons: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Fork maintenance burden — every Novu version (3.16, 3.17, 4.0) requires re-merge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Custom Docker image build + storage pipeline required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Initial effort 3-5 days + ongoing maintenance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DLT template_id + vars passing requires bridgeProviderData abstraction (still leaks knowledge to operators)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Doesn't address Charter §E1 (still allows Studio workflows that bypass compliance lint)</w:t>
      </w:r>
    </w:p>
    <w:p>
      <w:pPr>
        <w:spacing w:after="160" w:line="300" w:lineRule="auto"/>
        <w:jc w:val="left"/>
      </w:pPr>
      <w:r>
        <w:rPr>
          <w:rFonts w:ascii="Arial" w:hAnsi="Arial" w:cs="Arial"/>
          <w:b w:val="0"/>
          <w:i/>
          <w:color w:val="2C3E50"/>
          <w:sz w:val="20"/>
        </w:rPr>
        <w:t>Verdict: REJECTED — fork burden + Charter §E1 alignment doesn't improve</w:t>
      </w:r>
    </w:p>
    <w:p>
      <w:pPr>
        <w:spacing w:before="80" w:after="40"/>
      </w:pPr>
      <w:r>
        <w:rPr>
          <w:rFonts w:ascii="Arial" w:hAnsi="Arial" w:cs="Arial"/>
          <w:b/>
          <w:i w:val="0"/>
          <w:color w:val="1B3A5C"/>
          <w:sz w:val="24"/>
        </w:rPr>
        <w:t>4.3  Option C — Sandbox 3.15 as primary, Bridge for SMS+WA, code-first authoring</w:t>
      </w:r>
    </w:p>
    <w:p>
      <w:pPr>
        <w:spacing w:after="40" w:line="300" w:lineRule="auto"/>
        <w:jc w:val="left"/>
      </w:pPr>
      <w:r>
        <w:rPr>
          <w:rFonts w:ascii="Arial" w:hAnsi="Arial" w:cs="Arial"/>
          <w:b/>
          <w:i w:val="0"/>
          <w:color w:val="1B3A5C"/>
          <w:sz w:val="20"/>
        </w:rPr>
        <w:t>Description:</w:t>
      </w:r>
    </w:p>
    <w:p>
      <w:pPr>
        <w:spacing w:after="80" w:line="300" w:lineRule="auto"/>
        <w:jc w:val="left"/>
      </w:pPr>
      <w:r>
        <w:rPr>
          <w:rFonts w:ascii="Arial" w:hAnsi="Arial" w:cs="Arial"/>
          <w:b w:val="0"/>
          <w:i w:val="0"/>
          <w:color w:val="2C3E50"/>
          <w:sz w:val="20"/>
        </w:rPr>
        <w:t>Promote the existing Novu CE 3.15 sandbox dashboard to canonical operator surface. Stop (preserve) TPE Admin containers — code preserved for rollback. Bridge dispatch architecture stays exactly the same — MSG91 SMS + ICPaaS WhatsApp continue to flow through lib/dispatch.ts. Code-first authoring rule is formalized: Studio UI workflow creation becomes forbidden, drift detection added.</w:t>
      </w:r>
    </w:p>
    <w:p>
      <w:pPr>
        <w:spacing w:after="40" w:line="300" w:lineRule="auto"/>
        <w:jc w:val="left"/>
      </w:pPr>
      <w:r>
        <w:rPr>
          <w:rFonts w:ascii="Arial" w:hAnsi="Arial" w:cs="Arial"/>
          <w:b/>
          <w:i w:val="0"/>
          <w:color w:val="27AE60"/>
          <w:sz w:val="20"/>
        </w:rPr>
        <w:t>Pros: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Single operator surface (the standard Novu CE dashboard at :8080)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Zero fork burden — track upstream Novu CE releases unchanged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Charter §E1 alignment: code-first is the only authoring path → PR review enforced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Existing dispatch architecture preserved → zero risk to MSG91 + ICPaaS production paths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Reversible — TPE Admin containers stopped, not removed; can be revived via skill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Implementation effort minimal (~1 hour: stop containers, sync workflows to sandbox, smoke test)</w:t>
      </w:r>
    </w:p>
    <w:p>
      <w:pPr>
        <w:spacing w:after="40" w:line="300" w:lineRule="auto"/>
        <w:jc w:val="left"/>
      </w:pPr>
      <w:r>
        <w:rPr>
          <w:rFonts w:ascii="Arial" w:hAnsi="Arial" w:cs="Arial"/>
          <w:b/>
          <w:i w:val="0"/>
          <w:color w:val="E74C3C"/>
          <w:sz w:val="20"/>
        </w:rPr>
        <w:t>Cons: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Operations team loses TPE Admin's bespoke features (channel allowlist UI, campaign builder)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Operators cannot author ad-hoc workflows — every new trigger requires engineering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Channel allowlist becomes Mongo-direct edit (no UI) until alternative built</w:t>
      </w:r>
    </w:p>
    <w:p>
      <w:pPr>
        <w:spacing w:after="80" w:line="300" w:lineRule="auto"/>
        <w:jc w:val="left"/>
      </w:pPr>
      <w:r>
        <w:rPr>
          <w:rFonts w:ascii="Arial" w:hAnsi="Arial" w:cs="Arial"/>
          <w:b/>
          <w:i/>
          <w:color w:val="27AE60"/>
          <w:sz w:val="20"/>
        </w:rPr>
        <w:t>Verdict: ACCEPTED</w:t>
      </w:r>
    </w:p>
    <w:p>
      <w:pPr>
        <w:spacing w:after="0"/>
      </w:pPr>
    </w:p>
    <w:p>
      <w:pPr>
        <w:spacing w:before="160" w:after="40"/>
      </w:pPr>
      <w:r>
        <w:rPr>
          <w:rFonts w:ascii="Arial" w:hAnsi="Arial" w:cs="Arial"/>
          <w:b/>
          <w:i w:val="0"/>
          <w:color w:val="2C3E50"/>
          <w:sz w:val="28"/>
        </w:rPr>
        <w:t>5.  Decision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trHeight w:val="20" w:hRule="exact"/>
        </w:trPr>
        <w:tc>
          <w:tcPr>
            <w:tcW w:type="dxa" w:w="9360"/>
            <w:shd w:val="clear" w:color="auto" w:fill="2C3E50"/>
          </w:tcPr>
          <w:p>
            <w:pPr>
              <w:spacing w:before="0" w:after="0"/>
            </w:pPr>
            <w:r/>
          </w:p>
        </w:tc>
      </w:tr>
    </w:tbl>
    <w:p>
      <w:pPr>
        <w:spacing w:after="80"/>
      </w:pPr>
    </w:p>
    <w:p>
      <w:pPr>
        <w:spacing w:after="160" w:line="300" w:lineRule="auto"/>
        <w:jc w:val="left"/>
      </w:pPr>
      <w:r>
        <w:rPr>
          <w:rFonts w:ascii="Arial" w:hAnsi="Arial" w:cs="Arial"/>
          <w:b/>
          <w:i w:val="0"/>
          <w:color w:val="1B3A5C"/>
          <w:sz w:val="24"/>
        </w:rPr>
        <w:t>Adopt Option C — Sandbox 3.15 as primary, Bridge for SMS+WA, code-first authoring rule.</w:t>
      </w:r>
    </w:p>
    <w:p>
      <w:pPr>
        <w:spacing w:after="80" w:line="300" w:lineRule="auto"/>
        <w:jc w:val="left"/>
      </w:pPr>
      <w:r>
        <w:rPr>
          <w:rFonts w:ascii="Arial" w:hAnsi="Arial" w:cs="Arial"/>
          <w:b w:val="0"/>
          <w:i w:val="0"/>
          <w:color w:val="2C3E50"/>
          <w:sz w:val="20"/>
        </w:rPr>
        <w:t>Specifically: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Operator UI: Novu CE 3.15 dashboard at http://103.138.96.180:8080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API: Novu CE 3.15 at http://103.138.96.180:8081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Bridge: next-bridge container with REAL MSG91 + ICPaaS creds (cloned from live novu-bridge)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Workflow authoring: code-first only, Studio UI authoring forbidden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TPE Admin: docker-stopped (preserved); rollback skill exists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Live 2.3.0 stack: kept running for redundancy, de-emphasised</w:t>
      </w:r>
    </w:p>
    <w:p>
      <w:pPr>
        <w:spacing w:after="80" w:line="300" w:lineRule="auto"/>
        <w:jc w:val="left"/>
      </w:pPr>
    </w:p>
    <w:p>
      <w:pPr>
        <w:spacing w:after="0"/>
      </w:pPr>
    </w:p>
    <w:p>
      <w:pPr>
        <w:spacing w:before="160" w:after="40"/>
      </w:pPr>
      <w:r>
        <w:rPr>
          <w:rFonts w:ascii="Arial" w:hAnsi="Arial" w:cs="Arial"/>
          <w:b/>
          <w:i w:val="0"/>
          <w:color w:val="2C3E50"/>
          <w:sz w:val="28"/>
        </w:rPr>
        <w:t>6.  Trade-offs accepted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trHeight w:val="20" w:hRule="exact"/>
        </w:trPr>
        <w:tc>
          <w:tcPr>
            <w:tcW w:type="dxa" w:w="9360"/>
            <w:shd w:val="clear" w:color="auto" w:fill="2C3E50"/>
          </w:tcPr>
          <w:p>
            <w:pPr>
              <w:spacing w:before="0" w:after="0"/>
            </w:pPr>
            <w:r/>
          </w:p>
        </w:tc>
      </w:tr>
    </w:tbl>
    <w:p>
      <w:pPr>
        <w:spacing w:after="80"/>
      </w:pPr>
    </w:p>
    <w:p>
      <w:pPr>
        <w:spacing w:after="120" w:line="300" w:lineRule="auto"/>
        <w:jc w:val="left"/>
      </w:pPr>
      <w:r>
        <w:rPr>
          <w:rFonts w:ascii="Arial" w:hAnsi="Arial" w:cs="Arial"/>
          <w:b w:val="0"/>
          <w:i w:val="0"/>
          <w:color w:val="2C3E50"/>
          <w:sz w:val="20"/>
        </w:rPr>
        <w:t>By choosing Option C we explicitly accept the following trade-offs: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4031"/>
        <w:gridCol w:w="5328"/>
      </w:tblGrid>
      <w:tr>
        <w:tc>
          <w:tcPr>
            <w:tcW w:type="dxa" w:w="4031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Trade-off accepted</w:t>
            </w:r>
          </w:p>
        </w:tc>
        <w:tc>
          <w:tcPr>
            <w:tcW w:type="dxa" w:w="5328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Why we accept it</w:t>
            </w:r>
          </w:p>
        </w:tc>
      </w:tr>
      <w:tr>
        <w:tc>
          <w:tcPr>
            <w:tcW w:type="dxa" w:w="4031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Operations team loses TPE Admin's custom features (channel allowlist UI, campaign builder)</w:t>
            </w:r>
          </w:p>
        </w:tc>
        <w:tc>
          <w:tcPr>
            <w:tcW w:type="dxa" w:w="532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Custom features are not Charter-required; standard Novu UI provides 80%+ of operator needs; rollback path exists if 20% becomes blocking</w:t>
            </w:r>
          </w:p>
        </w:tc>
      </w:tr>
      <w:tr>
        <w:tc>
          <w:tcPr>
            <w:tcW w:type="dxa" w:w="4031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Operators cannot author ad-hoc workflows from the Dashboard (Studio UI banned)</w:t>
            </w:r>
          </w:p>
        </w:tc>
        <w:tc>
          <w:tcPr>
            <w:tcW w:type="dxa" w:w="532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Charter §E1 mandates PR-reviewed code-first authoring; operator self-service authoring would bypass compliance middleware lint, DLT enforcement, and audit-row format requirements</w:t>
            </w:r>
          </w:p>
        </w:tc>
      </w:tr>
      <w:tr>
        <w:tc>
          <w:tcPr>
            <w:tcW w:type="dxa" w:w="4031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Channel allowlist becomes Mongo-direct (no UI)</w:t>
            </w:r>
          </w:p>
        </w:tc>
        <w:tc>
          <w:tcPr>
            <w:tcW w:type="dxa" w:w="532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Allowlist is engineering-managed config; operators rarely change it; UI can be rebuilt in a future Novu CE plugin if needed</w:t>
            </w:r>
          </w:p>
        </w:tc>
      </w:tr>
      <w:tr>
        <w:tc>
          <w:tcPr>
            <w:tcW w:type="dxa" w:w="4031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Two parallel WhatsApp paths exist (Bridge → ICPaaS, native whatsapp-business → Meta direct)</w:t>
            </w:r>
          </w:p>
        </w:tc>
        <w:tc>
          <w:tcPr>
            <w:tcW w:type="dxa" w:w="532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User configured native whatsapp-business in Integration Store separately; doesn't conflict with Bridge path; future cleanup task</w:t>
            </w:r>
          </w:p>
        </w:tc>
      </w:tr>
      <w:tr>
        <w:tc>
          <w:tcPr>
            <w:tcW w:type="dxa" w:w="4031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Single-VPS deployment (Track B) continues for sandbox primary</w:t>
            </w:r>
          </w:p>
        </w:tc>
        <w:tc>
          <w:tcPr>
            <w:tcW w:type="dxa" w:w="5328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Pre-production stage; Track A migration planned for Phase 4 (Oct 2026) anyway</w:t>
            </w:r>
          </w:p>
        </w:tc>
      </w:tr>
    </w:tbl>
    <w:p>
      <w:pPr>
        <w:spacing w:after="0"/>
      </w:pPr>
    </w:p>
    <w:p>
      <w:pPr>
        <w:spacing w:before="160" w:after="40"/>
      </w:pPr>
      <w:r>
        <w:rPr>
          <w:rFonts w:ascii="Arial" w:hAnsi="Arial" w:cs="Arial"/>
          <w:b/>
          <w:i w:val="0"/>
          <w:color w:val="2C3E50"/>
          <w:sz w:val="28"/>
        </w:rPr>
        <w:t>7.  Implementation summary (executed 2026-05-01)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trHeight w:val="20" w:hRule="exact"/>
        </w:trPr>
        <w:tc>
          <w:tcPr>
            <w:tcW w:type="dxa" w:w="9360"/>
            <w:shd w:val="clear" w:color="auto" w:fill="2C3E50"/>
          </w:tcPr>
          <w:p>
            <w:pPr>
              <w:spacing w:before="0" w:after="0"/>
            </w:pPr>
            <w:r/>
          </w:p>
        </w:tc>
      </w:tr>
    </w:tbl>
    <w:p>
      <w:pPr>
        <w:spacing w:after="80"/>
      </w:pPr>
    </w:p>
    <w:p>
      <w:pPr>
        <w:spacing w:after="80" w:line="300" w:lineRule="auto"/>
        <w:jc w:val="left"/>
      </w:pPr>
      <w:r>
        <w:rPr>
          <w:rFonts w:ascii="Arial" w:hAnsi="Arial" w:cs="Arial"/>
          <w:b w:val="0"/>
          <w:i w:val="0"/>
          <w:color w:val="2C3E50"/>
          <w:sz w:val="20"/>
        </w:rPr>
        <w:t>The pivot was executed in approximately 1 hour with the following sequence: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576"/>
        <w:gridCol w:w="4752"/>
        <w:gridCol w:w="4031"/>
      </w:tblGrid>
      <w:tr>
        <w:tc>
          <w:tcPr>
            <w:tcW w:type="dxa" w:w="576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#</w:t>
            </w:r>
          </w:p>
        </w:tc>
        <w:tc>
          <w:tcPr>
            <w:tcW w:type="dxa" w:w="4752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Action</w:t>
            </w:r>
          </w:p>
        </w:tc>
        <w:tc>
          <w:tcPr>
            <w:tcW w:type="dxa" w:w="4031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7"/>
              </w:rPr>
              <w:t>Outcome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1</w:t>
            </w:r>
          </w:p>
        </w:tc>
        <w:tc>
          <w:tcPr>
            <w:tcW w:type="dxa" w:w="475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Stop tpe-admin + tpe-admin-worker containers (preserved, not removed)</w:t>
            </w:r>
          </w:p>
        </w:tc>
        <w:tc>
          <w:tcPr>
            <w:tcW w:type="dxa" w:w="4031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Both containers stopped; data + code intact for rollback</w:t>
            </w:r>
          </w:p>
        </w:tc>
      </w:tr>
      <w:tr>
        <w:tc>
          <w:tcPr>
            <w:tcW w:type="dxa" w:w="576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2</w:t>
            </w:r>
          </w:p>
        </w:tc>
        <w:tc>
          <w:tcPr>
            <w:tcW w:type="dxa" w:w="475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Drop placeholder-cred next-bridge container</w:t>
            </w:r>
          </w:p>
        </w:tc>
        <w:tc>
          <w:tcPr>
            <w:tcW w:type="dxa" w:w="4031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Removed compat-test artifact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3</w:t>
            </w:r>
          </w:p>
        </w:tc>
        <w:tc>
          <w:tcPr>
            <w:tcW w:type="dxa" w:w="475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Clone live novu-bridge env vars (MSG91, ICPaaS, NODE_ENV)</w:t>
            </w:r>
          </w:p>
        </w:tc>
        <w:tc>
          <w:tcPr>
            <w:tcW w:type="dxa" w:w="4031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Captured 27 env-var values</w:t>
            </w:r>
          </w:p>
        </w:tc>
      </w:tr>
      <w:tr>
        <w:tc>
          <w:tcPr>
            <w:tcW w:type="dxa" w:w="576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4</w:t>
            </w:r>
          </w:p>
        </w:tc>
        <w:tc>
          <w:tcPr>
            <w:tcW w:type="dxa" w:w="475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Recreate next-bridge with real creds + sandbox-specific NOVU_SECRET_KEY + MONGO_URL</w:t>
            </w:r>
          </w:p>
        </w:tc>
        <w:tc>
          <w:tcPr>
            <w:tcW w:type="dxa" w:w="4031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Container ready in 219ms; discovery returns 19 workflows / 79 steps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5</w:t>
            </w:r>
          </w:p>
        </w:tc>
        <w:tc>
          <w:tcPr>
            <w:tcW w:type="dxa" w:w="475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Run npx novu sync against sandbox API</w:t>
            </w:r>
          </w:p>
        </w:tc>
        <w:tc>
          <w:tcPr>
            <w:tcW w:type="dxa" w:w="4031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21 workflows registered (17 Charter + welcome-onboarding + tpe-multichannel-test + 2 stale Studio Welcome dupes)</w:t>
            </w:r>
          </w:p>
        </w:tc>
      </w:tr>
      <w:tr>
        <w:tc>
          <w:tcPr>
            <w:tcW w:type="dxa" w:w="576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6</w:t>
            </w:r>
          </w:p>
        </w:tc>
        <w:tc>
          <w:tcPr>
            <w:tcW w:type="dxa" w:w="475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Smoke-trigger ph-02-registration with crypto.randomUUID()</w:t>
            </w:r>
          </w:p>
        </w:tc>
        <w:tc>
          <w:tcPr>
            <w:tcW w:type="dxa" w:w="4031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Bridge dispatch: MSG91 v5/Flow HTTP 200 (status=sent); ICPaaS HTTP 200 (wamid issued); Email skipped (SES deferred); In-app sent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7</w:t>
            </w:r>
          </w:p>
        </w:tc>
        <w:tc>
          <w:tcPr>
            <w:tcW w:type="dxa" w:w="475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Document the pivot in memory/sandbox_315_primary.md</w:t>
            </w:r>
          </w:p>
        </w:tc>
        <w:tc>
          <w:tcPr>
            <w:tcW w:type="dxa" w:w="4031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9 KB memory file with rollback path documented</w:t>
            </w:r>
          </w:p>
        </w:tc>
      </w:tr>
      <w:tr>
        <w:tc>
          <w:tcPr>
            <w:tcW w:type="dxa" w:w="576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8</w:t>
            </w:r>
          </w:p>
        </w:tc>
        <w:tc>
          <w:tcPr>
            <w:tcW w:type="dxa" w:w="475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Establish code-first rule in memory/architecture_code_first_only.md</w:t>
            </w:r>
          </w:p>
        </w:tc>
        <w:tc>
          <w:tcPr>
            <w:tcW w:type="dxa" w:w="4031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Architectural rule with drift-check commands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9</w:t>
            </w:r>
          </w:p>
        </w:tc>
        <w:tc>
          <w:tcPr>
            <w:tcW w:type="dxa" w:w="4752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Create skill novu-ce-pivot-rollback for reversal</w:t>
            </w:r>
          </w:p>
        </w:tc>
        <w:tc>
          <w:tcPr>
            <w:tcW w:type="dxa" w:w="4031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7"/>
              </w:rPr>
              <w:t>Operational runbook for restoring TPE Admin if needed</w:t>
            </w:r>
          </w:p>
        </w:tc>
      </w:tr>
    </w:tbl>
    <w:p>
      <w:pPr>
        <w:spacing w:after="0"/>
      </w:pPr>
    </w:p>
    <w:p>
      <w:pPr>
        <w:spacing w:before="160" w:after="40"/>
      </w:pPr>
      <w:r>
        <w:rPr>
          <w:rFonts w:ascii="Arial" w:hAnsi="Arial" w:cs="Arial"/>
          <w:b/>
          <w:i w:val="0"/>
          <w:color w:val="2C3E50"/>
          <w:sz w:val="28"/>
        </w:rPr>
        <w:t>8.  Verification — PH-02 smoke test results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trHeight w:val="20" w:hRule="exact"/>
        </w:trPr>
        <w:tc>
          <w:tcPr>
            <w:tcW w:type="dxa" w:w="9360"/>
            <w:shd w:val="clear" w:color="auto" w:fill="2C3E50"/>
          </w:tcPr>
          <w:p>
            <w:pPr>
              <w:spacing w:before="0" w:after="0"/>
            </w:pPr>
            <w:r/>
          </w:p>
        </w:tc>
      </w:tr>
    </w:tbl>
    <w:p>
      <w:pPr>
        <w:spacing w:after="80"/>
      </w:pPr>
    </w:p>
    <w:p>
      <w:pPr>
        <w:spacing w:after="80" w:line="300" w:lineRule="auto"/>
        <w:jc w:val="left"/>
      </w:pPr>
      <w:r>
        <w:rPr>
          <w:rFonts w:ascii="Arial" w:hAnsi="Arial" w:cs="Arial"/>
          <w:b w:val="0"/>
          <w:i w:val="0"/>
          <w:color w:val="2C3E50"/>
          <w:sz w:val="20"/>
        </w:rPr>
        <w:t>End-to-end verification at 2026-05-01: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5F7FA"/>
            <w:tcBorders>
              <w:top w:val="single" w:sz="4" w:color="DDE2E8"/>
              <w:left w:val="single" w:sz="4" w:color="DDE2E8"/>
              <w:bottom w:val="single" w:sz="4" w:color="DDE2E8"/>
              <w:right w:val="single" w:sz="4" w:color="DDE2E8"/>
            </w:tcBorders>
          </w:tcPr>
          <w:p>
            <w:pPr>
              <w:spacing w:after="0"/>
            </w:pPr>
            <w:r/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>trigger payload  : { otp: "482910", ph_id: "PH-SANDBOX-001",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 xml:space="preserve">                     testMode: true, triggerInstanceId: &lt;crypto.randomUUID()&gt; }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>subscriber       : test-icpaas-sandbox-1 (phone +919465185365)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>Novu trigger     : status 201, transactionId txn_69f458d8shgs5i2ntcjh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>Bridge dispatch: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 xml:space="preserve">  SMS      : MSG91 v5/flow → HTTP 200, status=sent,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 xml:space="preserve">             template 6409f80fd6fc05100b559b13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 xml:space="preserve">  WhatsApp : ICPaaS dynamictemp2 → HTTP 200, wamid issued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 xml:space="preserve">             (wamid.HBgMOTE5NDY1MTg1MzY1FQIAERgSM0Q2ODU0MjExQkI5RkU3REUyAA==)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 xml:space="preserve">  Email    : skipped (SesNotConfigured: SES creds not provisioned — expected)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 xml:space="preserve">  In-app   : sent via Novu native (messages collection has the entry)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>Audit emission verified — all four channels produced audit rows with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2C3E50"/>
                <w:sz w:val="17"/>
              </w:rPr>
              <w:t>transactionId, triggerInstanceId, channel, status, ts.</w:t>
            </w:r>
          </w:p>
        </w:tc>
      </w:tr>
    </w:tbl>
    <w:p>
      <w:pPr>
        <w:spacing w:after="40" w:line="300" w:lineRule="auto"/>
        <w:jc w:val="left"/>
      </w:pPr>
    </w:p>
    <w:p>
      <w:pPr>
        <w:spacing w:before="80" w:after="40"/>
      </w:pPr>
      <w:r>
        <w:rPr>
          <w:rFonts w:ascii="Arial" w:hAnsi="Arial" w:cs="Arial"/>
          <w:b/>
          <w:i w:val="0"/>
          <w:color w:val="1B3A5C"/>
          <w:sz w:val="24"/>
        </w:rPr>
        <w:t>8.1  Acceptance criteria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4320"/>
        <w:gridCol w:w="5040"/>
      </w:tblGrid>
      <w:tr>
        <w:tc>
          <w:tcPr>
            <w:tcW w:type="dxa" w:w="432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 w:cs="Arial"/>
                <w:b/>
                <w:i w:val="0"/>
                <w:color w:val="2C3E50"/>
                <w:sz w:val="18"/>
              </w:rPr>
            </w:r>
            <w:r>
              <w:t>17 Charter workflows registered on sandbox 3.15</w:t>
            </w:r>
          </w:p>
        </w:tc>
        <w:tc>
          <w:tcPr>
            <w:tcW w:type="dxa" w:w="5040"/>
            <w:shd w:val="clear" w:color="auto" w:fill="E8F5E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/>
            <w:r>
              <w:rPr>
                <w:rFonts w:ascii="Arial" w:hAnsi="Arial" w:cs="Arial"/>
                <w:b/>
                <w:i w:val="0"/>
                <w:color w:val="27AE60"/>
                <w:sz w:val="18"/>
              </w:rPr>
              <w:t>●  Confirmed via Mongo notificationtemplates count</w:t>
            </w:r>
          </w:p>
        </w:tc>
      </w:tr>
      <w:tr>
        <w:tc>
          <w:tcPr>
            <w:tcW w:type="dxa" w:w="432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 w:cs="Arial"/>
                <w:b/>
                <w:i w:val="0"/>
                <w:color w:val="2C3E50"/>
                <w:sz w:val="18"/>
              </w:rPr>
            </w:r>
            <w:r>
              <w:t>MSG91 SMS dispatches successfully</w:t>
            </w:r>
          </w:p>
        </w:tc>
        <w:tc>
          <w:tcPr>
            <w:tcW w:type="dxa" w:w="5040"/>
            <w:shd w:val="clear" w:color="auto" w:fill="E8F5E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/>
            <w:r>
              <w:rPr>
                <w:rFonts w:ascii="Arial" w:hAnsi="Arial" w:cs="Arial"/>
                <w:b/>
                <w:i w:val="0"/>
                <w:color w:val="27AE60"/>
                <w:sz w:val="18"/>
              </w:rPr>
              <w:t>●  HTTP 200 from MSG91 v5/Flow API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 w:cs="Arial"/>
                <w:b/>
                <w:i w:val="0"/>
                <w:color w:val="2C3E50"/>
                <w:sz w:val="18"/>
              </w:rPr>
            </w:r>
            <w:r>
              <w:t>ICPaaS WhatsApp dispatches successfully</w:t>
            </w:r>
          </w:p>
        </w:tc>
        <w:tc>
          <w:tcPr>
            <w:tcW w:type="dxa" w:w="5040"/>
            <w:shd w:val="clear" w:color="auto" w:fill="E8F5E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/>
            <w:r>
              <w:rPr>
                <w:rFonts w:ascii="Arial" w:hAnsi="Arial" w:cs="Arial"/>
                <w:b/>
                <w:i w:val="0"/>
                <w:color w:val="27AE60"/>
                <w:sz w:val="18"/>
              </w:rPr>
              <w:t>●  HTTP 200 + wamid issued</w:t>
            </w:r>
          </w:p>
        </w:tc>
      </w:tr>
      <w:tr>
        <w:tc>
          <w:tcPr>
            <w:tcW w:type="dxa" w:w="432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 w:cs="Arial"/>
                <w:b/>
                <w:i w:val="0"/>
                <w:color w:val="2C3E50"/>
                <w:sz w:val="18"/>
              </w:rPr>
            </w:r>
            <w:r>
              <w:t>Email skips with descriptive reason</w:t>
            </w:r>
          </w:p>
        </w:tc>
        <w:tc>
          <w:tcPr>
            <w:tcW w:type="dxa" w:w="5040"/>
            <w:shd w:val="clear" w:color="auto" w:fill="E8F5E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/>
            <w:r>
              <w:rPr>
                <w:rFonts w:ascii="Arial" w:hAnsi="Arial" w:cs="Arial"/>
                <w:b/>
                <w:i w:val="0"/>
                <w:color w:val="27AE60"/>
                <w:sz w:val="18"/>
              </w:rPr>
              <w:t>●  SesNotConfigured surfaced in audit row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 w:cs="Arial"/>
                <w:b/>
                <w:i w:val="0"/>
                <w:color w:val="2C3E50"/>
                <w:sz w:val="18"/>
              </w:rPr>
            </w:r>
            <w:r>
              <w:t>In-app notification creates a messages doc</w:t>
            </w:r>
          </w:p>
        </w:tc>
        <w:tc>
          <w:tcPr>
            <w:tcW w:type="dxa" w:w="5040"/>
            <w:shd w:val="clear" w:color="auto" w:fill="E8F5E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/>
            <w:r>
              <w:rPr>
                <w:rFonts w:ascii="Arial" w:hAnsi="Arial" w:cs="Arial"/>
                <w:b/>
                <w:i w:val="0"/>
                <w:color w:val="27AE60"/>
                <w:sz w:val="18"/>
              </w:rPr>
              <w:t>●  Confirmed via messages collection lookup</w:t>
            </w:r>
          </w:p>
        </w:tc>
      </w:tr>
      <w:tr>
        <w:tc>
          <w:tcPr>
            <w:tcW w:type="dxa" w:w="432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 w:cs="Arial"/>
                <w:b/>
                <w:i w:val="0"/>
                <w:color w:val="2C3E50"/>
                <w:sz w:val="18"/>
              </w:rPr>
            </w:r>
            <w:r>
              <w:t>TPE Admin containers safely stopped</w:t>
            </w:r>
          </w:p>
        </w:tc>
        <w:tc>
          <w:tcPr>
            <w:tcW w:type="dxa" w:w="5040"/>
            <w:shd w:val="clear" w:color="auto" w:fill="E8F5E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/>
            <w:r>
              <w:rPr>
                <w:rFonts w:ascii="Arial" w:hAnsi="Arial" w:cs="Arial"/>
                <w:b/>
                <w:i w:val="0"/>
                <w:color w:val="27AE60"/>
                <w:sz w:val="18"/>
              </w:rPr>
              <w:t>●  Both containers state = Exited (0)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Arial" w:hAnsi="Arial" w:cs="Arial"/>
                <w:b/>
                <w:i w:val="0"/>
                <w:color w:val="2C3E50"/>
                <w:sz w:val="18"/>
              </w:rPr>
            </w:r>
            <w:r>
              <w:t>Rollback path verified</w:t>
            </w:r>
          </w:p>
        </w:tc>
        <w:tc>
          <w:tcPr>
            <w:tcW w:type="dxa" w:w="5040"/>
            <w:shd w:val="clear" w:color="auto" w:fill="E8F5E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/>
            <w:r>
              <w:rPr>
                <w:rFonts w:ascii="Arial" w:hAnsi="Arial" w:cs="Arial"/>
                <w:b/>
                <w:i w:val="0"/>
                <w:color w:val="27AE60"/>
                <w:sz w:val="18"/>
              </w:rPr>
              <w:t>●  novu-ce-pivot-rollback skill written + tested commands</w:t>
            </w:r>
          </w:p>
        </w:tc>
      </w:tr>
    </w:tbl>
    <w:p>
      <w:pPr>
        <w:spacing w:after="0"/>
      </w:pPr>
    </w:p>
    <w:p>
      <w:pPr>
        <w:spacing w:before="160" w:after="40"/>
      </w:pPr>
      <w:r>
        <w:rPr>
          <w:rFonts w:ascii="Arial" w:hAnsi="Arial" w:cs="Arial"/>
          <w:b/>
          <w:i w:val="0"/>
          <w:color w:val="2C3E50"/>
          <w:sz w:val="28"/>
        </w:rPr>
        <w:t>9.  Reversal plan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trHeight w:val="20" w:hRule="exact"/>
        </w:trPr>
        <w:tc>
          <w:tcPr>
            <w:tcW w:type="dxa" w:w="9360"/>
            <w:shd w:val="clear" w:color="auto" w:fill="2C3E50"/>
          </w:tcPr>
          <w:p>
            <w:pPr>
              <w:spacing w:before="0" w:after="0"/>
            </w:pPr>
            <w:r/>
          </w:p>
        </w:tc>
      </w:tr>
    </w:tbl>
    <w:p>
      <w:pPr>
        <w:spacing w:after="80"/>
      </w:pPr>
    </w:p>
    <w:p>
      <w:pPr>
        <w:spacing w:after="80" w:line="300" w:lineRule="auto"/>
        <w:jc w:val="left"/>
      </w:pPr>
      <w:r>
        <w:rPr>
          <w:rFonts w:ascii="Arial" w:hAnsi="Arial" w:cs="Arial"/>
          <w:b w:val="0"/>
          <w:i w:val="0"/>
          <w:color w:val="2C3E50"/>
          <w:sz w:val="20"/>
        </w:rPr>
        <w:t>If this decision proves wrong, reversal is straightforward and documented: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Invoke the novu-ce-pivot-rollback skill (.claude/skills/novu-ce-pivot-rollback/SKILL.md)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Restart tpe-admin + tpe-admin-worker containers (data + code preserved)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Re-seed tpe_channel_gating Mongo doc if it was wiped (recipe in skill)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Decide what to do with sandbox 3.15 stack (keep / stop / decommission)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Notify operators of the URL change back to /admin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Supersede this ADR with a follow-up ADR documenting the reversal</w:t>
      </w:r>
    </w:p>
    <w:p>
      <w:pPr>
        <w:spacing w:after="80" w:line="300" w:lineRule="auto"/>
        <w:jc w:val="left"/>
      </w:pP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0F4F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/>
            <w:r>
              <w:rPr>
                <w:rFonts w:ascii="Arial" w:hAnsi="Arial" w:cs="Arial"/>
                <w:b/>
                <w:i w:val="0"/>
                <w:color w:val="1B3A5C"/>
                <w:sz w:val="20"/>
              </w:rPr>
              <w:t>Reversibility cost</w:t>
            </w:r>
          </w:p>
          <w:p>
            <w:r>
              <w:rPr>
                <w:rFonts w:ascii="Arial" w:hAnsi="Arial" w:cs="Arial"/>
                <w:b w:val="0"/>
                <w:i w:val="0"/>
                <w:color w:val="2C3E50"/>
                <w:sz w:val="19"/>
              </w:rPr>
              <w:t>Estimated reversal effort: ~1 hour. Same as the original pivot since the work is essentially mirrored. The pivot was deliberately designed to be reversible.</w:t>
            </w:r>
          </w:p>
        </w:tc>
      </w:tr>
    </w:tbl>
    <w:p>
      <w:pPr>
        <w:spacing w:after="40" w:line="300" w:lineRule="auto"/>
        <w:jc w:val="left"/>
      </w:pPr>
    </w:p>
    <w:p>
      <w:pPr>
        <w:spacing w:after="0"/>
      </w:pPr>
    </w:p>
    <w:p>
      <w:pPr>
        <w:spacing w:before="160" w:after="40"/>
      </w:pPr>
      <w:r>
        <w:rPr>
          <w:rFonts w:ascii="Arial" w:hAnsi="Arial" w:cs="Arial"/>
          <w:b/>
          <w:i w:val="0"/>
          <w:color w:val="2C3E50"/>
          <w:sz w:val="28"/>
        </w:rPr>
        <w:t>10.  Future review triggers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trHeight w:val="20" w:hRule="exact"/>
        </w:trPr>
        <w:tc>
          <w:tcPr>
            <w:tcW w:type="dxa" w:w="9360"/>
            <w:shd w:val="clear" w:color="auto" w:fill="2C3E50"/>
          </w:tcPr>
          <w:p>
            <w:pPr>
              <w:spacing w:before="0" w:after="0"/>
            </w:pPr>
            <w:r/>
          </w:p>
        </w:tc>
      </w:tr>
    </w:tbl>
    <w:p>
      <w:pPr>
        <w:spacing w:after="80"/>
      </w:pPr>
    </w:p>
    <w:p>
      <w:pPr>
        <w:spacing w:after="80" w:line="300" w:lineRule="auto"/>
        <w:jc w:val="left"/>
      </w:pPr>
      <w:r>
        <w:rPr>
          <w:rFonts w:ascii="Arial" w:hAnsi="Arial" w:cs="Arial"/>
          <w:b w:val="0"/>
          <w:i w:val="0"/>
          <w:color w:val="2C3E50"/>
          <w:sz w:val="20"/>
        </w:rPr>
        <w:t>Re-evaluate this decision (open ADR-002) if any of the following occur: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Operators report 4+ workflows that they need to author ad-hoc without engineering involvement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Novu CE 3.15 → 3.16+ upgrade introduces breaking changes in the Bridge protocol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MSG91 contract changes (vendor switch, deprecation) requires SMS provider migration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Charter §E1 requirement for code-first authoring is relaxed by Compliance Lead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An operations-driven need for in-dashboard campaign builder emerges (i.e. Phase 1A-1C resurrection)</w:t>
      </w:r>
    </w:p>
    <w:p>
      <w:pPr>
        <w:pStyle w:val="ListBullet"/>
        <w:spacing w:after="40"/>
        <w:ind w:left="283"/>
      </w:pPr>
      <w:r>
        <w:rPr>
          <w:rFonts w:ascii="Arial" w:hAnsi="Arial" w:cs="Arial"/>
          <w:b w:val="0"/>
          <w:i w:val="0"/>
          <w:color w:val="2C3E50"/>
          <w:sz w:val="20"/>
        </w:rPr>
        <w:t>Track A (production ECS Fargate) migration begins — re-evaluate which surface to expose</w:t>
      </w:r>
    </w:p>
    <w:p>
      <w:pPr>
        <w:spacing w:after="80" w:line="300" w:lineRule="auto"/>
        <w:jc w:val="left"/>
      </w:pPr>
    </w:p>
    <w:p>
      <w:pPr>
        <w:spacing w:after="80" w:line="300" w:lineRule="auto"/>
        <w:jc w:val="left"/>
      </w:pPr>
      <w:r>
        <w:rPr>
          <w:rFonts w:ascii="Arial" w:hAnsi="Arial" w:cs="Arial"/>
          <w:b w:val="0"/>
          <w:i/>
          <w:color w:val="7F8C8D"/>
          <w:sz w:val="20"/>
        </w:rPr>
        <w:t>Default review cadence: every 6 months OR on any of the above triggers.</w:t>
      </w:r>
    </w:p>
    <w:p>
      <w:pPr>
        <w:spacing w:after="0"/>
      </w:pPr>
    </w:p>
    <w:p>
      <w:pPr>
        <w:spacing w:before="160" w:after="40"/>
      </w:pPr>
      <w:r>
        <w:rPr>
          <w:rFonts w:ascii="Arial" w:hAnsi="Arial" w:cs="Arial"/>
          <w:b/>
          <w:i w:val="0"/>
          <w:color w:val="2C3E50"/>
          <w:sz w:val="28"/>
        </w:rPr>
        <w:t>11.  References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trHeight w:val="20" w:hRule="exact"/>
        </w:trPr>
        <w:tc>
          <w:tcPr>
            <w:tcW w:type="dxa" w:w="9360"/>
            <w:shd w:val="clear" w:color="auto" w:fill="2C3E50"/>
          </w:tcPr>
          <w:p>
            <w:pPr>
              <w:spacing w:before="0" w:after="0"/>
            </w:pPr>
            <w:r/>
          </w:p>
        </w:tc>
      </w:tr>
    </w:tbl>
    <w:p>
      <w:pPr>
        <w:spacing w:after="8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3600"/>
        <w:gridCol w:w="5760"/>
      </w:tblGrid>
      <w:tr>
        <w:tc>
          <w:tcPr>
            <w:tcW w:type="dxa" w:w="3600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8"/>
              </w:rPr>
              <w:t>Resource</w:t>
            </w:r>
          </w:p>
        </w:tc>
        <w:tc>
          <w:tcPr>
            <w:tcW w:type="dxa" w:w="5760"/>
            <w:shd w:val="clear" w:color="auto" w:fill="FFFFFF"/>
            <w:tcBorders>
              <w:top w:val="single" w:sz="8" w:color="2C3E50"/>
              <w:left w:val="single" w:sz="8" w:color="2C3E50"/>
              <w:bottom w:val="single" w:sz="8" w:color="2C3E50"/>
              <w:right w:val="single" w:sz="8" w:color="2C3E5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Arial" w:hAnsi="Arial" w:cs="Arial"/>
                <w:b/>
                <w:i w:val="0"/>
                <w:color w:val="2C3E50"/>
                <w:sz w:val="18"/>
              </w:rPr>
              <w:t>Path / URL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Project memory: pivot context</w:t>
            </w:r>
          </w:p>
        </w:tc>
        <w:tc>
          <w:tcPr>
            <w:tcW w:type="dxa" w:w="576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memory/sandbox_315_primary.md</w:t>
            </w:r>
          </w:p>
        </w:tc>
      </w:tr>
      <w:tr>
        <w:tc>
          <w:tcPr>
            <w:tcW w:type="dxa" w:w="360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Project memory: code-first rule</w:t>
            </w:r>
          </w:p>
        </w:tc>
        <w:tc>
          <w:tcPr>
            <w:tcW w:type="dxa" w:w="576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memory/architecture_code_first_only.md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Project memory: 3.x payload gotchas</w:t>
            </w:r>
          </w:p>
        </w:tc>
        <w:tc>
          <w:tcPr>
            <w:tcW w:type="dxa" w:w="576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memory/novu_3x_payload_gotchas.md</w:t>
            </w:r>
          </w:p>
        </w:tc>
      </w:tr>
      <w:tr>
        <w:tc>
          <w:tcPr>
            <w:tcW w:type="dxa" w:w="360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Project memory: workflow wipe history</w:t>
            </w:r>
          </w:p>
        </w:tc>
        <w:tc>
          <w:tcPr>
            <w:tcW w:type="dxa" w:w="576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memory/workflow_wipe_2026-05-01.md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Skill: rollback this pivot</w:t>
            </w:r>
          </w:p>
        </w:tc>
        <w:tc>
          <w:tcPr>
            <w:tcW w:type="dxa" w:w="576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.claude/skills/novu-ce-pivot-rollback/SKILL.md</w:t>
            </w:r>
          </w:p>
        </w:tc>
      </w:tr>
      <w:tr>
        <w:tc>
          <w:tcPr>
            <w:tcW w:type="dxa" w:w="360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Skill: recreate Bridge</w:t>
            </w:r>
          </w:p>
        </w:tc>
        <w:tc>
          <w:tcPr>
            <w:tcW w:type="dxa" w:w="576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.claude/skills/novu-ce-sandbox-bridge-recreate/SKILL.md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Operator Manual</w:t>
            </w:r>
          </w:p>
        </w:tc>
        <w:tc>
          <w:tcPr>
            <w:tcW w:type="dxa" w:w="576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docs/TPE_Communication_System_Operator_Manual_v1.0.docx</w:t>
            </w:r>
          </w:p>
        </w:tc>
      </w:tr>
      <w:tr>
        <w:tc>
          <w:tcPr>
            <w:tcW w:type="dxa" w:w="360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Project Status</w:t>
            </w:r>
          </w:p>
        </w:tc>
        <w:tc>
          <w:tcPr>
            <w:tcW w:type="dxa" w:w="576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docs/TPE_Communication_System_Project_Status_v2.0.docx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Charter §E1 mandate</w:t>
            </w:r>
          </w:p>
        </w:tc>
        <w:tc>
          <w:tcPr>
            <w:tcW w:type="dxa" w:w="5760"/>
            <w:shd w:val="clear" w:color="auto" w:fill="F8F9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docs/TPE_Communication_System_Charter_v1.0.docx (§E1)</w:t>
            </w:r>
          </w:p>
        </w:tc>
      </w:tr>
      <w:tr>
        <w:tc>
          <w:tcPr>
            <w:tcW w:type="dxa" w:w="360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GitHub repo</w:t>
            </w:r>
          </w:p>
        </w:tc>
        <w:tc>
          <w:tcPr>
            <w:tcW w:type="dxa" w:w="576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pPr>
              <w:spacing w:after="0"/>
            </w:pPr>
            <w:r/>
            <w:r>
              <w:rPr>
                <w:rFonts w:ascii="Arial" w:hAnsi="Arial" w:cs="Arial"/>
                <w:b w:val="0"/>
                <w:i w:val="0"/>
                <w:color w:val="2C3E50"/>
                <w:sz w:val="18"/>
              </w:rPr>
              <w:t>https://github.com/aksatyamtpe/tpe-novu</w:t>
            </w:r>
          </w:p>
        </w:tc>
      </w:tr>
    </w:tbl>
    <w:p>
      <w:pPr>
        <w:spacing w:after="240" w:line="300" w:lineRule="auto"/>
        <w:jc w:val="left"/>
      </w:pP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1B3A5C"/>
            <w:tcBorders>
              <w:top w:val="single" w:sz="8" w:color="0D1B2A"/>
              <w:left w:val="single" w:sz="8" w:color="0D1B2A"/>
              <w:bottom w:val="single" w:sz="8" w:color="0D1B2A"/>
              <w:right w:val="single" w:sz="8" w:color="0D1B2A"/>
            </w:tcBorders>
          </w:tcPr>
          <w:p>
            <w:pPr>
              <w:spacing w:before="160"/>
              <w:jc w:val="left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8"/>
              </w:rPr>
              <w:t>Prepared by</w:t>
            </w:r>
          </w:p>
          <w:p>
            <w:pPr>
              <w:jc w:val="left"/>
            </w:pPr>
            <w:r>
              <w:rPr>
                <w:rFonts w:ascii="Arial" w:hAnsi="Arial" w:cs="Arial"/>
                <w:b/>
                <w:i w:val="0"/>
                <w:color w:val="FFFFFF"/>
                <w:sz w:val="22"/>
              </w:rPr>
              <w:t>Ashish Kumar Satyam</w:t>
            </w:r>
          </w:p>
          <w:p>
            <w:pPr>
              <w:jc w:val="left"/>
            </w:pPr>
            <w:r>
              <w:rPr>
                <w:rFonts w:ascii="Arial" w:hAnsi="Arial" w:cs="Arial"/>
                <w:b w:val="0"/>
                <w:i w:val="0"/>
                <w:color w:val="FFFFFF"/>
                <w:sz w:val="18"/>
              </w:rPr>
              <w:t>The Policy Exchange (Fairvalue Insuretech Pvt. Ltd.)</w:t>
            </w:r>
          </w:p>
          <w:p>
            <w:pPr>
              <w:spacing w:after="160"/>
              <w:jc w:val="left"/>
            </w:pPr>
            <w:r>
              <w:rPr>
                <w:rFonts w:ascii="Arial" w:hAnsi="Arial" w:cs="Arial"/>
                <w:b w:val="0"/>
                <w:i/>
                <w:color w:val="FFFFFF"/>
                <w:sz w:val="16"/>
              </w:rPr>
              <w:t>Internal / Confidential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cs="Arial"/>
        <w:b w:val="0"/>
        <w:i w:val="0"/>
        <w:color w:val="7F8C8D"/>
        <w:sz w:val="16"/>
      </w:rPr>
      <w:t xml:space="preserve">TPE-COMMS-ADR-2026-001  |  Internal &amp; Confidential  |  Page </w:t>
    </w:r>
    <w:r>
      <w:rPr>
        <w:rFonts w:ascii="Arial" w:hAnsi="Arial" w:cs="Arial"/>
        <w:b/>
        <w:i w:val="0"/>
        <w:color w:val="7F8C8D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cs="Arial"/>
        <w:b w:val="0"/>
        <w:i/>
        <w:color w:val="7F8C8D"/>
        <w:sz w:val="16"/>
      </w:rPr>
      <w:t>ADR-001 Sandbox Pivot  | 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C3E5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