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0" w:hRule="exact"/>
        </w:trPr>
        <w:tc>
          <w:tcPr>
            <w:tcW w:type="dxa" w:w="9360"/>
            <w:shd w:val="clear" w:color="auto" w:fill="1B3A5C"/>
          </w:tcPr>
          <w:p>
            <w:pPr>
              <w:spacing w:before="0" w:after="0"/>
            </w:pPr>
            <w:r/>
          </w:p>
        </w:tc>
      </w:tr>
    </w:tbl>
    <w:p>
      <w:pPr>
        <w:spacing w:after="360" w:line="300" w:lineRule="auto"/>
        <w:jc w:val="left"/>
      </w:pPr>
    </w:p>
    <w:p>
      <w:pPr>
        <w:spacing w:after="80" w:line="300" w:lineRule="auto"/>
        <w:jc w:val="center"/>
      </w:pPr>
      <w:r>
        <w:rPr>
          <w:rFonts w:ascii="Arial" w:hAnsi="Arial" w:cs="Arial"/>
          <w:b/>
          <w:i w:val="0"/>
          <w:color w:val="7F8C8D"/>
          <w:sz w:val="20"/>
        </w:rPr>
        <w:t>THE POLICY EXCHANGE (FAIRVALUE INSURETECH PVT. LTD.)</w:t>
      </w:r>
    </w:p>
    <w:p>
      <w:pPr>
        <w:spacing w:after="160" w:line="300" w:lineRule="auto"/>
        <w:jc w:val="center"/>
      </w:pPr>
      <w:r>
        <w:rPr>
          <w:rFonts w:ascii="Arial" w:hAnsi="Arial" w:cs="Arial"/>
          <w:b/>
          <w:i w:val="0"/>
          <w:color w:val="1B3A5C"/>
          <w:sz w:val="44"/>
        </w:rPr>
        <w:t>OPERATOR MANUAL</w:t>
      </w:r>
    </w:p>
    <w:p>
      <w:pPr>
        <w:spacing w:after="120" w:line="300" w:lineRule="auto"/>
        <w:jc w:val="center"/>
      </w:pPr>
      <w:r>
        <w:rPr>
          <w:rFonts w:ascii="Arial" w:hAnsi="Arial" w:cs="Arial"/>
          <w:b/>
          <w:i w:val="0"/>
          <w:color w:val="2C3E50"/>
          <w:sz w:val="52"/>
        </w:rPr>
        <w:t>TPE Communication System</w:t>
      </w:r>
    </w:p>
    <w:p>
      <w:pPr>
        <w:spacing w:after="480" w:line="300" w:lineRule="auto"/>
        <w:jc w:val="center"/>
      </w:pPr>
      <w:r>
        <w:rPr>
          <w:rFonts w:ascii="Arial" w:hAnsi="Arial" w:cs="Arial"/>
          <w:b w:val="0"/>
          <w:i/>
          <w:color w:val="7F8C8D"/>
          <w:sz w:val="22"/>
        </w:rPr>
        <w:t>Sandbox 3.15 Dashboard — daily reference for the operations team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AFBFC"/>
            <w:tcBorders>
              <w:top w:val="single" w:sz="18" w:color="1B3A5C"/>
              <w:left w:val="single" w:sz="18" w:color="1B3A5C"/>
              <w:bottom w:val="single" w:sz="18" w:color="1B3A5C"/>
              <w:right w:val="single" w:sz="18" w:color="1B3A5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1B3A5C"/>
                <w:sz w:val="44"/>
              </w:rPr>
              <w:t>17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Workflows live</w:t>
            </w:r>
          </w:p>
        </w:tc>
        <w:tc>
          <w:tcPr>
            <w:tcW w:type="dxa" w:w="2340"/>
            <w:shd w:val="clear" w:color="auto" w:fill="FAFBFC"/>
            <w:tcBorders>
              <w:top w:val="single" w:sz="18" w:color="2E75B6"/>
              <w:left w:val="single" w:sz="18" w:color="2E75B6"/>
              <w:bottom w:val="single" w:sz="18" w:color="2E75B6"/>
              <w:right w:val="single" w:sz="18" w:color="2E75B6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2E75B6"/>
                <w:sz w:val="44"/>
              </w:rPr>
              <w:t>4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Channels supported</w:t>
            </w:r>
          </w:p>
        </w:tc>
        <w:tc>
          <w:tcPr>
            <w:tcW w:type="dxa" w:w="2340"/>
            <w:shd w:val="clear" w:color="auto" w:fill="FAFBFC"/>
            <w:tcBorders>
              <w:top w:val="single" w:sz="18" w:color="27AE60"/>
              <w:left w:val="single" w:sz="18" w:color="27AE60"/>
              <w:bottom w:val="single" w:sz="18" w:color="27AE60"/>
              <w:right w:val="single" w:sz="18" w:color="27AE60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27AE60"/>
                <w:sz w:val="44"/>
              </w:rPr>
              <w:t>2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Providers active</w:t>
            </w:r>
          </w:p>
        </w:tc>
        <w:tc>
          <w:tcPr>
            <w:tcW w:type="dxa" w:w="2340"/>
            <w:shd w:val="clear" w:color="auto" w:fill="FAFBFC"/>
            <w:tcBorders>
              <w:top w:val="single" w:sz="18" w:color="E67E22"/>
              <w:left w:val="single" w:sz="18" w:color="E67E22"/>
              <w:bottom w:val="single" w:sz="18" w:color="E67E22"/>
              <w:right w:val="single" w:sz="18" w:color="E67E22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E67E22"/>
                <w:sz w:val="44"/>
              </w:rPr>
              <w:t>32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Workflows pending</w:t>
            </w:r>
          </w:p>
        </w:tc>
      </w:tr>
    </w:tbl>
    <w:p>
      <w:pPr>
        <w:spacing w:after="360" w:line="300" w:lineRule="auto"/>
        <w:jc w:val="left"/>
      </w:pPr>
    </w:p>
    <w:p>
      <w:pPr>
        <w:spacing w:after="80" w:line="300" w:lineRule="auto"/>
        <w:jc w:val="center"/>
      </w:pPr>
      <w:r>
        <w:rPr>
          <w:rFonts w:ascii="Arial" w:hAnsi="Arial" w:cs="Arial"/>
          <w:b/>
          <w:i w:val="0"/>
          <w:color w:val="1B3A5C"/>
          <w:sz w:val="20"/>
        </w:rPr>
        <w:t>Document metadata</w:t>
      </w:r>
    </w:p>
    <w:tbl>
      <w:tblPr>
        <w:tblW w:type="dxa" w:w="7488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4464"/>
      </w:tblGrid>
      <w:tr>
        <w:tc>
          <w:tcPr>
            <w:tcW w:type="dxa" w:w="302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Document ID</w:t>
            </w:r>
          </w:p>
        </w:tc>
        <w:tc>
          <w:tcPr>
            <w:tcW w:type="dxa" w:w="446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TPE-COMMS-OPS-MANUAL-2026-001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Version</w:t>
            </w:r>
          </w:p>
        </w:tc>
        <w:tc>
          <w:tcPr>
            <w:tcW w:type="dxa" w:w="44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1.0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Date issued</w:t>
            </w:r>
          </w:p>
        </w:tc>
        <w:tc>
          <w:tcPr>
            <w:tcW w:type="dxa" w:w="446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01 May 2026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Prepared by</w:t>
            </w:r>
          </w:p>
        </w:tc>
        <w:tc>
          <w:tcPr>
            <w:tcW w:type="dxa" w:w="44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Ashish Kumar Satyam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Prepared for</w:t>
            </w:r>
          </w:p>
        </w:tc>
        <w:tc>
          <w:tcPr>
            <w:tcW w:type="dxa" w:w="446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The Policy Exchange (Fairvalue Insuretech Pvt. Ltd.)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Audience</w:t>
            </w:r>
          </w:p>
        </w:tc>
        <w:tc>
          <w:tcPr>
            <w:tcW w:type="dxa" w:w="44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 Operations Team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Classification</w:t>
            </w:r>
          </w:p>
        </w:tc>
        <w:tc>
          <w:tcPr>
            <w:tcW w:type="dxa" w:w="446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Internal / Confidential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Document family</w:t>
            </w:r>
          </w:p>
        </w:tc>
        <w:tc>
          <w:tcPr>
            <w:tcW w:type="dxa" w:w="44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Companion to Charter v1.0 + End User Guide v1.0</w:t>
            </w:r>
          </w:p>
        </w:tc>
      </w:tr>
    </w:tbl>
    <w:p>
      <w:pPr>
        <w:spacing w:after="240" w:line="300" w:lineRule="auto"/>
        <w:jc w:val="left"/>
      </w:pPr>
    </w:p>
    <w:p>
      <w:pPr>
        <w:spacing w:after="80" w:line="300" w:lineRule="auto"/>
        <w:jc w:val="center"/>
      </w:pPr>
      <w:r>
        <w:rPr>
          <w:rFonts w:ascii="Arial" w:hAnsi="Arial" w:cs="Arial"/>
          <w:b/>
          <w:i w:val="0"/>
          <w:color w:val="E74C3C"/>
          <w:sz w:val="18"/>
        </w:rPr>
        <w:t>INTERNAL / CONFIDENTIAL — DO NOT REDISTRIBUTE</w:t>
      </w:r>
    </w:p>
    <w:p>
      <w:r>
        <w:br w:type="page"/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1.  Document Information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80" w:line="300" w:lineRule="auto"/>
        <w:jc w:val="left"/>
      </w:pPr>
      <w:r>
        <w:rPr>
          <w:rFonts w:ascii="Arial" w:hAnsi="Arial" w:cs="Arial"/>
          <w:b/>
          <w:i w:val="0"/>
          <w:color w:val="1B3A5C"/>
          <w:sz w:val="22"/>
        </w:rPr>
        <w:t>Purpose</w:t>
      </w: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This manual is the day-to-day operating reference for the TPE Operations team using the Novu Community Edition 3.15.0 Dashboard at http://103.138.96.180:8080. It covers every operator-facing function — managing subscribers, triggering workflows, monitoring activity, and troubleshooting failed dispatches.</w:t>
      </w:r>
    </w:p>
    <w:p>
      <w:pPr>
        <w:spacing w:after="80" w:line="300" w:lineRule="auto"/>
        <w:jc w:val="left"/>
      </w:pPr>
      <w:r>
        <w:rPr>
          <w:rFonts w:ascii="Arial" w:hAnsi="Arial" w:cs="Arial"/>
          <w:b/>
          <w:i w:val="0"/>
          <w:color w:val="1B3A5C"/>
          <w:sz w:val="22"/>
        </w:rPr>
        <w:t>Scope</w:t>
      </w: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Operator workflows only. Engineering operations (workflow authoring, provider configuration, infrastructure) are out of scope and live in the engineering runbooks (deployment/Novu-Combined-Deployment-Guide.docx) and the Operational Skills catalogue at .claude/skills/INDEX.md.</w:t>
      </w:r>
    </w:p>
    <w:p>
      <w:pPr>
        <w:spacing w:after="80" w:line="300" w:lineRule="auto"/>
        <w:jc w:val="left"/>
      </w:pPr>
      <w:r>
        <w:rPr>
          <w:rFonts w:ascii="Arial" w:hAnsi="Arial" w:cs="Arial"/>
          <w:b/>
          <w:i w:val="0"/>
          <w:color w:val="1B3A5C"/>
          <w:sz w:val="22"/>
        </w:rPr>
        <w:t>Companion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08"/>
        <w:gridCol w:w="4752"/>
      </w:tblGrid>
      <w:tr>
        <w:tc>
          <w:tcPr>
            <w:tcW w:type="dxa" w:w="460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Document</w:t>
            </w:r>
          </w:p>
        </w:tc>
        <w:tc>
          <w:tcPr>
            <w:tcW w:type="dxa" w:w="475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Purpose</w:t>
            </w:r>
          </w:p>
        </w:tc>
      </w:tr>
      <w:tr>
        <w:tc>
          <w:tcPr>
            <w:tcW w:type="dxa" w:w="460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TPE_Communication_System_Charter_v1.0.docx</w:t>
            </w:r>
          </w:p>
        </w:tc>
        <w:tc>
          <w:tcPr>
            <w:tcW w:type="dxa" w:w="475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Project charter — strategic scope, budget, governance</w:t>
            </w:r>
          </w:p>
        </w:tc>
      </w:tr>
      <w:tr>
        <w:tc>
          <w:tcPr>
            <w:tcW w:type="dxa" w:w="46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TPE_Communication_System_Charter_Addendum_v1.1.docx</w:t>
            </w:r>
          </w:p>
        </w:tc>
        <w:tc>
          <w:tcPr>
            <w:tcW w:type="dxa" w:w="47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Tier 1+2 gap-fill: SLAs, security framework, glossary</w:t>
            </w:r>
          </w:p>
        </w:tc>
      </w:tr>
      <w:tr>
        <w:tc>
          <w:tcPr>
            <w:tcW w:type="dxa" w:w="460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TPE_Communication_System_Trigger_Conditions_v2.0.docx</w:t>
            </w:r>
          </w:p>
        </w:tc>
        <w:tc>
          <w:tcPr>
            <w:tcW w:type="dxa" w:w="475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Per-trigger conditions table (49 lifecycle triggers)</w:t>
            </w:r>
          </w:p>
        </w:tc>
      </w:tr>
      <w:tr>
        <w:tc>
          <w:tcPr>
            <w:tcW w:type="dxa" w:w="46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TPE_Communication_System_End_User_Guide_v1.0.docx</w:t>
            </w:r>
          </w:p>
        </w:tc>
        <w:tc>
          <w:tcPr>
            <w:tcW w:type="dxa" w:w="47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End-user-facing guide (recipients of notifications)</w:t>
            </w:r>
          </w:p>
        </w:tc>
      </w:tr>
      <w:tr>
        <w:tc>
          <w:tcPr>
            <w:tcW w:type="dxa" w:w="460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TPE_Communication_System_Operator_Manual_v1.0.docx</w:t>
            </w:r>
          </w:p>
        </w:tc>
        <w:tc>
          <w:tcPr>
            <w:tcW w:type="dxa" w:w="475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THIS DOCUMENT — operations team daily reference</w:t>
            </w:r>
          </w:p>
        </w:tc>
      </w:tr>
      <w:tr>
        <w:tc>
          <w:tcPr>
            <w:tcW w:type="dxa" w:w="46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deployment/Novu-Combined-Deployment-Guide.docx</w:t>
            </w:r>
          </w:p>
        </w:tc>
        <w:tc>
          <w:tcPr>
            <w:tcW w:type="dxa" w:w="47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Engineering deployment + ops runbook</w:t>
            </w:r>
          </w:p>
        </w:tc>
      </w:tr>
    </w:tbl>
    <w:p>
      <w:pPr>
        <w:spacing w:after="160" w:line="300" w:lineRule="auto"/>
        <w:jc w:val="left"/>
      </w:pPr>
    </w:p>
    <w:p>
      <w:pPr>
        <w:spacing w:after="80" w:line="300" w:lineRule="auto"/>
        <w:jc w:val="left"/>
      </w:pPr>
      <w:r>
        <w:rPr>
          <w:rFonts w:ascii="Arial" w:hAnsi="Arial" w:cs="Arial"/>
          <w:b/>
          <w:i w:val="0"/>
          <w:color w:val="1B3A5C"/>
          <w:sz w:val="22"/>
        </w:rPr>
        <w:t>Conventions used in this manual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● Green badge = component active and healthy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● Orange badge = degraded, manual intervention possible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● Red badge = down or blocked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Code in Consolas font is meant to be copy-pasted verbatim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Section §X.Y references mean Section X.Y of THIS document unless prefixed otherwise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2.  Audience Profile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This manual assumes the reader is a member of the Operations team with the following profile: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5040"/>
      </w:tblGrid>
      <w:tr>
        <w:tc>
          <w:tcPr>
            <w:tcW w:type="dxa" w:w="216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Skill area</w:t>
            </w:r>
          </w:p>
        </w:tc>
        <w:tc>
          <w:tcPr>
            <w:tcW w:type="dxa" w:w="216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Expected level</w:t>
            </w:r>
          </w:p>
        </w:tc>
        <w:tc>
          <w:tcPr>
            <w:tcW w:type="dxa" w:w="504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Why it matters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Web browser usage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Intermediate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Dashboard is browser-based; you'll click through forms and tables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JSON syntax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Basic — read + edit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Workflow payloads are JSON; you'll edit them in the trigger modal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 business domain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Intermediate to advanced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You'll know what 'PH-02 OTP', 'INV-08 Premium Due', 'EMI cadence' mean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Command line / SSH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Not required for daily ops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Bridge audit log access is helpful but Engineering can pull it for you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Coding (TypeScript/Python)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Not required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Workflow authoring is engineering's job, not operations'</w:t>
            </w:r>
          </w:p>
        </w:tc>
      </w:tr>
    </w:tbl>
    <w:p>
      <w:pPr>
        <w:spacing w:after="16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8E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E67E22"/>
                <w:sz w:val="20"/>
              </w:rPr>
              <w:t>If you came from the legacy TPE Admin custom UI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Some features that lived at /admin (channel allowlist, campaign builder, scheduled triggers) are sunsetted as of 2026-05-01. Their workflows are documented in §11 Common Operator Scenarios with the equivalent action in the Novu Dashboard. The legacy UI containers are stopped but preserved — Engineering can revive them via the novu-ce-pivot-rollback skill if needed.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3.  Architecture in One Page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Understanding where you fit in the data flow makes everything else easier. Here's the path of a single notification from your trigger click to the customer's phone: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YOU (operations team)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▼  click "Trigger Workflow" or send curl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┌──────────────────────────────────────────┐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Novu Dashboard 3.15 — port 8080         │  ← lists workflows from Mongo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http://103.138.96.180:8080        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└────────────┬─────────────────────────────┘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│ POST /v1/events/trigger { name, to, payload }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▼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┌──────────────────────────────────────────┐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Novu API + Worker (next-api / next-worker)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• Validates the workflow exists   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• Queues a Notification job       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• Worker pulls + calls Bridge     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└────────────┬─────────────────────────────┘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│ HTTP /api/novu (Bridge protocol)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▼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┌──────────────────────────────────────────┐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Bridge (next-bridge) — OUR CODE   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bridge/workflows/&lt;trigger&gt;.ts      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 ├─ payloadSchema check (zod)     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 ├─ step.inApp(...)         → Inbox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 ├─ step.custom('sms-otp', dispatch)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 │     → MSG91 v5/Flow API        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 └─ step.custom('wa-otp', dispatch)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│         → ICPaaS WhatsApp Cloud API      │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└────────────┬─────────────────────────────┘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│ HTTPS to providers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▼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📨 MSG91     →  SMS to phone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💬 ICPaaS    →  WhatsApp to phone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✉ AWS SES   →  Email (deferred)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🔔 Novu     →  In-app entry on dashboard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8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3.1  What runs where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728"/>
        <w:gridCol w:w="1872"/>
        <w:gridCol w:w="2592"/>
        <w:gridCol w:w="3168"/>
      </w:tblGrid>
      <w:tr>
        <w:tc>
          <w:tcPr>
            <w:tcW w:type="dxa" w:w="172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Component</w:t>
            </w:r>
          </w:p>
        </w:tc>
        <w:tc>
          <w:tcPr>
            <w:tcW w:type="dxa" w:w="187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Container</w:t>
            </w:r>
          </w:p>
        </w:tc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URL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What it does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Dashboard UI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next-dashboard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http://103.138.96.180:8080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What you click in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API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next-api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:8081 (loopback :3000)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Receives /v1/events/trigger calls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Worker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next-worker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internal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Picks up jobs from queue, calls Bridge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Bridge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next-bridge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:4001 (loopback)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Runs OUR code-first workflows + dispatches to providers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Mongo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next-mongodb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internal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Stores workflows, subscribers, jobs, activity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Redis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next-redis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internal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Job queue</w:t>
            </w:r>
          </w:p>
        </w:tc>
      </w:tr>
    </w:tbl>
    <w:p>
      <w:pPr>
        <w:spacing w:after="8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E75B6"/>
                <w:sz w:val="20"/>
              </w:rPr>
              <w:t>Why our SMS doesn't go through Novu's catalog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MSG91 isn't in Novu CE 3.15's built-in SMS catalog (38 providers, none MSG91). Our 17 Charter workflows use a custom Bridge dispatch layer that calls MSG91's v5 Flow API directly with our DLT-registered template IDs. This is required for Indian SMS compliance — TRAI/DLT regulations need template_id + variable substitution, which generic SMS providers can't supply. WhatsApp goes the same way (ICPaaS, not Novu's native WhatsApp Business).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4.  Quick Start — Your First 5 Minutes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If this is your first time, do these five things in order: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4.1  Open the dashboard + sign in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Open http://103.138.96.180:8080 in your browser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Email: sandbox@tpe-test.local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Password: SandboxStage2026!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On first login, accept any prompts to enter the Development environment</w:t>
      </w:r>
    </w:p>
    <w:p>
      <w:pPr>
        <w:spacing w:after="12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4.2  Verify the 17 workflows are visible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'Workflows' in the left sidebar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You should see at least 19 entries: 17 Charter §4.3 workflows + welcome-onboarding + tpe-multichannel-test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Each shows a 'code-first' badge (read-only — they're managed in source)</w:t>
      </w:r>
    </w:p>
    <w:p>
      <w:pPr>
        <w:spacing w:after="8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8E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E67E22"/>
                <w:sz w:val="20"/>
              </w:rPr>
              <w:t>If you see fewer than 17 workflows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The Bridge sync may not have run. Contact Engineering — they'll run the novu-ce-bridge-sync skill against the sandbox API.</w:t>
            </w:r>
          </w:p>
        </w:tc>
      </w:tr>
    </w:tbl>
    <w:p>
      <w:pPr>
        <w:spacing w:after="4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4.3  Verify your test subscriber exists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'Subscribers' in the left sidebar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Look for a subscriber with ID 'test-icpaas-sandbox-1'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If missing, see §5.1 below to create one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4.4  Fire your first test trigger (PH-02 OTP)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Workflows tab → click 'ph-02-registration'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Top-right: click 'Trigger Workflow'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Subscriber ID: test-icpaas-sandbox-1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Payload (paste this JSON):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"otp": "482910",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"ph_id": "PH-TEST-001",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"testMode": true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}</w:t>
            </w:r>
          </w:p>
        </w:tc>
      </w:tr>
    </w:tbl>
    <w:p>
      <w:pPr>
        <w:spacing w:after="40" w:line="300" w:lineRule="auto"/>
        <w:jc w:val="left"/>
      </w:pP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'Run Workflow'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You'll get a transactionId like 'txn_69f...'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4.5  Verify dispatch happened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'Activity Feed' in the left sidebar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Find your transactionId — click it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Each step (in_app / sms / whatsapp / email) should show a status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SMS + WhatsApp should land on the phone number associated with the subscriber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5.  Subscribers Tab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Subscribers are the 'who' of every notification. A subscriber represents one customer (or test account) and holds their contact info — phone, email, locale, custom data. Every trigger references a subscriberId to know who to notify.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5.1  Add a new subscriber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Subscribers tab → click 'Add Subscriber' (top-right)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Fill the form: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728"/>
        <w:gridCol w:w="2592"/>
        <w:gridCol w:w="3168"/>
      </w:tblGrid>
      <w:tr>
        <w:tc>
          <w:tcPr>
            <w:tcW w:type="dxa" w:w="187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172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Example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Notes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Subscriber ID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Yes (unique)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test-icpaas-sandbox-1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Your app's user ID. Cannot be changed later.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First 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Recommended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Sandbox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Used in template substitution: {{firstName}}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Last Name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Tester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Yes if email channel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no-reply@thepolicyexchange.com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Where email goes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Phone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Yes if SMS or WhatsApp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+919465185365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E.164 format with country code; same field for SMS AND WA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Avatar 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https://...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Shown in In-app messages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Locale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Recommended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en  or  hi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Picks the template language at dispatch time</w:t>
            </w:r>
          </w:p>
        </w:tc>
      </w:tr>
    </w:tbl>
    <w:p>
      <w:pPr>
        <w:spacing w:after="80" w:line="300" w:lineRule="auto"/>
        <w:jc w:val="left"/>
      </w:pP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'Save'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Subscriber appears in the list immediately; can now be referenced in triggers</w:t>
      </w:r>
    </w:p>
    <w:p>
      <w:pPr>
        <w:spacing w:after="8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5.2  Edit a subscriber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any subscriber in the list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Profile drawer opens — click the pencil icon next to any field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Change phone / email / locale / custom data (data field is free-form JSON)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Save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5.3  Common subscriber data shape for TPE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Custom 'data' JSON field — recommended schema for TPE subscribers: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"ph_id": "PH-12345",                    // policyholder ID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"ph_state": "active",                   // or: lead | contacted | qualified | etc.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"policy_number": "20356001",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"investor_id": "INV-9876",              // if subscriber is an investor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"investor_state": "soft_committed",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"preferred_channels": ["sms", "whatsapp"],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"dlt_consent": true,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"language": "en"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}</w:t>
            </w:r>
          </w:p>
        </w:tc>
      </w:tr>
    </w:tbl>
    <w:p>
      <w:pPr>
        <w:spacing w:after="4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EBEE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E74C3C"/>
                <w:sz w:val="20"/>
              </w:rPr>
              <w:t>Compliance reminder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Subscriber phone numbers are PII subject to DPDPA. Never enter test data with real customer phone numbers from production systems. Use synthetic test numbers or your own.</w:t>
            </w:r>
          </w:p>
        </w:tc>
      </w:tr>
    </w:tbl>
    <w:p>
      <w:pPr>
        <w:spacing w:after="4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5.4  Delete a subscriber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Subscriber profile → 'Delete subscriber' button (bottom)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Confirm twice (this is irreversible)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Activity history is preserved per Charter §4.8 audit retention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6.  Workflows Tab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Workflows are the notification programs themselves — they define what channels fire, in what order, with what content. Under our code-first architecture, you cannot edit workflow steps from the dashboard. You CAN view them, trigger them, and inspect their schemas.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6.1  List view — what you see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Column</w:t>
            </w:r>
          </w:p>
        </w:tc>
        <w:tc>
          <w:tcPr>
            <w:tcW w:type="dxa" w:w="67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What it shows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Name / Trigger ID</w:t>
            </w:r>
          </w:p>
        </w:tc>
        <w:tc>
          <w:tcPr>
            <w:tcW w:type="dxa" w:w="67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The workflow identifier (e.g. ph-02-registration)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Channels</w:t>
            </w:r>
          </w:p>
        </w:tc>
        <w:tc>
          <w:tcPr>
            <w:tcW w:type="dxa" w:w="67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Which channels this workflow uses (SMS / WhatsApp / Email / In-app)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Updated</w:t>
            </w:r>
          </w:p>
        </w:tc>
        <w:tc>
          <w:tcPr>
            <w:tcW w:type="dxa" w:w="67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When the workflow was last synced from source code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Status</w:t>
            </w:r>
          </w:p>
        </w:tc>
        <w:tc>
          <w:tcPr>
            <w:tcW w:type="dxa" w:w="67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Active / Inactive — whether triggers fire it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Read-only badge</w:t>
            </w:r>
          </w:p>
        </w:tc>
        <w:tc>
          <w:tcPr>
            <w:tcW w:type="dxa" w:w="67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Confirms it's code-first (cannot be edited in UI)</w:t>
            </w:r>
          </w:p>
        </w:tc>
      </w:tr>
    </w:tbl>
    <w:p>
      <w:pPr>
        <w:spacing w:after="8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6.2  View workflow details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any workflow row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Detail page shows the step graph (visual flowchart)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Each step shows its type (inApp / SMS / WhatsApp / Email / Delay)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a step to see its content templates and conditions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Payload schema panel shows required + optional fields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6.3  Trigger a workflow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Two-step process: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1. Click 'Trigger Workflow' button (top-right of detail page)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2. Fill the trigger form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Trigger form fields: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5616"/>
      </w:tblGrid>
      <w:tr>
        <w:tc>
          <w:tcPr>
            <w:tcW w:type="dxa" w:w="187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Field</w:t>
            </w:r>
          </w:p>
        </w:tc>
        <w:tc>
          <w:tcPr>
            <w:tcW w:type="dxa" w:w="187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Type</w:t>
            </w:r>
          </w:p>
        </w:tc>
        <w:tc>
          <w:tcPr>
            <w:tcW w:type="dxa" w:w="5616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Notes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Subscriber ID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Required string</w:t>
            </w:r>
          </w:p>
        </w:tc>
        <w:tc>
          <w:tcPr>
            <w:tcW w:type="dxa" w:w="561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Must match an existing subscriber's ID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Payload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Required JSON object</w:t>
            </w:r>
          </w:p>
        </w:tc>
        <w:tc>
          <w:tcPr>
            <w:tcW w:type="dxa" w:w="561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Workflow-specific; see §10 for per-workflow schema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Override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Optional JSON object</w:t>
            </w:r>
          </w:p>
        </w:tc>
        <w:tc>
          <w:tcPr>
            <w:tcW w:type="dxa" w:w="561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Per-channel content override; rarely needed</w:t>
            </w:r>
          </w:p>
        </w:tc>
      </w:tr>
    </w:tbl>
    <w:p>
      <w:pPr>
        <w:spacing w:after="80" w:line="300" w:lineRule="auto"/>
        <w:jc w:val="left"/>
      </w:pP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'Run Workflow' — you get a transactionId immediately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Workflow execution happens asynchronously (typically completes in 5-15 seconds)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6.4  Why some workflows show 'invalid payload' on trigger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If your trigger fails with an 'invalid payload' error, it's because Bridge's strict zod schema validation rejected what you sent. In Novu 3.15 (vs older 2.3.0), validation is strict — wrong field names, missing required fields, or malformed UUIDs all 400.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Common gotchas (from observed sandbox failures):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592"/>
        <w:gridCol w:w="3888"/>
      </w:tblGrid>
      <w:tr>
        <w:tc>
          <w:tcPr>
            <w:tcW w:type="dxa" w:w="288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Mistake</w:t>
            </w:r>
          </w:p>
        </w:tc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Error you see</w:t>
            </w:r>
          </w:p>
        </w:tc>
        <w:tc>
          <w:tcPr>
            <w:tcW w:type="dxa" w:w="388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Fix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Sent 'otpCode' instead of 'otp'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/otp Required</w:t>
            </w:r>
          </w:p>
        </w:tc>
        <w:tc>
          <w:tcPr>
            <w:tcW w:type="dxa" w:w="388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Match exact field name from §10 reference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Padded fake UUID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Invalid uuid</w:t>
            </w:r>
          </w:p>
        </w:tc>
        <w:tc>
          <w:tcPr>
            <w:tcW w:type="dxa" w:w="388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Use a real RFC-4122 UUID (engineering can generate)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Missing required field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/&lt;field&gt; Required</w:t>
            </w:r>
          </w:p>
        </w:tc>
        <w:tc>
          <w:tcPr>
            <w:tcW w:type="dxa" w:w="388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Check §10 for what's required vs optional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Sent string for number field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Expected number, received string</w:t>
            </w:r>
          </w:p>
        </w:tc>
        <w:tc>
          <w:tcPr>
            <w:tcW w:type="dxa" w:w="388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Cast to number before sending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7.  Topics Tab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Topics let you trigger one workflow to many subscribers at once. Useful for broadcast scenarios — service announcements, regulatory notices, mass campaigns. Without topics, you'd loop through subscribers and call /v1/events/trigger N times; with topics, one call fans out automatically.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7.1  Create a topic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Topics tab → 'Create Topic' button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Topic Key: lowercase-with-hyphens (this is the routing identifier)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Topic Name: human-readable description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Save → topic created with zero subscribers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7.2  Add subscribers to a topic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into the topic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'Add Subscribers' → select from list (multi-select)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Save → membership updated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7.3  Trigger to a topic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From the dashboard: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Workflows → pick workflow → Trigger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In the 'To' field, switch from 'Subscriber' to 'Topic'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Select the topic key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Payload: same as for a single subscriber — same payload goes to ALL members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7.4  Suggested topics for TPE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311"/>
        <w:gridCol w:w="6048"/>
      </w:tblGrid>
      <w:tr>
        <w:tc>
          <w:tcPr>
            <w:tcW w:type="dxa" w:w="3311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Topic Key</w:t>
            </w:r>
          </w:p>
        </w:tc>
        <w:tc>
          <w:tcPr>
            <w:tcW w:type="dxa" w:w="604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Use case</w:t>
            </w:r>
          </w:p>
        </w:tc>
      </w:tr>
      <w:tr>
        <w:tc>
          <w:tcPr>
            <w:tcW w:type="dxa" w:w="331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all-policyholders-en</w:t>
            </w:r>
          </w:p>
        </w:tc>
        <w:tc>
          <w:tcPr>
            <w:tcW w:type="dxa" w:w="604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All English-speaking policyholders</w:t>
            </w:r>
          </w:p>
        </w:tc>
      </w:tr>
      <w:tr>
        <w:tc>
          <w:tcPr>
            <w:tcW w:type="dxa" w:w="331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all-policyholders-hi</w:t>
            </w:r>
          </w:p>
        </w:tc>
        <w:tc>
          <w:tcPr>
            <w:tcW w:type="dxa" w:w="604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All Hindi-speaking policyholders</w:t>
            </w:r>
          </w:p>
        </w:tc>
      </w:tr>
      <w:tr>
        <w:tc>
          <w:tcPr>
            <w:tcW w:type="dxa" w:w="331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all-investors</w:t>
            </w:r>
          </w:p>
        </w:tc>
        <w:tc>
          <w:tcPr>
            <w:tcW w:type="dxa" w:w="604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All investor accounts</w:t>
            </w:r>
          </w:p>
        </w:tc>
      </w:tr>
      <w:tr>
        <w:tc>
          <w:tcPr>
            <w:tcW w:type="dxa" w:w="331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maturing-this-month</w:t>
            </w:r>
          </w:p>
        </w:tc>
        <w:tc>
          <w:tcPr>
            <w:tcW w:type="dxa" w:w="604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Policies maturing in current month (rebuild monthly)</w:t>
            </w:r>
          </w:p>
        </w:tc>
      </w:tr>
      <w:tr>
        <w:tc>
          <w:tcPr>
            <w:tcW w:type="dxa" w:w="331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lapsed-policies</w:t>
            </w:r>
          </w:p>
        </w:tc>
        <w:tc>
          <w:tcPr>
            <w:tcW w:type="dxa" w:w="604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Lapsed accounts targeted for re-engagement (PH-17)</w:t>
            </w:r>
          </w:p>
        </w:tc>
      </w:tr>
      <w:tr>
        <w:tc>
          <w:tcPr>
            <w:tcW w:type="dxa" w:w="331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test-subscribers</w:t>
            </w:r>
          </w:p>
        </w:tc>
        <w:tc>
          <w:tcPr>
            <w:tcW w:type="dxa" w:w="604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Internal QA accounts — fire here before any real broadcast</w:t>
            </w:r>
          </w:p>
        </w:tc>
      </w:tr>
    </w:tbl>
    <w:p>
      <w:pPr>
        <w:spacing w:after="8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20"/>
              </w:rPr>
              <w:t>Topic vs Subscriber list — when to use which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Use a Topic when the recipient list is stable (e.g. 'all investors'). Build a subscriber-list trigger loop instead when the list is dynamic (e.g. 'investors with policy maturing in the next 30 days' — recompute the list each run from your business DB).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8.  Integrations Store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Integrations are the providers that actually send notifications — SMS gateways, email services, WhatsApp APIs, push services. The dashboard's Integrations Store lists what's configured and lets you add more.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8.1  Currently configured integrations (sandbox 3.15)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015"/>
        <w:gridCol w:w="1584"/>
        <w:gridCol w:w="1872"/>
        <w:gridCol w:w="3888"/>
      </w:tblGrid>
      <w:tr>
        <w:tc>
          <w:tcPr>
            <w:tcW w:type="dxa" w:w="2015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Provider</w:t>
            </w:r>
          </w:p>
        </w:tc>
        <w:tc>
          <w:tcPr>
            <w:tcW w:type="dxa" w:w="1584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Channel</w:t>
            </w:r>
          </w:p>
        </w:tc>
        <w:tc>
          <w:tcPr>
            <w:tcW w:type="dxa" w:w="187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Status</w:t>
            </w:r>
          </w:p>
        </w:tc>
        <w:tc>
          <w:tcPr>
            <w:tcW w:type="dxa" w:w="388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Notes</w:t>
            </w:r>
          </w:p>
        </w:tc>
      </w:tr>
      <w:tr>
        <w:tc>
          <w:tcPr>
            <w:tcW w:type="dxa" w:w="2015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Novu Inbox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in_app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● Active</w:t>
            </w:r>
          </w:p>
        </w:tc>
        <w:tc>
          <w:tcPr>
            <w:tcW w:type="dxa" w:w="388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Default — auto-configured on every Novu install</w:t>
            </w:r>
          </w:p>
        </w:tc>
      </w:tr>
      <w:tr>
        <w:tc>
          <w:tcPr>
            <w:tcW w:type="dxa" w:w="201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WhatsApp Business</w:t>
            </w:r>
          </w:p>
        </w:tc>
        <w:tc>
          <w:tcPr>
            <w:tcW w:type="dxa" w:w="15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chat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● Active</w:t>
            </w:r>
          </w:p>
        </w:tc>
        <w:tc>
          <w:tcPr>
            <w:tcW w:type="dxa" w:w="388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Meta Cloud API direct (parallel to ICPaaS Bridge path)</w:t>
            </w:r>
          </w:p>
        </w:tc>
      </w:tr>
      <w:tr>
        <w:tc>
          <w:tcPr>
            <w:tcW w:type="dxa" w:w="2015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MSG91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sms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(not in catalog)</w:t>
            </w:r>
          </w:p>
        </w:tc>
        <w:tc>
          <w:tcPr>
            <w:tcW w:type="dxa" w:w="388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Goes through Bridge dispatch — see §3 architecture</w:t>
            </w:r>
          </w:p>
        </w:tc>
      </w:tr>
      <w:tr>
        <w:tc>
          <w:tcPr>
            <w:tcW w:type="dxa" w:w="201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ICPaaS</w:t>
            </w:r>
          </w:p>
        </w:tc>
        <w:tc>
          <w:tcPr>
            <w:tcW w:type="dxa" w:w="15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whatsapp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(not in catalog)</w:t>
            </w:r>
          </w:p>
        </w:tc>
        <w:tc>
          <w:tcPr>
            <w:tcW w:type="dxa" w:w="388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Goes through Bridge dispatch — see §3 architecture</w:t>
            </w:r>
          </w:p>
        </w:tc>
      </w:tr>
      <w:tr>
        <w:tc>
          <w:tcPr>
            <w:tcW w:type="dxa" w:w="2015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AWS SES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email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(deferred)</w:t>
            </w:r>
          </w:p>
        </w:tc>
        <w:tc>
          <w:tcPr>
            <w:tcW w:type="dxa" w:w="388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Not yet configured — emails currently skip</w:t>
            </w:r>
          </w:p>
        </w:tc>
      </w:tr>
      <w:tr>
        <w:tc>
          <w:tcPr>
            <w:tcW w:type="dxa" w:w="201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FCM / APNs</w:t>
            </w:r>
          </w:p>
        </w:tc>
        <w:tc>
          <w:tcPr>
            <w:tcW w:type="dxa" w:w="15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push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(not yet)</w:t>
            </w:r>
          </w:p>
        </w:tc>
        <w:tc>
          <w:tcPr>
            <w:tcW w:type="dxa" w:w="388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Push channel not in scope for current phase</w:t>
            </w:r>
          </w:p>
        </w:tc>
      </w:tr>
    </w:tbl>
    <w:p>
      <w:pPr>
        <w:spacing w:after="8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8E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E67E22"/>
                <w:sz w:val="20"/>
              </w:rPr>
              <w:t>Don't try to add MSG91 from the dashboard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MSG91 is not in Novu's catalog (any version). Attempting to add it via 'Add a Provider' won't show MSG91 as an option. Our SMS dispatch path is engineered through Bridge specifically because of this. If MSG91 needs reconfiguration, that's an engineering task — see novu-ce-providers-config skill.</w:t>
            </w:r>
          </w:p>
        </w:tc>
      </w:tr>
    </w:tbl>
    <w:p>
      <w:pPr>
        <w:spacing w:after="4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8.2  Add a new catalog integration (e.g. SES email later)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Integrations Store → 'Add a Provider'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Filter by channel (SMS / Email / Push / etc.)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Pick from list — Novu CE 3.15 ships 38 SMS, 10+ email, 5 push providers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Fill credential fields per the provider's documentation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Save → toggle 'Active' to enable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Test from the integration's 'Test' button before relying on it for production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9.  Activity Feed — Post-Trigger Inspection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Activity Feed is your audit + debug surface. Every trigger ever fired produces an entry with full execution trace — which steps ran, what each one returned, what was sent.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9.1  Find a specific trigger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Activity Feed tab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Search bar: paste a transactionId (e.g. 'txn_69f458d8shgs5i2ntcjh')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Or filter: by workflow name, subscriber, status, date range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9.2  Read an activity entry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Each entry shows: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Field</w:t>
            </w:r>
          </w:p>
        </w:tc>
        <w:tc>
          <w:tcPr>
            <w:tcW w:type="dxa" w:w="72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Meaning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transactionId</w:t>
            </w:r>
          </w:p>
        </w:tc>
        <w:tc>
          <w:tcPr>
            <w:tcW w:type="dxa" w:w="72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Unique trigger ID (txn_&lt;base32&gt;)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Workflow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Which workflow was fired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Subscriber</w:t>
            </w:r>
          </w:p>
        </w:tc>
        <w:tc>
          <w:tcPr>
            <w:tcW w:type="dxa" w:w="72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Recipient subscriberId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Triggered at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Timestamp of /v1/events/trigger call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Status</w:t>
            </w:r>
          </w:p>
        </w:tc>
        <w:tc>
          <w:tcPr>
            <w:tcW w:type="dxa" w:w="72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queued / running / completed / errored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Steps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Per-step status (in_app: sent, sms: sent, etc.)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Payload</w:t>
            </w:r>
          </w:p>
        </w:tc>
        <w:tc>
          <w:tcPr>
            <w:tcW w:type="dxa" w:w="72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What was sent in the trigger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Error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If errored, the failure detail</w:t>
            </w:r>
          </w:p>
        </w:tc>
      </w:tr>
    </w:tbl>
    <w:p>
      <w:pPr>
        <w:spacing w:after="8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9.3  Channel-step status meanings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Pending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●  Step queued, not yet picked up by worker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Running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E75B6"/>
                <w:sz w:val="18"/>
              </w:rPr>
              <w:t>●  Step is executing (rare to see; usually transient)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Completed</w:t>
            </w:r>
          </w:p>
        </w:tc>
        <w:tc>
          <w:tcPr>
            <w:tcW w:type="dxa" w:w="5040"/>
            <w:shd w:val="clear" w:color="auto" w:fill="E8F5E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7AE60"/>
                <w:sz w:val="18"/>
              </w:rPr>
              <w:t>●  Step finished without error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Skipped</w:t>
            </w:r>
          </w:p>
        </w:tc>
        <w:tc>
          <w:tcPr>
            <w:tcW w:type="dxa" w:w="5040"/>
            <w:shd w:val="clear" w:color="auto" w:fill="FFF8E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E67E22"/>
                <w:sz w:val="18"/>
              </w:rPr>
              <w:t>●  Step intentionally bypassed (channel allowlist, missing data)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Failed</w:t>
            </w:r>
          </w:p>
        </w:tc>
        <w:tc>
          <w:tcPr>
            <w:tcW w:type="dxa" w:w="5040"/>
            <w:shd w:val="clear" w:color="auto" w:fill="FFEBEE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E74C3C"/>
                <w:sz w:val="18"/>
              </w:rPr>
              <w:t>●  Step errored — Bridge returned 4xx/5xx, provider rejected, etc.</w:t>
            </w:r>
          </w:p>
        </w:tc>
      </w:tr>
    </w:tbl>
    <w:p>
      <w:pPr>
        <w:spacing w:after="8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9.4  Trigger says 'Completed' but customer didn't receive — what now?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The activity feed only shows what NOVU saw. If a step says 'Completed' but the customer didn't receive the message, the failure happened downstream of Novu (at the provider). You need the Bridge audit log: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ssh -i ~/.ssh/id_novu_vps -p 7576 root@103.138.96.180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docker logs next-bridge --since 10m | grep &lt;transactionId&gt;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If you don't have SSH access, escalate to Engineering with the transactionId. They'll pull the audit log and tell you whether MSG91 / ICPaaS / SES rejected the send.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10.  17 Charter Workflows — Payload Reference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Each workflow has a payload schema enforced at Bridge. Below is the per-workflow reference of required and optional fields, plus a sample payload you can paste into the trigger form.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20"/>
              </w:rPr>
              <w:t>All workflows share the tpeBasePayload optional fields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Every workflow accepts (optional): insurerId, triggerInstanceId (UUID), forceLocale ('en'|'hi'). These don't need to be in the per-workflow tables below — they always work.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8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ph-02-registration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Policyholder OTP (registration)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otp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string, length 6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testMode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boolean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abandonedAfterMinutes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{"otp":"482910","ph_id":"PH-001","testMode":true}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ph-08-assignment-paperwork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E-Sign nudge for policy assignment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documentUrl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 (URL)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expiresAt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 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{"ph_id":"PH-001","documentUrl":"https://docs.tpe/x.pdf"}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ph-09-investor-matched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PH notified that an investor matched their policy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matchedAt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{"ph_id":"PH-001","investor_id":"INV-9876"}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ph-11-post-assignment-welcome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Onboarding after investor accepts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{"ph_id":"PH-001","investor_id":"INV-9876"}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ph-12-loan-application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Loan application acknowledgement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loan_application_id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{"loan_application_id":"LAP-001","ph_id":"PH-001"}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ph-13-loan-approval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Loan approval decision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loan_application_id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approvedAmount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{"loan_application_id":"LAP-001","approvedAmount":50000,"ph_id":"PH-001"}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ph-14-loan-disbursement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Loan funds disbursed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loan_application_id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disbursedAmount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disbursedAt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{"loan_application_id":"LAP-001","disbursedAmount":50000,"ph_id":"PH-001"}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ph-15-loan-emi-reminder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EMI reminder cadence (channel-matrix-by-stage)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loan_application_id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emiAmount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dueDate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stage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enum: due | 3d | 24h | 0h | post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{"loan_application_id":"LAP-001","emiAmount":5500,"dueDate":"2026-05-15","stage":"3d","ph_id":"PH-001"}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ph-16-loan-closure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Loan closed — no more EMIs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loan_application_id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closedAt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{"loan_application_id":"LAP-001","ph_id":"PH-001"}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ph-17-re-engagement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Reactivation for dormant accounts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dormancyDays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lastEvent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{"ph_id":"PH-001","dormancyDays":90,"lastEvent":"login"}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inv-02-registration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Investor OTP (registration)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otp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string, length 6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testMode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boolean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{"otp":"123456","investor_id":"INV-9876","testMode":true}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inv-05-investment-soft-commit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Investment soft-commit captured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policy_number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amount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{"investor_id":"INV-9876","policy_number":"20356001","amount":100000}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inv-07-investment-confirmed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Investment confirmed + receipt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policy_number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amount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receiptUrl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 (URL)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{"investor_id":"INV-9876","policy_number":"20356001","amount":100000}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inv-08-premium-due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FLAGSHIP — Premium-due cadence (highest volume)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policy_number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premiumAmount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dueDate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stage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enum: 30d | 7d | 24h | 0h | overdue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{"investor_id":"INV-9876","policy_number":"20356001","premiumAmount":12500,"dueDate":"2026-06-01","stage":"7d"}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inv-09-premium-payment-confirmation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Payment receipt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policy_number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amount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paidAt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{"investor_id":"INV-9876","policy_number":"20356001","amount":12500}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inv-11-maturity-reminder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Maturity-approaching cadence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policy_number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maturityDate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stage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enum: 90d | 30d | 7d | due | post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{"investor_id":"INV-9876","policy_number":"20356001","maturityDate":"2026-08-01","stage":"30d"}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/>
          <w:color w:val="2E75B6"/>
          <w:sz w:val="22"/>
        </w:rPr>
        <w:t xml:space="preserve">  inv-12-maturity-received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19"/>
        </w:rPr>
        <w:t>Maturity payout receipt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3600"/>
        <w:gridCol w:w="3168"/>
      </w:tblGrid>
      <w:tr>
        <w:tc>
          <w:tcPr>
            <w:tcW w:type="dxa" w:w="259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Field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Type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Required?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investor_id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policy_number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string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payoutAmount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number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Required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paidAt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ISO date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Optional</w:t>
            </w:r>
          </w:p>
        </w:tc>
      </w:tr>
    </w:tbl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18"/>
        </w:rPr>
        <w:t>Sample payload: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{"investor_id":"INV-9876","policy_number":"20356001","payoutAmount":250000}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40" w:line="300" w:lineRule="auto"/>
        <w:jc w:val="left"/>
      </w:pP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11.  Common Operator Scenarios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Real-world tasks — what to click for each.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11.1  Send a one-off OTP to a new policyholder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Subscribers tab → Add Subscriber (subscriberId, phone with country code)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Workflows tab → ph-02-registration → Trigger Workflow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Subscriber ID + payload {"otp":"&lt;6 digits&gt;"} → Run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Activity Feed → confirm transactionId completed; phone receives SMS+WA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11.2  Fire premium-due reminders to a list of investors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Topics tab → Create topic 'premium-due-this-week'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Add subscribers (your investor list)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Workflows tab → inv-08-premium-due → Trigger Workflow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To: Topic premium-due-this-week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Payload (per-subscriber values won't vary in this approach — for that, see §11.3)</w:t>
      </w:r>
    </w:p>
    <w:p>
      <w:pPr>
        <w:spacing w:after="8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8E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E67E22"/>
                <w:sz w:val="20"/>
              </w:rPr>
              <w:t>When per-subscriber payload differs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Topics broadcast the SAME payload to all members. If each investor needs different premiumAmount/dueDate, you can't use a Topic — you need a loop. That requires Engineering to write a one-off script (or revive the campaign builder if rolled back).</w:t>
            </w:r>
          </w:p>
        </w:tc>
      </w:tr>
    </w:tbl>
    <w:p>
      <w:pPr>
        <w:spacing w:after="4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11.3  Verify a customer received an OTP they're claiming didn't arrive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Activity Feed → search by subscriber ID OR by phone number (data filter)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Find the most recent ph-02-registration trigger for that subscriber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into it → check SMS step status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If 'Completed' → message was accepted by MSG91; verify with Engineering's Bridge log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If 'Failed' → click the step → see the failure reason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If no recent trigger at all → the upstream system (registration service) didn't fire it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11.4  A workflow keeps failing — how to diagnose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456"/>
        <w:gridCol w:w="3168"/>
        <w:gridCol w:w="2736"/>
      </w:tblGrid>
      <w:tr>
        <w:tc>
          <w:tcPr>
            <w:tcW w:type="dxa" w:w="3456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6"/>
              </w:rPr>
              <w:t>Symptom</w:t>
            </w:r>
          </w:p>
        </w:tc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6"/>
              </w:rPr>
              <w:t>Most likely cause</w:t>
            </w:r>
          </w:p>
        </w:tc>
        <w:tc>
          <w:tcPr>
            <w:tcW w:type="dxa" w:w="2736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6"/>
              </w:rPr>
              <w:t>Action</w:t>
            </w:r>
          </w:p>
        </w:tc>
      </w:tr>
      <w:tr>
        <w:tc>
          <w:tcPr>
            <w:tcW w:type="dxa" w:w="345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All steps say 'Failed: Bridge execution failed'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Payload schema mismatch (3.x strict validation)</w:t>
            </w:r>
          </w:p>
        </w:tc>
        <w:tc>
          <w:tcPr>
            <w:tcW w:type="dxa" w:w="273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Click step → read raw error → fix payload field name/type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SMS step says 'Skipped: channel disabled'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tpe_channel_gating doc has SMS off</w:t>
            </w:r>
          </w:p>
        </w:tc>
        <w:tc>
          <w:tcPr>
            <w:tcW w:type="dxa" w:w="273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Engineering re-seeds Mongo doc</w:t>
            </w:r>
          </w:p>
        </w:tc>
      </w:tr>
      <w:tr>
        <w:tc>
          <w:tcPr>
            <w:tcW w:type="dxa" w:w="345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SMS step 'Completed' but no SMS arrives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MSG91 accepted but DLT template rejected by carrier</w:t>
            </w:r>
          </w:p>
        </w:tc>
        <w:tc>
          <w:tcPr>
            <w:tcW w:type="dxa" w:w="273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Engineering pulls Bridge audit log + MSG91 portal status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WhatsApp step 'Failed: templateName required'</w:t>
            </w:r>
          </w:p>
        </w:tc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ICPAAS_TEMPLATE_&lt;TRIGGER&gt;_WHATSAPP env not set</w:t>
            </w:r>
          </w:p>
        </w:tc>
        <w:tc>
          <w:tcPr>
            <w:tcW w:type="dxa" w:w="273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Engineering fixes Bridge .env; recreate next-bridge</w:t>
            </w:r>
          </w:p>
        </w:tc>
      </w:tr>
      <w:tr>
        <w:tc>
          <w:tcPr>
            <w:tcW w:type="dxa" w:w="345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Workflow not found at all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Sync didn't run after a deploy</w:t>
            </w:r>
          </w:p>
        </w:tc>
        <w:tc>
          <w:tcPr>
            <w:tcW w:type="dxa" w:w="273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Engineering runs novu-ce-bridge-sync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12.  Troubleshooting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When something's wrong, work down this list in order. The fixes get progressively more engineering-heavy — start at the top and only escalate when the easier options don't apply.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12.1  Operator-fixable issues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736"/>
        <w:gridCol w:w="2880"/>
        <w:gridCol w:w="3744"/>
      </w:tblGrid>
      <w:tr>
        <w:tc>
          <w:tcPr>
            <w:tcW w:type="dxa" w:w="2736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Issue</w:t>
            </w:r>
          </w:p>
        </w:tc>
        <w:tc>
          <w:tcPr>
            <w:tcW w:type="dxa" w:w="288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Quick check</w:t>
            </w:r>
          </w:p>
        </w:tc>
        <w:tc>
          <w:tcPr>
            <w:tcW w:type="dxa" w:w="3744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Fix</w:t>
            </w:r>
          </w:p>
        </w:tc>
      </w:tr>
      <w:tr>
        <w:tc>
          <w:tcPr>
            <w:tcW w:type="dxa" w:w="273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Can't log in to dashboard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Try the credentials in §4.1 verbatim</w:t>
            </w:r>
          </w:p>
        </w:tc>
        <w:tc>
          <w:tcPr>
            <w:tcW w:type="dxa" w:w="374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Caps lock off; if still failing, escalate to Engineering for password reset</w:t>
            </w:r>
          </w:p>
        </w:tc>
      </w:tr>
      <w:tr>
        <w:tc>
          <w:tcPr>
            <w:tcW w:type="dxa" w:w="273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Workflow not in the list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Filter is set or wrong env</w:t>
            </w:r>
          </w:p>
        </w:tc>
        <w:tc>
          <w:tcPr>
            <w:tcW w:type="dxa" w:w="374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Clear filters; check top-right env selector says 'Development'</w:t>
            </w:r>
          </w:p>
        </w:tc>
      </w:tr>
      <w:tr>
        <w:tc>
          <w:tcPr>
            <w:tcW w:type="dxa" w:w="273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Subscriber not findable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Search box may be substring-strict</w:t>
            </w:r>
          </w:p>
        </w:tc>
        <w:tc>
          <w:tcPr>
            <w:tcW w:type="dxa" w:w="374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Try partial ID; or filter by 'Has phone'</w:t>
            </w:r>
          </w:p>
        </w:tc>
      </w:tr>
      <w:tr>
        <w:tc>
          <w:tcPr>
            <w:tcW w:type="dxa" w:w="273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Trigger button greyed out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Workflow may be Inactive</w:t>
            </w:r>
          </w:p>
        </w:tc>
        <w:tc>
          <w:tcPr>
            <w:tcW w:type="dxa" w:w="374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Toggle Active in workflow settings (still no edit to steps possible)</w:t>
            </w:r>
          </w:p>
        </w:tc>
      </w:tr>
      <w:tr>
        <w:tc>
          <w:tcPr>
            <w:tcW w:type="dxa" w:w="273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Trigger 400: Subscriber not found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subscriberId typed wrong</w:t>
            </w:r>
          </w:p>
        </w:tc>
        <w:tc>
          <w:tcPr>
            <w:tcW w:type="dxa" w:w="374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Copy from Subscribers tab to avoid typos</w:t>
            </w:r>
          </w:p>
        </w:tc>
      </w:tr>
    </w:tbl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12.2  Engineering-required issues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Escalate any of the following to Engineering with the transactionId and screenshot: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All steps fail with 'Bridge execution failed' across multiple workflows (Bridge container down)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Sandbox dashboard returns 500/502 on basic page loads (API or worker down)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MSG91 SMS step shows 'Completed' but customer never receives (carrier issue or DLT rejection)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ICPaaS WhatsApp step 'Failed: templateName required' (env-var bug)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Activity Feed empty for triggers that you know fired (Mongo or worker issue)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Need to add a new workflow (always engineering — code-first rule)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Need a new MSG91 DLT template registered (compliance + engineering process)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12.3  Escalation contacts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68"/>
        <w:gridCol w:w="2880"/>
        <w:gridCol w:w="3311"/>
      </w:tblGrid>
      <w:tr>
        <w:tc>
          <w:tcPr>
            <w:tcW w:type="dxa" w:w="316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Issue area</w:t>
            </w:r>
          </w:p>
        </w:tc>
        <w:tc>
          <w:tcPr>
            <w:tcW w:type="dxa" w:w="288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Owner</w:t>
            </w:r>
          </w:p>
        </w:tc>
        <w:tc>
          <w:tcPr>
            <w:tcW w:type="dxa" w:w="3311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Channel</w:t>
            </w:r>
          </w:p>
        </w:tc>
      </w:tr>
      <w:tr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Dashboard / triggers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Engineering Lead</w:t>
            </w:r>
          </w:p>
        </w:tc>
        <w:tc>
          <w:tcPr>
            <w:tcW w:type="dxa" w:w="331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TBD per team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Compliance / DLT / DPDPA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Compliance Lead</w:t>
            </w:r>
          </w:p>
        </w:tc>
        <w:tc>
          <w:tcPr>
            <w:tcW w:type="dxa" w:w="331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TBD per team</w:t>
            </w:r>
          </w:p>
        </w:tc>
      </w:tr>
      <w:tr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MSG91 + ICPaaS provider issues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Engineering + Vendor SLA</w:t>
            </w:r>
          </w:p>
        </w:tc>
        <w:tc>
          <w:tcPr>
            <w:tcW w:type="dxa" w:w="331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TBD per team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Customer copy / language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CX Lead</w:t>
            </w:r>
          </w:p>
        </w:tc>
        <w:tc>
          <w:tcPr>
            <w:tcW w:type="dxa" w:w="331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TBD per team</w:t>
            </w:r>
          </w:p>
        </w:tc>
      </w:tr>
      <w:tr>
        <w:tc>
          <w:tcPr>
            <w:tcW w:type="dxa" w:w="316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Infrastructure / VPS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Infrastructure Lead</w:t>
            </w:r>
          </w:p>
        </w:tc>
        <w:tc>
          <w:tcPr>
            <w:tcW w:type="dxa" w:w="331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TBD per team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13.  Daily Operations Checklist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What an operator should verify each morning before the day's notification work begins.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13.1  Morning health check (5 min)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Open dashboard at http://103.138.96.180:8080 — should load within 3 sec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'Workflows' — confirm 17+ workflows visible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Click 'Activity Feed' — confirm yesterday's last triggers all show 'Completed'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Trigger a test ph-02-registration to test-icpaas-sandbox-1 → confirm SMS + WA arrive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13.2  End-of-day verification (3 min)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Activity Feed → filter today → count 'Completed' vs 'Failed'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Failed &gt; 5% of total → escalate to Engineering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Note any new transactionIds in your daily log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13.3  Weekly review (15 min, Mondays)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Review previous week's failure rate per workflow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Cross-check with MSG91 portal delivery reports for SMS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Cross-check ICPaaS dashboard for WhatsApp delivery (read receipts)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Surface anomalies to Engineering + CX standup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14.  Glossary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Bridge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Custom Next.js HTTP server we wrote. Holds the 17 workflow definitions in TypeScript code and dispatches to MSG91/ICPaaS. Novu's worker calls Bridge over HTTP; Bridge calls providers.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Charter §4.3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Section of the TPE Communication System Charter that lists the 49 lifecycle triggers. 17 of them are currently live.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Channel allowlist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Operator-controlled gate (Mongo `tpe_channel_gating` doc) that can disable specific channels (SMS, WA, email, in-app) at runtime. UI for managing this was sunsetted with TPE Admin.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Code-first authoring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Architectural rule: workflows are TypeScript files in source control, NOT created via the Studio UI. Enforced via PR review + compliance middleware lint.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DLT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Distributed Ledger Technology registry maintained by TRAI for India SMS. Every business SMS template must be DLT-registered with template_id; sending raw text is non-compliant.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DPDPA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Digital Personal Data Protection Act 2023 (India). Why TPE data must stay India-resident.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ICPaaS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WhatsApp aggregator that proxies Meta WhatsApp Business Cloud API. TPE uses their template messaging endpoint (POST .../v23.0/&lt;phone-id&gt;/messages).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In-app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Notifications shown inside the app (mobile/web Inbox widget), not delivered to phone/email. Powered by Novu's native Inbox provider.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MSG91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Indian SMS gateway. TPE uses v5/Flow API with DLT-registered templates. Sender ID: TPolEx.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Novu CE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Novu Community Edition — the open-source self-hosted version. We run 3.15.0 in sandbox at :8080 (primary) and 2.3.0 in live at :80 (legacy).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Pivot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The 2026-05-01 architectural decision to make sandbox 3.15 the primary operator surface, sunset the TPE Admin custom UI, and keep all Bridge dispatch (MSG91/ICPaaS) intact.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Studio UI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Novu's in-dashboard 'Create Workflow' feature. FORBIDDEN for use under our code-first rule because it bypasses Git, compliance lint, and DLT enforcement.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Subscriber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Novu's term for a recipient of notifications. One subscriber = one customer/test account with associated phone/email/locale/custom data.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Topic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Group of subscribers, identified by a topic key. Triggering to a topic fans out to all members.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transactionId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Unique ID for a trigger event. Format: txn_&lt;base32&gt; in 3.x (was raw UUID in 2.3.0). Use to trace a notification through the Activity Feed and Bridge audit log.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Workflow</w:t>
      </w: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19"/>
        </w:rPr>
        <w:t>A notification program. Defines which channels fire, in what order, with what content. Each workflow has a unique trigger ID like 'ph-02-registration'.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15.  Quick Reference Card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/>
          <w:color w:val="7F8C8D"/>
          <w:sz w:val="20"/>
        </w:rPr>
        <w:t>Tear-out single-page summary. Print this and keep it next to your monitor.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15.1  URLs + credentials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60"/>
        <w:gridCol w:w="3600"/>
        <w:gridCol w:w="3600"/>
      </w:tblGrid>
      <w:tr>
        <w:tc>
          <w:tcPr>
            <w:tcW w:type="dxa" w:w="216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6"/>
              </w:rPr>
              <w:t>Surface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6"/>
              </w:rPr>
              <w:t>URL</w:t>
            </w:r>
          </w:p>
        </w:tc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6"/>
              </w:rPr>
              <w:t>Login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Primary Dashboard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http://103.138.96.180:8080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sandbox@tpe-test.local / SandboxStage2026!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API endpoint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http://103.138.96.180:8081/v1/events/trigger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ApiKey 54ad9d4dd50398489413be350237bd88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Live Dashboard (legacy)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http://103.138.96.180/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6"/>
              </w:rPr>
              <w:t>(same creds)</w:t>
            </w:r>
          </w:p>
        </w:tc>
      </w:tr>
    </w:tbl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15.2  Test subscriber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Field</w:t>
            </w:r>
          </w:p>
        </w:tc>
        <w:tc>
          <w:tcPr>
            <w:tcW w:type="dxa" w:w="72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Value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Subscriber ID</w:t>
            </w:r>
          </w:p>
        </w:tc>
        <w:tc>
          <w:tcPr>
            <w:tcW w:type="dxa" w:w="72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test-icpaas-sandbox-1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Phone (E.164)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+919465185365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Email</w:t>
            </w:r>
          </w:p>
        </w:tc>
        <w:tc>
          <w:tcPr>
            <w:tcW w:type="dxa" w:w="72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no-reply@thepolicyexchange.com</w:t>
            </w:r>
          </w:p>
        </w:tc>
      </w:tr>
    </w:tbl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15.3  Most-used workflows + minimum payload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Trigger ID</w:t>
            </w:r>
          </w:p>
        </w:tc>
        <w:tc>
          <w:tcPr>
            <w:tcW w:type="dxa" w:w="648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Minimum payload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ph-02-registration</w:t>
            </w:r>
          </w:p>
        </w:tc>
        <w:tc>
          <w:tcPr>
            <w:tcW w:type="dxa" w:w="64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{"otp":"482910"}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inv-02-registration</w:t>
            </w:r>
          </w:p>
        </w:tc>
        <w:tc>
          <w:tcPr>
            <w:tcW w:type="dxa" w:w="64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{"otp":"123456"}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inv-08-premium-due</w:t>
            </w:r>
          </w:p>
        </w:tc>
        <w:tc>
          <w:tcPr>
            <w:tcW w:type="dxa" w:w="64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{"investor_id":"X","policy_number":"Y","premiumAmount":N,"dueDate":"...","stage":"7d"}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ph-15-loan-emi-reminder</w:t>
            </w:r>
          </w:p>
        </w:tc>
        <w:tc>
          <w:tcPr>
            <w:tcW w:type="dxa" w:w="64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{"loan_application_id":"X","emiAmount":N,"dueDate":"...","stage":"3d","ph_id":"X"}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inv-11-maturity-reminder</w:t>
            </w:r>
          </w:p>
        </w:tc>
        <w:tc>
          <w:tcPr>
            <w:tcW w:type="dxa" w:w="64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{"investor_id":"X","policy_number":"Y","maturityDate":"...","stage":"30d"}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ph-17-re-engagement</w:t>
            </w:r>
          </w:p>
        </w:tc>
        <w:tc>
          <w:tcPr>
            <w:tcW w:type="dxa" w:w="64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{"ph_id":"X","dormancyDays":N}</w:t>
            </w:r>
          </w:p>
        </w:tc>
      </w:tr>
    </w:tbl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15.4  Top 5 troubleshooting steps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1. Search Activity Feed by transactionId — get full trace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2. Click into the failed step — read the raw error message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3. Check that subscriber has phone (for SMS+WA) and email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4. Verify payload field names match §10 reference exactly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5. If still stuck after 5 min, escalate to Engineering with txn ID + screenshot</w:t>
      </w:r>
    </w:p>
    <w:p>
      <w:pPr>
        <w:spacing w:after="24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B3A5C"/>
            <w:tcBorders>
              <w:top w:val="single" w:sz="8" w:color="0D1B2A"/>
              <w:left w:val="single" w:sz="8" w:color="0D1B2A"/>
              <w:bottom w:val="single" w:sz="8" w:color="0D1B2A"/>
              <w:right w:val="single" w:sz="8" w:color="0D1B2A"/>
            </w:tcBorders>
          </w:tcPr>
          <w:p>
            <w:pPr>
              <w:spacing w:before="160"/>
              <w:jc w:val="left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Prepared by</w:t>
            </w:r>
          </w:p>
          <w:p>
            <w:pPr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Ashish Kumar Satyam</w:t>
            </w:r>
          </w:p>
          <w:p>
            <w:pPr>
              <w:jc w:val="left"/>
            </w:pPr>
            <w:r>
              <w:rPr>
                <w:rFonts w:ascii="Arial" w:hAnsi="Arial" w:cs="Arial"/>
                <w:b w:val="0"/>
                <w:i w:val="0"/>
                <w:color w:val="FFFFFF"/>
                <w:sz w:val="18"/>
              </w:rPr>
              <w:t>The Policy Exchange (Fairvalue Insuretech Pvt. Ltd.)</w:t>
            </w:r>
          </w:p>
          <w:p>
            <w:pPr>
              <w:spacing w:after="160"/>
              <w:jc w:val="left"/>
            </w:pPr>
            <w:r>
              <w:rPr>
                <w:rFonts w:ascii="Arial" w:hAnsi="Arial" w:cs="Arial"/>
                <w:b w:val="0"/>
                <w:i/>
                <w:color w:val="FFFFFF"/>
                <w:sz w:val="16"/>
              </w:rPr>
              <w:t>Internal / Confidential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i w:val="0"/>
        <w:color w:val="7F8C8D"/>
        <w:sz w:val="16"/>
      </w:rPr>
      <w:t xml:space="preserve">TPE-COMMS-OPS-MANUAL-2026-001  |  Internal &amp; Confidential  |  Page </w:t>
    </w:r>
    <w:r>
      <w:rPr>
        <w:rFonts w:ascii="Arial" w:hAnsi="Arial" w:cs="Arial"/>
        <w:b/>
        <w:i w:val="0"/>
        <w:color w:val="7F8C8D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cs="Arial"/>
        <w:b w:val="0"/>
        <w:i/>
        <w:color w:val="7F8C8D"/>
        <w:sz w:val="16"/>
      </w:rPr>
      <w:t>Operator Manual  | 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C3E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