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tblLayout w:type="fixed"/>
        <w:tblLook w:firstColumn="1" w:firstRow="1" w:lastColumn="0" w:lastRow="0" w:noHBand="0" w:noVBand="1" w:val="04A0"/>
      </w:tblPr>
      <w:tblGrid>
        <w:gridCol w:w="9360"/>
      </w:tblGrid>
      <w:tr>
        <w:trPr>
          <w:trHeight w:val="200" w:hRule="exact"/>
        </w:trPr>
        <w:tc>
          <w:tcPr>
            <w:tcW w:type="dxa" w:w="9360"/>
            <w:shd w:val="clear" w:color="auto" w:fill="1B3A5C"/>
          </w:tcPr>
          <w:p>
            <w:pPr>
              <w:spacing w:before="0" w:after="0"/>
            </w:pPr>
            <w:r/>
          </w:p>
        </w:tc>
      </w:tr>
    </w:tbl>
    <w:p>
      <w:pPr>
        <w:spacing w:after="360" w:line="300" w:lineRule="auto"/>
        <w:jc w:val="left"/>
      </w:pPr>
    </w:p>
    <w:p>
      <w:pPr>
        <w:spacing w:after="80" w:line="300" w:lineRule="auto"/>
        <w:jc w:val="center"/>
      </w:pPr>
      <w:r>
        <w:rPr>
          <w:rFonts w:ascii="Arial" w:hAnsi="Arial" w:cs="Arial"/>
          <w:b/>
          <w:i w:val="0"/>
          <w:color w:val="7F8C8D"/>
          <w:sz w:val="20"/>
        </w:rPr>
        <w:t>THE POLICY EXCHANGE (FAIRVALUE INSURETECH PVT. LTD.)</w:t>
      </w:r>
    </w:p>
    <w:p>
      <w:pPr>
        <w:spacing w:after="160" w:line="300" w:lineRule="auto"/>
        <w:jc w:val="center"/>
      </w:pPr>
      <w:r>
        <w:rPr>
          <w:rFonts w:ascii="Arial" w:hAnsi="Arial" w:cs="Arial"/>
          <w:b/>
          <w:i w:val="0"/>
          <w:color w:val="1B3A5C"/>
          <w:sz w:val="44"/>
        </w:rPr>
        <w:t>PROJECT STATUS DOCUMENT</w:t>
      </w:r>
    </w:p>
    <w:p>
      <w:pPr>
        <w:spacing w:after="120" w:line="300" w:lineRule="auto"/>
        <w:jc w:val="center"/>
      </w:pPr>
      <w:r>
        <w:rPr>
          <w:rFonts w:ascii="Arial" w:hAnsi="Arial" w:cs="Arial"/>
          <w:b/>
          <w:i w:val="0"/>
          <w:color w:val="2C3E50"/>
          <w:sz w:val="52"/>
        </w:rPr>
        <w:t>TPE Communication System</w:t>
      </w:r>
    </w:p>
    <w:p>
      <w:pPr>
        <w:spacing w:after="480" w:line="300" w:lineRule="auto"/>
        <w:jc w:val="center"/>
      </w:pPr>
      <w:r>
        <w:rPr>
          <w:rFonts w:ascii="Arial" w:hAnsi="Arial" w:cs="Arial"/>
          <w:b w:val="0"/>
          <w:i/>
          <w:color w:val="7F8C8D"/>
          <w:sz w:val="22"/>
        </w:rPr>
        <w:t>Stakeholder review — post sandbox-3.15-primary pivot (2026-05-01)</w:t>
      </w:r>
    </w:p>
    <w:tbl>
      <w:tblPr>
        <w:tblW w:type="dxa" w:w="9360"/>
        <w:tblLayout w:type="fixed"/>
        <w:tblLook w:firstColumn="1" w:firstRow="1" w:lastColumn="0" w:lastRow="0" w:noHBand="0" w:noVBand="1" w:val="04A0"/>
      </w:tblPr>
      <w:tblGrid>
        <w:gridCol w:w="2340"/>
        <w:gridCol w:w="2340"/>
        <w:gridCol w:w="2340"/>
        <w:gridCol w:w="2340"/>
      </w:tblGrid>
      <w:tr>
        <w:tc>
          <w:tcPr>
            <w:tcW w:type="dxa" w:w="2340"/>
            <w:shd w:val="clear" w:color="auto" w:fill="FAFBFC"/>
            <w:tcBorders>
              <w:top w:val="single" w:sz="18" w:color="27AE60"/>
              <w:left w:val="single" w:sz="18" w:color="27AE60"/>
              <w:bottom w:val="single" w:sz="18" w:color="27AE60"/>
              <w:right w:val="single" w:sz="18" w:color="27AE60"/>
            </w:tcBorders>
            <w:vAlign w:val="center"/>
          </w:tcPr>
          <w:p>
            <w:pPr>
              <w:jc w:val="center"/>
            </w:pPr>
            <w:r/>
            <w:r>
              <w:rPr>
                <w:rFonts w:ascii="Arial" w:hAnsi="Arial" w:cs="Arial"/>
                <w:b/>
                <w:i w:val="0"/>
                <w:color w:val="27AE60"/>
                <w:sz w:val="44"/>
              </w:rPr>
              <w:t>17/49</w:t>
            </w:r>
          </w:p>
          <w:p>
            <w:pPr>
              <w:spacing w:after="80"/>
              <w:jc w:val="center"/>
            </w:pPr>
            <w:r>
              <w:rPr>
                <w:rFonts w:ascii="Arial" w:hAnsi="Arial" w:cs="Arial"/>
                <w:b w:val="0"/>
                <w:i w:val="0"/>
                <w:color w:val="2C3E50"/>
                <w:sz w:val="17"/>
              </w:rPr>
              <w:t>Workflows live</w:t>
            </w:r>
          </w:p>
        </w:tc>
        <w:tc>
          <w:tcPr>
            <w:tcW w:type="dxa" w:w="2340"/>
            <w:shd w:val="clear" w:color="auto" w:fill="FAFBFC"/>
            <w:tcBorders>
              <w:top w:val="single" w:sz="18" w:color="E67E22"/>
              <w:left w:val="single" w:sz="18" w:color="E67E22"/>
              <w:bottom w:val="single" w:sz="18" w:color="E67E22"/>
              <w:right w:val="single" w:sz="18" w:color="E67E22"/>
            </w:tcBorders>
            <w:vAlign w:val="center"/>
          </w:tcPr>
          <w:p>
            <w:pPr>
              <w:jc w:val="center"/>
            </w:pPr>
            <w:r/>
            <w:r>
              <w:rPr>
                <w:rFonts w:ascii="Arial" w:hAnsi="Arial" w:cs="Arial"/>
                <w:b/>
                <w:i w:val="0"/>
                <w:color w:val="E67E22"/>
                <w:sz w:val="44"/>
              </w:rPr>
              <w:t>32</w:t>
            </w:r>
          </w:p>
          <w:p>
            <w:pPr>
              <w:spacing w:after="80"/>
              <w:jc w:val="center"/>
            </w:pPr>
            <w:r>
              <w:rPr>
                <w:rFonts w:ascii="Arial" w:hAnsi="Arial" w:cs="Arial"/>
                <w:b w:val="0"/>
                <w:i w:val="0"/>
                <w:color w:val="2C3E50"/>
                <w:sz w:val="17"/>
              </w:rPr>
              <w:t>Workflows pending</w:t>
            </w:r>
          </w:p>
        </w:tc>
        <w:tc>
          <w:tcPr>
            <w:tcW w:type="dxa" w:w="2340"/>
            <w:shd w:val="clear" w:color="auto" w:fill="FAFBFC"/>
            <w:tcBorders>
              <w:top w:val="single" w:sz="18" w:color="E74C3C"/>
              <w:left w:val="single" w:sz="18" w:color="E74C3C"/>
              <w:bottom w:val="single" w:sz="18" w:color="E74C3C"/>
              <w:right w:val="single" w:sz="18" w:color="E74C3C"/>
            </w:tcBorders>
            <w:vAlign w:val="center"/>
          </w:tcPr>
          <w:p>
            <w:pPr>
              <w:jc w:val="center"/>
            </w:pPr>
            <w:r/>
            <w:r>
              <w:rPr>
                <w:rFonts w:ascii="Arial" w:hAnsi="Arial" w:cs="Arial"/>
                <w:b/>
                <w:i w:val="0"/>
                <w:color w:val="E74C3C"/>
                <w:sz w:val="44"/>
              </w:rPr>
              <w:t>3</w:t>
            </w:r>
          </w:p>
          <w:p>
            <w:pPr>
              <w:spacing w:after="80"/>
              <w:jc w:val="center"/>
            </w:pPr>
            <w:r>
              <w:rPr>
                <w:rFonts w:ascii="Arial" w:hAnsi="Arial" w:cs="Arial"/>
                <w:b w:val="0"/>
                <w:i w:val="0"/>
                <w:color w:val="2C3E50"/>
                <w:sz w:val="17"/>
              </w:rPr>
              <w:t>Risks open</w:t>
            </w:r>
          </w:p>
        </w:tc>
        <w:tc>
          <w:tcPr>
            <w:tcW w:type="dxa" w:w="2340"/>
            <w:shd w:val="clear" w:color="auto" w:fill="FAFBFC"/>
            <w:tcBorders>
              <w:top w:val="single" w:sz="18" w:color="1B3A5C"/>
              <w:left w:val="single" w:sz="18" w:color="1B3A5C"/>
              <w:bottom w:val="single" w:sz="18" w:color="1B3A5C"/>
              <w:right w:val="single" w:sz="18" w:color="1B3A5C"/>
            </w:tcBorders>
            <w:vAlign w:val="center"/>
          </w:tcPr>
          <w:p>
            <w:pPr>
              <w:jc w:val="center"/>
            </w:pPr>
            <w:r/>
            <w:r>
              <w:rPr>
                <w:rFonts w:ascii="Arial" w:hAnsi="Arial" w:cs="Arial"/>
                <w:b/>
                <w:i w:val="0"/>
                <w:color w:val="1B3A5C"/>
                <w:sz w:val="44"/>
              </w:rPr>
              <w:t>1</w:t>
            </w:r>
          </w:p>
          <w:p>
            <w:pPr>
              <w:spacing w:after="80"/>
              <w:jc w:val="center"/>
            </w:pPr>
            <w:r>
              <w:rPr>
                <w:rFonts w:ascii="Arial" w:hAnsi="Arial" w:cs="Arial"/>
                <w:b w:val="0"/>
                <w:i w:val="0"/>
                <w:color w:val="2C3E50"/>
                <w:sz w:val="17"/>
              </w:rPr>
              <w:t>Major pivot done</w:t>
            </w:r>
          </w:p>
        </w:tc>
      </w:tr>
    </w:tbl>
    <w:p>
      <w:pPr>
        <w:spacing w:after="360" w:line="300" w:lineRule="auto"/>
        <w:jc w:val="left"/>
      </w:pPr>
    </w:p>
    <w:p>
      <w:pPr>
        <w:spacing w:after="80" w:line="300" w:lineRule="auto"/>
        <w:jc w:val="center"/>
      </w:pPr>
      <w:r>
        <w:rPr>
          <w:rFonts w:ascii="Arial" w:hAnsi="Arial" w:cs="Arial"/>
          <w:b/>
          <w:i w:val="0"/>
          <w:color w:val="1B3A5C"/>
          <w:sz w:val="20"/>
        </w:rPr>
        <w:t>Document metadata</w:t>
      </w:r>
    </w:p>
    <w:tbl>
      <w:tblPr>
        <w:tblW w:type="dxa" w:w="7488"/>
        <w:jc w:val="center"/>
        <w:tblLayout w:type="fixed"/>
        <w:tblLook w:firstColumn="1" w:firstRow="1" w:lastColumn="0" w:lastRow="0" w:noHBand="0" w:noVBand="1" w:val="04A0"/>
      </w:tblPr>
      <w:tblGrid>
        <w:gridCol w:w="3024"/>
        <w:gridCol w:w="4464"/>
      </w:tblGrid>
      <w:tr>
        <w:tc>
          <w:tcPr>
            <w:tcW w:type="dxa" w:w="3024"/>
            <w:shd w:val="clear" w:color="auto" w:fill="F8F9FA"/>
            <w:tcBorders>
              <w:top w:val="single" w:sz="4" w:color="BFBFBF"/>
              <w:left w:val="single" w:sz="4" w:color="BFBFBF"/>
              <w:bottom w:val="single" w:sz="4" w:color="BFBFBF"/>
              <w:right w:val="single" w:sz="4" w:color="BFBFBF"/>
            </w:tcBorders>
          </w:tcPr>
          <w:p>
            <w:r/>
            <w:r>
              <w:rPr>
                <w:rFonts w:ascii="Arial" w:hAnsi="Arial" w:cs="Arial"/>
                <w:b/>
                <w:i w:val="0"/>
                <w:color w:val="1B3A5C"/>
                <w:sz w:val="18"/>
              </w:rPr>
              <w:t>Document ID</w:t>
            </w:r>
          </w:p>
        </w:tc>
        <w:tc>
          <w:tcPr>
            <w:tcW w:type="dxa" w:w="4464"/>
            <w:shd w:val="clear" w:color="auto" w:fill="F8F9FA"/>
            <w:tcBorders>
              <w:top w:val="single" w:sz="4" w:color="BFBFBF"/>
              <w:left w:val="single" w:sz="4" w:color="BFBFBF"/>
              <w:bottom w:val="single" w:sz="4" w:color="BFBFBF"/>
              <w:right w:val="single" w:sz="4" w:color="BFBFBF"/>
            </w:tcBorders>
          </w:tcPr>
          <w:p>
            <w:r/>
            <w:r>
              <w:rPr>
                <w:rFonts w:ascii="Arial" w:hAnsi="Arial" w:cs="Arial"/>
                <w:b w:val="0"/>
                <w:i w:val="0"/>
                <w:color w:val="2C3E50"/>
                <w:sz w:val="18"/>
              </w:rPr>
              <w:t>TPE-COMMS-STATUS-2026-002</w:t>
            </w:r>
          </w:p>
        </w:tc>
      </w:tr>
      <w:tr>
        <w:tc>
          <w:tcPr>
            <w:tcW w:type="dxa" w:w="3024"/>
            <w:shd w:val="clear" w:color="auto" w:fill="FFFFFF"/>
            <w:tcBorders>
              <w:top w:val="single" w:sz="4" w:color="BFBFBF"/>
              <w:left w:val="single" w:sz="4" w:color="BFBFBF"/>
              <w:bottom w:val="single" w:sz="4" w:color="BFBFBF"/>
              <w:right w:val="single" w:sz="4" w:color="BFBFBF"/>
            </w:tcBorders>
          </w:tcPr>
          <w:p>
            <w:r/>
            <w:r>
              <w:rPr>
                <w:rFonts w:ascii="Arial" w:hAnsi="Arial" w:cs="Arial"/>
                <w:b/>
                <w:i w:val="0"/>
                <w:color w:val="1B3A5C"/>
                <w:sz w:val="18"/>
              </w:rPr>
              <w:t>Version</w:t>
            </w:r>
          </w:p>
        </w:tc>
        <w:tc>
          <w:tcPr>
            <w:tcW w:type="dxa" w:w="4464"/>
            <w:shd w:val="clear" w:color="auto" w:fill="FFFFFF"/>
            <w:tcBorders>
              <w:top w:val="single" w:sz="4" w:color="BFBFBF"/>
              <w:left w:val="single" w:sz="4" w:color="BFBFBF"/>
              <w:bottom w:val="single" w:sz="4" w:color="BFBFBF"/>
              <w:right w:val="single" w:sz="4" w:color="BFBFBF"/>
            </w:tcBorders>
          </w:tcPr>
          <w:p>
            <w:r/>
            <w:r>
              <w:rPr>
                <w:rFonts w:ascii="Arial" w:hAnsi="Arial" w:cs="Arial"/>
                <w:b w:val="0"/>
                <w:i w:val="0"/>
                <w:color w:val="2C3E50"/>
                <w:sz w:val="18"/>
              </w:rPr>
              <w:t>2.0</w:t>
            </w:r>
          </w:p>
        </w:tc>
      </w:tr>
      <w:tr>
        <w:tc>
          <w:tcPr>
            <w:tcW w:type="dxa" w:w="3024"/>
            <w:shd w:val="clear" w:color="auto" w:fill="F8F9FA"/>
            <w:tcBorders>
              <w:top w:val="single" w:sz="4" w:color="BFBFBF"/>
              <w:left w:val="single" w:sz="4" w:color="BFBFBF"/>
              <w:bottom w:val="single" w:sz="4" w:color="BFBFBF"/>
              <w:right w:val="single" w:sz="4" w:color="BFBFBF"/>
            </w:tcBorders>
          </w:tcPr>
          <w:p>
            <w:r/>
            <w:r>
              <w:rPr>
                <w:rFonts w:ascii="Arial" w:hAnsi="Arial" w:cs="Arial"/>
                <w:b/>
                <w:i w:val="0"/>
                <w:color w:val="1B3A5C"/>
                <w:sz w:val="18"/>
              </w:rPr>
              <w:t>Date issued</w:t>
            </w:r>
          </w:p>
        </w:tc>
        <w:tc>
          <w:tcPr>
            <w:tcW w:type="dxa" w:w="4464"/>
            <w:shd w:val="clear" w:color="auto" w:fill="F8F9FA"/>
            <w:tcBorders>
              <w:top w:val="single" w:sz="4" w:color="BFBFBF"/>
              <w:left w:val="single" w:sz="4" w:color="BFBFBF"/>
              <w:bottom w:val="single" w:sz="4" w:color="BFBFBF"/>
              <w:right w:val="single" w:sz="4" w:color="BFBFBF"/>
            </w:tcBorders>
          </w:tcPr>
          <w:p>
            <w:r/>
            <w:r>
              <w:rPr>
                <w:rFonts w:ascii="Arial" w:hAnsi="Arial" w:cs="Arial"/>
                <w:b w:val="0"/>
                <w:i w:val="0"/>
                <w:color w:val="2C3E50"/>
                <w:sz w:val="18"/>
              </w:rPr>
              <w:t>01 May 2026</w:t>
            </w:r>
          </w:p>
        </w:tc>
      </w:tr>
      <w:tr>
        <w:tc>
          <w:tcPr>
            <w:tcW w:type="dxa" w:w="3024"/>
            <w:shd w:val="clear" w:color="auto" w:fill="FFFFFF"/>
            <w:tcBorders>
              <w:top w:val="single" w:sz="4" w:color="BFBFBF"/>
              <w:left w:val="single" w:sz="4" w:color="BFBFBF"/>
              <w:bottom w:val="single" w:sz="4" w:color="BFBFBF"/>
              <w:right w:val="single" w:sz="4" w:color="BFBFBF"/>
            </w:tcBorders>
          </w:tcPr>
          <w:p>
            <w:r/>
            <w:r>
              <w:rPr>
                <w:rFonts w:ascii="Arial" w:hAnsi="Arial" w:cs="Arial"/>
                <w:b/>
                <w:i w:val="0"/>
                <w:color w:val="1B3A5C"/>
                <w:sz w:val="18"/>
              </w:rPr>
              <w:t>Prepared by</w:t>
            </w:r>
          </w:p>
        </w:tc>
        <w:tc>
          <w:tcPr>
            <w:tcW w:type="dxa" w:w="4464"/>
            <w:shd w:val="clear" w:color="auto" w:fill="FFFFFF"/>
            <w:tcBorders>
              <w:top w:val="single" w:sz="4" w:color="BFBFBF"/>
              <w:left w:val="single" w:sz="4" w:color="BFBFBF"/>
              <w:bottom w:val="single" w:sz="4" w:color="BFBFBF"/>
              <w:right w:val="single" w:sz="4" w:color="BFBFBF"/>
            </w:tcBorders>
          </w:tcPr>
          <w:p>
            <w:r/>
            <w:r>
              <w:rPr>
                <w:rFonts w:ascii="Arial" w:hAnsi="Arial" w:cs="Arial"/>
                <w:b w:val="0"/>
                <w:i w:val="0"/>
                <w:color w:val="2C3E50"/>
                <w:sz w:val="18"/>
              </w:rPr>
              <w:t>Ashish Kumar Satyam  ·  TechDigital WishTree</w:t>
            </w:r>
          </w:p>
        </w:tc>
      </w:tr>
      <w:tr>
        <w:tc>
          <w:tcPr>
            <w:tcW w:type="dxa" w:w="3024"/>
            <w:shd w:val="clear" w:color="auto" w:fill="F8F9FA"/>
            <w:tcBorders>
              <w:top w:val="single" w:sz="4" w:color="BFBFBF"/>
              <w:left w:val="single" w:sz="4" w:color="BFBFBF"/>
              <w:bottom w:val="single" w:sz="4" w:color="BFBFBF"/>
              <w:right w:val="single" w:sz="4" w:color="BFBFBF"/>
            </w:tcBorders>
          </w:tcPr>
          <w:p>
            <w:r/>
            <w:r>
              <w:rPr>
                <w:rFonts w:ascii="Arial" w:hAnsi="Arial" w:cs="Arial"/>
                <w:b/>
                <w:i w:val="0"/>
                <w:color w:val="1B3A5C"/>
                <w:sz w:val="18"/>
              </w:rPr>
              <w:t>Prepared for</w:t>
            </w:r>
          </w:p>
        </w:tc>
        <w:tc>
          <w:tcPr>
            <w:tcW w:type="dxa" w:w="4464"/>
            <w:shd w:val="clear" w:color="auto" w:fill="F8F9FA"/>
            <w:tcBorders>
              <w:top w:val="single" w:sz="4" w:color="BFBFBF"/>
              <w:left w:val="single" w:sz="4" w:color="BFBFBF"/>
              <w:bottom w:val="single" w:sz="4" w:color="BFBFBF"/>
              <w:right w:val="single" w:sz="4" w:color="BFBFBF"/>
            </w:tcBorders>
          </w:tcPr>
          <w:p>
            <w:r/>
            <w:r>
              <w:rPr>
                <w:rFonts w:ascii="Arial" w:hAnsi="Arial" w:cs="Arial"/>
                <w:b w:val="0"/>
                <w:i w:val="0"/>
                <w:color w:val="2C3E50"/>
                <w:sz w:val="18"/>
              </w:rPr>
              <w:t>The Policy Exchange</w:t>
            </w:r>
          </w:p>
        </w:tc>
      </w:tr>
      <w:tr>
        <w:tc>
          <w:tcPr>
            <w:tcW w:type="dxa" w:w="3024"/>
            <w:shd w:val="clear" w:color="auto" w:fill="FFFFFF"/>
            <w:tcBorders>
              <w:top w:val="single" w:sz="4" w:color="BFBFBF"/>
              <w:left w:val="single" w:sz="4" w:color="BFBFBF"/>
              <w:bottom w:val="single" w:sz="4" w:color="BFBFBF"/>
              <w:right w:val="single" w:sz="4" w:color="BFBFBF"/>
            </w:tcBorders>
          </w:tcPr>
          <w:p>
            <w:r/>
            <w:r>
              <w:rPr>
                <w:rFonts w:ascii="Arial" w:hAnsi="Arial" w:cs="Arial"/>
                <w:b/>
                <w:i w:val="0"/>
                <w:color w:val="1B3A5C"/>
                <w:sz w:val="18"/>
              </w:rPr>
              <w:t>Audience</w:t>
            </w:r>
          </w:p>
        </w:tc>
        <w:tc>
          <w:tcPr>
            <w:tcW w:type="dxa" w:w="4464"/>
            <w:shd w:val="clear" w:color="auto" w:fill="FFFFFF"/>
            <w:tcBorders>
              <w:top w:val="single" w:sz="4" w:color="BFBFBF"/>
              <w:left w:val="single" w:sz="4" w:color="BFBFBF"/>
              <w:bottom w:val="single" w:sz="4" w:color="BFBFBF"/>
              <w:right w:val="single" w:sz="4" w:color="BFBFBF"/>
            </w:tcBorders>
          </w:tcPr>
          <w:p>
            <w:r/>
            <w:r>
              <w:rPr>
                <w:rFonts w:ascii="Arial" w:hAnsi="Arial" w:cs="Arial"/>
                <w:b w:val="0"/>
                <w:i w:val="0"/>
                <w:color w:val="2C3E50"/>
                <w:sz w:val="18"/>
              </w:rPr>
              <w:t>Stakeholders, leadership, audit committee</w:t>
            </w:r>
          </w:p>
        </w:tc>
      </w:tr>
      <w:tr>
        <w:tc>
          <w:tcPr>
            <w:tcW w:type="dxa" w:w="3024"/>
            <w:shd w:val="clear" w:color="auto" w:fill="F8F9FA"/>
            <w:tcBorders>
              <w:top w:val="single" w:sz="4" w:color="BFBFBF"/>
              <w:left w:val="single" w:sz="4" w:color="BFBFBF"/>
              <w:bottom w:val="single" w:sz="4" w:color="BFBFBF"/>
              <w:right w:val="single" w:sz="4" w:color="BFBFBF"/>
            </w:tcBorders>
          </w:tcPr>
          <w:p>
            <w:r/>
            <w:r>
              <w:rPr>
                <w:rFonts w:ascii="Arial" w:hAnsi="Arial" w:cs="Arial"/>
                <w:b/>
                <w:i w:val="0"/>
                <w:color w:val="1B3A5C"/>
                <w:sz w:val="18"/>
              </w:rPr>
              <w:t>Classification</w:t>
            </w:r>
          </w:p>
        </w:tc>
        <w:tc>
          <w:tcPr>
            <w:tcW w:type="dxa" w:w="4464"/>
            <w:shd w:val="clear" w:color="auto" w:fill="F8F9FA"/>
            <w:tcBorders>
              <w:top w:val="single" w:sz="4" w:color="BFBFBF"/>
              <w:left w:val="single" w:sz="4" w:color="BFBFBF"/>
              <w:bottom w:val="single" w:sz="4" w:color="BFBFBF"/>
              <w:right w:val="single" w:sz="4" w:color="BFBFBF"/>
            </w:tcBorders>
          </w:tcPr>
          <w:p>
            <w:r/>
            <w:r>
              <w:rPr>
                <w:rFonts w:ascii="Arial" w:hAnsi="Arial" w:cs="Arial"/>
                <w:b w:val="0"/>
                <w:i w:val="0"/>
                <w:color w:val="2C3E50"/>
                <w:sz w:val="18"/>
              </w:rPr>
              <w:t>Internal / Confidential</w:t>
            </w:r>
          </w:p>
        </w:tc>
      </w:tr>
      <w:tr>
        <w:tc>
          <w:tcPr>
            <w:tcW w:type="dxa" w:w="3024"/>
            <w:shd w:val="clear" w:color="auto" w:fill="FFFFFF"/>
            <w:tcBorders>
              <w:top w:val="single" w:sz="4" w:color="BFBFBF"/>
              <w:left w:val="single" w:sz="4" w:color="BFBFBF"/>
              <w:bottom w:val="single" w:sz="4" w:color="BFBFBF"/>
              <w:right w:val="single" w:sz="4" w:color="BFBFBF"/>
            </w:tcBorders>
          </w:tcPr>
          <w:p>
            <w:r/>
            <w:r>
              <w:rPr>
                <w:rFonts w:ascii="Arial" w:hAnsi="Arial" w:cs="Arial"/>
                <w:b/>
                <w:i w:val="0"/>
                <w:color w:val="1B3A5C"/>
                <w:sz w:val="18"/>
              </w:rPr>
              <w:t>Review cycle</w:t>
            </w:r>
          </w:p>
        </w:tc>
        <w:tc>
          <w:tcPr>
            <w:tcW w:type="dxa" w:w="4464"/>
            <w:shd w:val="clear" w:color="auto" w:fill="FFFFFF"/>
            <w:tcBorders>
              <w:top w:val="single" w:sz="4" w:color="BFBFBF"/>
              <w:left w:val="single" w:sz="4" w:color="BFBFBF"/>
              <w:bottom w:val="single" w:sz="4" w:color="BFBFBF"/>
              <w:right w:val="single" w:sz="4" w:color="BFBFBF"/>
            </w:tcBorders>
          </w:tcPr>
          <w:p>
            <w:r/>
            <w:r>
              <w:rPr>
                <w:rFonts w:ascii="Arial" w:hAnsi="Arial" w:cs="Arial"/>
                <w:b w:val="0"/>
                <w:i w:val="0"/>
                <w:color w:val="2C3E50"/>
                <w:sz w:val="18"/>
              </w:rPr>
              <w:t>Quarterly (next: Aug 2026)</w:t>
            </w:r>
          </w:p>
        </w:tc>
      </w:tr>
    </w:tbl>
    <w:p>
      <w:pPr>
        <w:spacing w:after="240" w:line="300" w:lineRule="auto"/>
        <w:jc w:val="left"/>
      </w:pPr>
    </w:p>
    <w:p>
      <w:pPr>
        <w:spacing w:after="80" w:line="300" w:lineRule="auto"/>
        <w:jc w:val="center"/>
      </w:pPr>
      <w:r>
        <w:rPr>
          <w:rFonts w:ascii="Arial" w:hAnsi="Arial" w:cs="Arial"/>
          <w:b/>
          <w:i w:val="0"/>
          <w:color w:val="E74C3C"/>
          <w:sz w:val="18"/>
        </w:rPr>
        <w:t>INTERNAL / CONFIDENTIAL — DO NOT REDISTRIBUTE</w:t>
      </w:r>
    </w:p>
    <w:p>
      <w:r>
        <w:br w:type="page"/>
      </w:r>
    </w:p>
    <w:p>
      <w:pPr>
        <w:spacing w:after="0"/>
      </w:pPr>
    </w:p>
    <w:p>
      <w:pPr>
        <w:spacing w:before="160" w:after="40"/>
      </w:pPr>
      <w:r>
        <w:rPr>
          <w:rFonts w:ascii="Arial" w:hAnsi="Arial" w:cs="Arial"/>
          <w:b/>
          <w:i w:val="0"/>
          <w:color w:val="2C3E50"/>
          <w:sz w:val="28"/>
        </w:rPr>
        <w:t>1.  Document Information</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tbl>
      <w:tblPr>
        <w:tblW w:type="dxa" w:w="9360"/>
        <w:jc w:val="left"/>
        <w:tblLayout w:type="fixed"/>
        <w:tblLook w:firstColumn="1" w:firstRow="1" w:lastColumn="0" w:lastRow="0" w:noHBand="0" w:noVBand="1" w:val="04A0"/>
      </w:tblPr>
      <w:tblGrid>
        <w:gridCol w:w="2880"/>
        <w:gridCol w:w="6480"/>
      </w:tblGrid>
      <w:tr>
        <w:tc>
          <w:tcPr>
            <w:tcW w:type="dxa" w:w="288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Attribute</w:t>
            </w:r>
          </w:p>
        </w:tc>
        <w:tc>
          <w:tcPr>
            <w:tcW w:type="dxa" w:w="648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Value</w:t>
            </w:r>
          </w:p>
        </w:tc>
      </w:tr>
      <w:tr>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Document name</w:t>
            </w:r>
          </w:p>
        </w:tc>
        <w:tc>
          <w:tcPr>
            <w:tcW w:type="dxa" w:w="64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TPE Communication System — Project Status Document</w:t>
            </w:r>
          </w:p>
        </w:tc>
      </w:tr>
      <w:tr>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Document ID</w:t>
            </w:r>
          </w:p>
        </w:tc>
        <w:tc>
          <w:tcPr>
            <w:tcW w:type="dxa" w:w="64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TPE-COMMS-STATUS-2026-002</w:t>
            </w:r>
          </w:p>
        </w:tc>
      </w:tr>
      <w:tr>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Version</w:t>
            </w:r>
          </w:p>
        </w:tc>
        <w:tc>
          <w:tcPr>
            <w:tcW w:type="dxa" w:w="64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2.0</w:t>
            </w:r>
          </w:p>
        </w:tc>
      </w:tr>
      <w:tr>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Date issued</w:t>
            </w:r>
          </w:p>
        </w:tc>
        <w:tc>
          <w:tcPr>
            <w:tcW w:type="dxa" w:w="64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01 May 2026</w:t>
            </w:r>
          </w:p>
        </w:tc>
      </w:tr>
      <w:tr>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Owner</w:t>
            </w:r>
          </w:p>
        </w:tc>
        <w:tc>
          <w:tcPr>
            <w:tcW w:type="dxa" w:w="64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Ashish Kumar Satyam, TechDigital WishTree</w:t>
            </w:r>
          </w:p>
        </w:tc>
      </w:tr>
      <w:tr>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For</w:t>
            </w:r>
          </w:p>
        </w:tc>
        <w:tc>
          <w:tcPr>
            <w:tcW w:type="dxa" w:w="64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The Policy Exchange (Fairvalue Insuretech Pvt. Ltd.)</w:t>
            </w:r>
          </w:p>
        </w:tc>
      </w:tr>
      <w:tr>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Stakeholders</w:t>
            </w:r>
          </w:p>
        </w:tc>
        <w:tc>
          <w:tcPr>
            <w:tcW w:type="dxa" w:w="64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CTO, Compliance Lead, Engineering Lead, CX Lead, Operations Lead, Infrastructure Lead, Quality Lead</w:t>
            </w:r>
          </w:p>
        </w:tc>
      </w:tr>
      <w:tr>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Classification</w:t>
            </w:r>
          </w:p>
        </w:tc>
        <w:tc>
          <w:tcPr>
            <w:tcW w:type="dxa" w:w="64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Internal / Confidential</w:t>
            </w:r>
          </w:p>
        </w:tc>
      </w:tr>
      <w:tr>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Distribution</w:t>
            </w:r>
          </w:p>
        </w:tc>
        <w:tc>
          <w:tcPr>
            <w:tcW w:type="dxa" w:w="64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Project Owner + named stakeholders only</w:t>
            </w:r>
          </w:p>
        </w:tc>
      </w:tr>
      <w:tr>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Approval required</w:t>
            </w:r>
          </w:p>
        </w:tc>
        <w:tc>
          <w:tcPr>
            <w:tcW w:type="dxa" w:w="64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Project Owner (CTO) sign-off before next phase kickoff</w:t>
            </w:r>
          </w:p>
        </w:tc>
      </w:tr>
    </w:tbl>
    <w:p>
      <w:pPr>
        <w:spacing w:after="0"/>
      </w:pPr>
    </w:p>
    <w:p>
      <w:pPr>
        <w:spacing w:before="160" w:after="40"/>
      </w:pPr>
      <w:r>
        <w:rPr>
          <w:rFonts w:ascii="Arial" w:hAnsi="Arial" w:cs="Arial"/>
          <w:b/>
          <w:i w:val="0"/>
          <w:color w:val="2C3E50"/>
          <w:sz w:val="28"/>
        </w:rPr>
        <w:t>2.  Version History</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tbl>
      <w:tblPr>
        <w:tblW w:type="dxa" w:w="9360"/>
        <w:jc w:val="left"/>
        <w:tblLayout w:type="fixed"/>
        <w:tblLook w:firstColumn="1" w:firstRow="1" w:lastColumn="0" w:lastRow="0" w:noHBand="0" w:noVBand="1" w:val="04A0"/>
      </w:tblPr>
      <w:tblGrid>
        <w:gridCol w:w="1152"/>
        <w:gridCol w:w="1440"/>
        <w:gridCol w:w="1872"/>
        <w:gridCol w:w="4896"/>
      </w:tblGrid>
      <w:tr>
        <w:tc>
          <w:tcPr>
            <w:tcW w:type="dxa" w:w="115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Version</w:t>
            </w:r>
          </w:p>
        </w:tc>
        <w:tc>
          <w:tcPr>
            <w:tcW w:type="dxa" w:w="144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Date</w:t>
            </w:r>
          </w:p>
        </w:tc>
        <w:tc>
          <w:tcPr>
            <w:tcW w:type="dxa" w:w="187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Author</w:t>
            </w:r>
          </w:p>
        </w:tc>
        <w:tc>
          <w:tcPr>
            <w:tcW w:type="dxa" w:w="4896"/>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Changes</w:t>
            </w:r>
          </w:p>
        </w:tc>
      </w:tr>
      <w:tr>
        <w:tc>
          <w:tcPr>
            <w:tcW w:type="dxa" w:w="115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1.0</w:t>
            </w:r>
          </w:p>
        </w:tc>
        <w:tc>
          <w:tcPr>
            <w:tcW w:type="dxa" w:w="14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27 Apr 2026</w:t>
            </w:r>
          </w:p>
        </w:tc>
        <w:tc>
          <w:tcPr>
            <w:tcW w:type="dxa" w:w="187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Ashish Kumar Satyam</w:t>
            </w:r>
          </w:p>
        </w:tc>
        <w:tc>
          <w:tcPr>
            <w:tcW w:type="dxa" w:w="489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Initial status report — pre-pivot. Captured Phase 1 plan + Charter alignment.</w:t>
            </w:r>
          </w:p>
        </w:tc>
      </w:tr>
      <w:tr>
        <w:tc>
          <w:tcPr>
            <w:tcW w:type="dxa" w:w="11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1.5</w:t>
            </w:r>
          </w:p>
        </w:tc>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30 Apr 2026</w:t>
            </w:r>
          </w:p>
        </w:tc>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Ashish Kumar Satyam</w:t>
            </w:r>
          </w:p>
        </w:tc>
        <w:tc>
          <w:tcPr>
            <w:tcW w:type="dxa" w:w="48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Mid-pivot interim — sandbox 3.15 deployed alongside live 2.3.0 for evaluation.</w:t>
            </w:r>
          </w:p>
        </w:tc>
      </w:tr>
      <w:tr>
        <w:tc>
          <w:tcPr>
            <w:tcW w:type="dxa" w:w="115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2.0</w:t>
            </w:r>
          </w:p>
        </w:tc>
        <w:tc>
          <w:tcPr>
            <w:tcW w:type="dxa" w:w="14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01 May 2026</w:t>
            </w:r>
          </w:p>
        </w:tc>
        <w:tc>
          <w:tcPr>
            <w:tcW w:type="dxa" w:w="187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Ashish Kumar Satyam</w:t>
            </w:r>
          </w:p>
        </w:tc>
        <w:tc>
          <w:tcPr>
            <w:tcW w:type="dxa" w:w="489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Post-pivot — sandbox 3.15 promoted to primary, TPE Admin sunsetted, 17 Charter workflows operational on sandbox with end-to-end MSG91+ICPaaS verified.</w:t>
            </w:r>
          </w:p>
        </w:tc>
      </w:tr>
    </w:tbl>
    <w:p>
      <w:pPr>
        <w:spacing w:after="0"/>
      </w:pPr>
    </w:p>
    <w:p>
      <w:pPr>
        <w:spacing w:before="160" w:after="40"/>
      </w:pPr>
      <w:r>
        <w:rPr>
          <w:rFonts w:ascii="Arial" w:hAnsi="Arial" w:cs="Arial"/>
          <w:b/>
          <w:i w:val="0"/>
          <w:color w:val="2C3E50"/>
          <w:sz w:val="28"/>
        </w:rPr>
        <w:t>3.  Executive Summary</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p>
      <w:pPr>
        <w:spacing w:after="160" w:line="300" w:lineRule="auto"/>
        <w:jc w:val="left"/>
      </w:pPr>
      <w:r>
        <w:rPr>
          <w:rFonts w:ascii="Arial" w:hAnsi="Arial" w:cs="Arial"/>
          <w:b w:val="0"/>
          <w:i w:val="0"/>
          <w:color w:val="2C3E50"/>
          <w:sz w:val="20"/>
        </w:rPr>
        <w:t>The TPE Communication System completed its Phase 1 architectural pivot on 2026-05-01. The Novu Community Edition 3.15.0 sandbox dashboard at port 8080 is now the canonical operator surface for the operations team, replacing the custom-built TPE Admin Next.js application that was originally planned. The pivot was driven by the team's preference for the standard Novu UI over the custom admin ("we have to use the novu FE") and was executed without disruption to the live 2.3.0 stack, which remains running for redundancy.</w:t>
      </w:r>
    </w:p>
    <w:p>
      <w:pPr>
        <w:spacing w:after="160" w:line="300" w:lineRule="auto"/>
        <w:jc w:val="left"/>
      </w:pPr>
      <w:r>
        <w:rPr>
          <w:rFonts w:ascii="Arial" w:hAnsi="Arial" w:cs="Arial"/>
          <w:b w:val="0"/>
          <w:i w:val="0"/>
          <w:color w:val="2C3E50"/>
          <w:sz w:val="20"/>
        </w:rPr>
        <w:t>Operationally, 17 of 49 Charter §4.3 lifecycle workflows are now live on the sandbox 3.15 stack with end-to-end MSG91 SMS + ICPaaS WhatsApp dispatch verified via the PH-02 OTP smoke trigger (transactionId txn_69f458d8shgs5i2ntcjh, MSG91 v5/Flow HTTP 200, ICPaaS wamid issued). The remaining 32 workflows are pending Phase 2-3 implementation by the engineering team.</w:t>
      </w:r>
    </w:p>
    <w:p>
      <w:pPr>
        <w:spacing w:after="160" w:line="300" w:lineRule="auto"/>
        <w:jc w:val="left"/>
      </w:pPr>
      <w:r>
        <w:rPr>
          <w:rFonts w:ascii="Arial" w:hAnsi="Arial" w:cs="Arial"/>
          <w:b w:val="0"/>
          <w:i w:val="0"/>
          <w:color w:val="2C3E50"/>
          <w:sz w:val="20"/>
        </w:rPr>
        <w:t>The architectural rule established at this pivot — code-first authoring only, no Studio UI workflow creation — closes a compliance gap: every workflow change now flows through GitHub PR review, which keeps the Charter §E1 mandate ("all 49 lifecycle triggers live as Novu workflows in production, versioned in source control, pass compliance middleware CI gate, reviewable by CX/Compliance leads before merge") achievable in practice. Three open risks require leadership attention: (1) leaked private keys in a sister repository discovered during this session's audit, (2) MSG91 single-vendor concentration risk for SMS, and (3) email channel deferred indefinitely pending SES provisioning decision.</w:t>
      </w:r>
    </w:p>
    <w:p>
      <w:pPr>
        <w:spacing w:after="0"/>
      </w:pPr>
    </w:p>
    <w:p>
      <w:pPr>
        <w:spacing w:before="160" w:after="40"/>
      </w:pPr>
      <w:r>
        <w:rPr>
          <w:rFonts w:ascii="Arial" w:hAnsi="Arial" w:cs="Arial"/>
          <w:b/>
          <w:i w:val="0"/>
          <w:color w:val="2C3E50"/>
          <w:sz w:val="28"/>
        </w:rPr>
        <w:t>4.  Dashboard View</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p>
      <w:pPr>
        <w:spacing w:after="120" w:line="300" w:lineRule="auto"/>
        <w:jc w:val="left"/>
      </w:pPr>
      <w:r>
        <w:rPr>
          <w:rFonts w:ascii="Arial" w:hAnsi="Arial" w:cs="Arial"/>
          <w:b w:val="0"/>
          <w:i w:val="0"/>
          <w:color w:val="2C3E50"/>
          <w:sz w:val="20"/>
        </w:rPr>
        <w:t>Headline status across project areas:</w:t>
      </w:r>
    </w:p>
    <w:tbl>
      <w:tblPr>
        <w:tblW w:type="dxa" w:w="9360"/>
        <w:tblLayout w:type="fixed"/>
        <w:tblLook w:firstColumn="1" w:firstRow="1" w:lastColumn="0" w:lastRow="0" w:noHBand="0" w:noVBand="1" w:val="04A0"/>
      </w:tblPr>
      <w:tblGrid>
        <w:gridCol w:w="4320"/>
        <w:gridCol w:w="5040"/>
      </w:tblGrid>
      <w:tr>
        <w:tc>
          <w:tcPr>
            <w:tcW w:type="dxa" w:w="4320"/>
            <w:shd w:val="clear" w:color="auto" w:fill="F8F9FA"/>
            <w:tcBorders>
              <w:top w:val="single" w:sz="4" w:color="BFBFBF"/>
              <w:left w:val="single" w:sz="4" w:color="BFBFBF"/>
              <w:bottom w:val="single" w:sz="4" w:color="BFBFBF"/>
              <w:right w:val="single" w:sz="4" w:color="BFBFBF"/>
            </w:tcBorders>
          </w:tcPr>
          <w:p>
            <w:r>
              <w:rPr>
                <w:rFonts w:ascii="Arial" w:hAnsi="Arial" w:cs="Arial"/>
                <w:b/>
                <w:i w:val="0"/>
                <w:color w:val="2C3E50"/>
                <w:sz w:val="18"/>
              </w:rPr>
            </w:r>
            <w:r>
              <w:t>Workflow delivery (17/49)</w:t>
            </w:r>
          </w:p>
        </w:tc>
        <w:tc>
          <w:tcPr>
            <w:tcW w:type="dxa" w:w="5040"/>
            <w:shd w:val="clear" w:color="auto" w:fill="E8F5E9"/>
            <w:tcBorders>
              <w:top w:val="single" w:sz="4" w:color="BFBFBF"/>
              <w:left w:val="single" w:sz="4" w:color="BFBFBF"/>
              <w:bottom w:val="single" w:sz="4" w:color="BFBFBF"/>
              <w:right w:val="single" w:sz="4" w:color="BFBFBF"/>
            </w:tcBorders>
          </w:tcPr>
          <w:p>
            <w:r/>
            <w:r>
              <w:rPr>
                <w:rFonts w:ascii="Arial" w:hAnsi="Arial" w:cs="Arial"/>
                <w:b/>
                <w:i w:val="0"/>
                <w:color w:val="27AE60"/>
                <w:sz w:val="18"/>
              </w:rPr>
              <w:t>●  On track for Phase 1</w:t>
            </w:r>
          </w:p>
        </w:tc>
      </w:tr>
      <w:tr>
        <w:tc>
          <w:tcPr>
            <w:tcW w:type="dxa" w:w="4320"/>
            <w:shd w:val="clear" w:color="auto" w:fill="FFFFFF"/>
            <w:tcBorders>
              <w:top w:val="single" w:sz="4" w:color="BFBFBF"/>
              <w:left w:val="single" w:sz="4" w:color="BFBFBF"/>
              <w:bottom w:val="single" w:sz="4" w:color="BFBFBF"/>
              <w:right w:val="single" w:sz="4" w:color="BFBFBF"/>
            </w:tcBorders>
          </w:tcPr>
          <w:p>
            <w:r>
              <w:rPr>
                <w:rFonts w:ascii="Arial" w:hAnsi="Arial" w:cs="Arial"/>
                <w:b/>
                <w:i w:val="0"/>
                <w:color w:val="2C3E50"/>
                <w:sz w:val="18"/>
              </w:rPr>
            </w:r>
            <w:r>
              <w:t>Sandbox 3.15 stack stability</w:t>
            </w:r>
          </w:p>
        </w:tc>
        <w:tc>
          <w:tcPr>
            <w:tcW w:type="dxa" w:w="5040"/>
            <w:shd w:val="clear" w:color="auto" w:fill="E8F5E9"/>
            <w:tcBorders>
              <w:top w:val="single" w:sz="4" w:color="BFBFBF"/>
              <w:left w:val="single" w:sz="4" w:color="BFBFBF"/>
              <w:bottom w:val="single" w:sz="4" w:color="BFBFBF"/>
              <w:right w:val="single" w:sz="4" w:color="BFBFBF"/>
            </w:tcBorders>
          </w:tcPr>
          <w:p>
            <w:r/>
            <w:r>
              <w:rPr>
                <w:rFonts w:ascii="Arial" w:hAnsi="Arial" w:cs="Arial"/>
                <w:b/>
                <w:i w:val="0"/>
                <w:color w:val="27AE60"/>
                <w:sz w:val="18"/>
              </w:rPr>
              <w:t>●  Stable, all containers healthy</w:t>
            </w:r>
          </w:p>
        </w:tc>
      </w:tr>
      <w:tr>
        <w:tc>
          <w:tcPr>
            <w:tcW w:type="dxa" w:w="4320"/>
            <w:shd w:val="clear" w:color="auto" w:fill="F8F9FA"/>
            <w:tcBorders>
              <w:top w:val="single" w:sz="4" w:color="BFBFBF"/>
              <w:left w:val="single" w:sz="4" w:color="BFBFBF"/>
              <w:bottom w:val="single" w:sz="4" w:color="BFBFBF"/>
              <w:right w:val="single" w:sz="4" w:color="BFBFBF"/>
            </w:tcBorders>
          </w:tcPr>
          <w:p>
            <w:r>
              <w:rPr>
                <w:rFonts w:ascii="Arial" w:hAnsi="Arial" w:cs="Arial"/>
                <w:b/>
                <w:i w:val="0"/>
                <w:color w:val="2C3E50"/>
                <w:sz w:val="18"/>
              </w:rPr>
            </w:r>
            <w:r>
              <w:t>Live 2.3.0 stack</w:t>
            </w:r>
          </w:p>
        </w:tc>
        <w:tc>
          <w:tcPr>
            <w:tcW w:type="dxa" w:w="5040"/>
            <w:shd w:val="clear" w:color="auto" w:fill="F0F4F8"/>
            <w:tcBorders>
              <w:top w:val="single" w:sz="4" w:color="BFBFBF"/>
              <w:left w:val="single" w:sz="4" w:color="BFBFBF"/>
              <w:bottom w:val="single" w:sz="4" w:color="BFBFBF"/>
              <w:right w:val="single" w:sz="4" w:color="BFBFBF"/>
            </w:tcBorders>
          </w:tcPr>
          <w:p>
            <w:r/>
            <w:r>
              <w:rPr>
                <w:rFonts w:ascii="Arial" w:hAnsi="Arial" w:cs="Arial"/>
                <w:b/>
                <w:i w:val="0"/>
                <w:color w:val="2E75B6"/>
                <w:sz w:val="18"/>
              </w:rPr>
              <w:t>●  Running, de-emphasised</w:t>
            </w:r>
          </w:p>
        </w:tc>
      </w:tr>
      <w:tr>
        <w:tc>
          <w:tcPr>
            <w:tcW w:type="dxa" w:w="4320"/>
            <w:shd w:val="clear" w:color="auto" w:fill="FFFFFF"/>
            <w:tcBorders>
              <w:top w:val="single" w:sz="4" w:color="BFBFBF"/>
              <w:left w:val="single" w:sz="4" w:color="BFBFBF"/>
              <w:bottom w:val="single" w:sz="4" w:color="BFBFBF"/>
              <w:right w:val="single" w:sz="4" w:color="BFBFBF"/>
            </w:tcBorders>
          </w:tcPr>
          <w:p>
            <w:r>
              <w:rPr>
                <w:rFonts w:ascii="Arial" w:hAnsi="Arial" w:cs="Arial"/>
                <w:b/>
                <w:i w:val="0"/>
                <w:color w:val="2C3E50"/>
                <w:sz w:val="18"/>
              </w:rPr>
            </w:r>
            <w:r>
              <w:t>Code-first authoring rule</w:t>
            </w:r>
          </w:p>
        </w:tc>
        <w:tc>
          <w:tcPr>
            <w:tcW w:type="dxa" w:w="5040"/>
            <w:shd w:val="clear" w:color="auto" w:fill="E8F5E9"/>
            <w:tcBorders>
              <w:top w:val="single" w:sz="4" w:color="BFBFBF"/>
              <w:left w:val="single" w:sz="4" w:color="BFBFBF"/>
              <w:bottom w:val="single" w:sz="4" w:color="BFBFBF"/>
              <w:right w:val="single" w:sz="4" w:color="BFBFBF"/>
            </w:tcBorders>
          </w:tcPr>
          <w:p>
            <w:r/>
            <w:r>
              <w:rPr>
                <w:rFonts w:ascii="Arial" w:hAnsi="Arial" w:cs="Arial"/>
                <w:b/>
                <w:i w:val="0"/>
                <w:color w:val="27AE60"/>
                <w:sz w:val="18"/>
              </w:rPr>
              <w:t>●  Established, enforced</w:t>
            </w:r>
          </w:p>
        </w:tc>
      </w:tr>
      <w:tr>
        <w:tc>
          <w:tcPr>
            <w:tcW w:type="dxa" w:w="4320"/>
            <w:shd w:val="clear" w:color="auto" w:fill="F8F9FA"/>
            <w:tcBorders>
              <w:top w:val="single" w:sz="4" w:color="BFBFBF"/>
              <w:left w:val="single" w:sz="4" w:color="BFBFBF"/>
              <w:bottom w:val="single" w:sz="4" w:color="BFBFBF"/>
              <w:right w:val="single" w:sz="4" w:color="BFBFBF"/>
            </w:tcBorders>
          </w:tcPr>
          <w:p>
            <w:r>
              <w:rPr>
                <w:rFonts w:ascii="Arial" w:hAnsi="Arial" w:cs="Arial"/>
                <w:b/>
                <w:i w:val="0"/>
                <w:color w:val="2C3E50"/>
                <w:sz w:val="18"/>
              </w:rPr>
            </w:r>
            <w:r>
              <w:t>MSG91 SMS dispatch</w:t>
            </w:r>
          </w:p>
        </w:tc>
        <w:tc>
          <w:tcPr>
            <w:tcW w:type="dxa" w:w="5040"/>
            <w:shd w:val="clear" w:color="auto" w:fill="E8F5E9"/>
            <w:tcBorders>
              <w:top w:val="single" w:sz="4" w:color="BFBFBF"/>
              <w:left w:val="single" w:sz="4" w:color="BFBFBF"/>
              <w:bottom w:val="single" w:sz="4" w:color="BFBFBF"/>
              <w:right w:val="single" w:sz="4" w:color="BFBFBF"/>
            </w:tcBorders>
          </w:tcPr>
          <w:p>
            <w:r/>
            <w:r>
              <w:rPr>
                <w:rFonts w:ascii="Arial" w:hAnsi="Arial" w:cs="Arial"/>
                <w:b/>
                <w:i w:val="0"/>
                <w:color w:val="27AE60"/>
                <w:sz w:val="18"/>
              </w:rPr>
              <w:t>●  Verified end-to-end</w:t>
            </w:r>
          </w:p>
        </w:tc>
      </w:tr>
      <w:tr>
        <w:tc>
          <w:tcPr>
            <w:tcW w:type="dxa" w:w="4320"/>
            <w:shd w:val="clear" w:color="auto" w:fill="FFFFFF"/>
            <w:tcBorders>
              <w:top w:val="single" w:sz="4" w:color="BFBFBF"/>
              <w:left w:val="single" w:sz="4" w:color="BFBFBF"/>
              <w:bottom w:val="single" w:sz="4" w:color="BFBFBF"/>
              <w:right w:val="single" w:sz="4" w:color="BFBFBF"/>
            </w:tcBorders>
          </w:tcPr>
          <w:p>
            <w:r>
              <w:rPr>
                <w:rFonts w:ascii="Arial" w:hAnsi="Arial" w:cs="Arial"/>
                <w:b/>
                <w:i w:val="0"/>
                <w:color w:val="2C3E50"/>
                <w:sz w:val="18"/>
              </w:rPr>
            </w:r>
            <w:r>
              <w:t>ICPaaS WhatsApp dispatch</w:t>
            </w:r>
          </w:p>
        </w:tc>
        <w:tc>
          <w:tcPr>
            <w:tcW w:type="dxa" w:w="5040"/>
            <w:shd w:val="clear" w:color="auto" w:fill="E8F5E9"/>
            <w:tcBorders>
              <w:top w:val="single" w:sz="4" w:color="BFBFBF"/>
              <w:left w:val="single" w:sz="4" w:color="BFBFBF"/>
              <w:bottom w:val="single" w:sz="4" w:color="BFBFBF"/>
              <w:right w:val="single" w:sz="4" w:color="BFBFBF"/>
            </w:tcBorders>
          </w:tcPr>
          <w:p>
            <w:r/>
            <w:r>
              <w:rPr>
                <w:rFonts w:ascii="Arial" w:hAnsi="Arial" w:cs="Arial"/>
                <w:b/>
                <w:i w:val="0"/>
                <w:color w:val="27AE60"/>
                <w:sz w:val="18"/>
              </w:rPr>
              <w:t>●  Verified end-to-end</w:t>
            </w:r>
          </w:p>
        </w:tc>
      </w:tr>
      <w:tr>
        <w:tc>
          <w:tcPr>
            <w:tcW w:type="dxa" w:w="4320"/>
            <w:shd w:val="clear" w:color="auto" w:fill="F8F9FA"/>
            <w:tcBorders>
              <w:top w:val="single" w:sz="4" w:color="BFBFBF"/>
              <w:left w:val="single" w:sz="4" w:color="BFBFBF"/>
              <w:bottom w:val="single" w:sz="4" w:color="BFBFBF"/>
              <w:right w:val="single" w:sz="4" w:color="BFBFBF"/>
            </w:tcBorders>
          </w:tcPr>
          <w:p>
            <w:r>
              <w:rPr>
                <w:rFonts w:ascii="Arial" w:hAnsi="Arial" w:cs="Arial"/>
                <w:b/>
                <w:i w:val="0"/>
                <w:color w:val="2C3E50"/>
                <w:sz w:val="18"/>
              </w:rPr>
            </w:r>
            <w:r>
              <w:t>Email channel (SES)</w:t>
            </w:r>
          </w:p>
        </w:tc>
        <w:tc>
          <w:tcPr>
            <w:tcW w:type="dxa" w:w="5040"/>
            <w:shd w:val="clear" w:color="auto" w:fill="FFF8E1"/>
            <w:tcBorders>
              <w:top w:val="single" w:sz="4" w:color="BFBFBF"/>
              <w:left w:val="single" w:sz="4" w:color="BFBFBF"/>
              <w:bottom w:val="single" w:sz="4" w:color="BFBFBF"/>
              <w:right w:val="single" w:sz="4" w:color="BFBFBF"/>
            </w:tcBorders>
          </w:tcPr>
          <w:p>
            <w:r/>
            <w:r>
              <w:rPr>
                <w:rFonts w:ascii="Arial" w:hAnsi="Arial" w:cs="Arial"/>
                <w:b/>
                <w:i w:val="0"/>
                <w:color w:val="E67E22"/>
                <w:sz w:val="18"/>
              </w:rPr>
              <w:t>●  Deferred — not configured</w:t>
            </w:r>
          </w:p>
        </w:tc>
      </w:tr>
      <w:tr>
        <w:tc>
          <w:tcPr>
            <w:tcW w:type="dxa" w:w="4320"/>
            <w:shd w:val="clear" w:color="auto" w:fill="FFFFFF"/>
            <w:tcBorders>
              <w:top w:val="single" w:sz="4" w:color="BFBFBF"/>
              <w:left w:val="single" w:sz="4" w:color="BFBFBF"/>
              <w:bottom w:val="single" w:sz="4" w:color="BFBFBF"/>
              <w:right w:val="single" w:sz="4" w:color="BFBFBF"/>
            </w:tcBorders>
          </w:tcPr>
          <w:p>
            <w:r>
              <w:rPr>
                <w:rFonts w:ascii="Arial" w:hAnsi="Arial" w:cs="Arial"/>
                <w:b/>
                <w:i w:val="0"/>
                <w:color w:val="2C3E50"/>
                <w:sz w:val="18"/>
              </w:rPr>
            </w:r>
            <w:r>
              <w:t>Push channel (FCM/APNs)</w:t>
            </w:r>
          </w:p>
        </w:tc>
        <w:tc>
          <w:tcPr>
            <w:tcW w:type="dxa" w:w="5040"/>
            <w:shd w:val="clear" w:color="auto" w:fill="FFF8E1"/>
            <w:tcBorders>
              <w:top w:val="single" w:sz="4" w:color="BFBFBF"/>
              <w:left w:val="single" w:sz="4" w:color="BFBFBF"/>
              <w:bottom w:val="single" w:sz="4" w:color="BFBFBF"/>
              <w:right w:val="single" w:sz="4" w:color="BFBFBF"/>
            </w:tcBorders>
          </w:tcPr>
          <w:p>
            <w:r/>
            <w:r>
              <w:rPr>
                <w:rFonts w:ascii="Arial" w:hAnsi="Arial" w:cs="Arial"/>
                <w:b/>
                <w:i w:val="0"/>
                <w:color w:val="E67E22"/>
                <w:sz w:val="18"/>
              </w:rPr>
              <w:t>●  Out of Phase 1 scope</w:t>
            </w:r>
          </w:p>
        </w:tc>
      </w:tr>
      <w:tr>
        <w:tc>
          <w:tcPr>
            <w:tcW w:type="dxa" w:w="4320"/>
            <w:shd w:val="clear" w:color="auto" w:fill="F8F9FA"/>
            <w:tcBorders>
              <w:top w:val="single" w:sz="4" w:color="BFBFBF"/>
              <w:left w:val="single" w:sz="4" w:color="BFBFBF"/>
              <w:bottom w:val="single" w:sz="4" w:color="BFBFBF"/>
              <w:right w:val="single" w:sz="4" w:color="BFBFBF"/>
            </w:tcBorders>
          </w:tcPr>
          <w:p>
            <w:r>
              <w:rPr>
                <w:rFonts w:ascii="Arial" w:hAnsi="Arial" w:cs="Arial"/>
                <w:b/>
                <w:i w:val="0"/>
                <w:color w:val="2C3E50"/>
                <w:sz w:val="18"/>
              </w:rPr>
            </w:r>
            <w:r>
              <w:t>Compliance middleware lint</w:t>
            </w:r>
          </w:p>
        </w:tc>
        <w:tc>
          <w:tcPr>
            <w:tcW w:type="dxa" w:w="5040"/>
            <w:shd w:val="clear" w:color="auto" w:fill="E8F5E9"/>
            <w:tcBorders>
              <w:top w:val="single" w:sz="4" w:color="BFBFBF"/>
              <w:left w:val="single" w:sz="4" w:color="BFBFBF"/>
              <w:bottom w:val="single" w:sz="4" w:color="BFBFBF"/>
              <w:right w:val="single" w:sz="4" w:color="BFBFBF"/>
            </w:tcBorders>
          </w:tcPr>
          <w:p>
            <w:r/>
            <w:r>
              <w:rPr>
                <w:rFonts w:ascii="Arial" w:hAnsi="Arial" w:cs="Arial"/>
                <w:b/>
                <w:i w:val="0"/>
                <w:color w:val="27AE60"/>
                <w:sz w:val="18"/>
              </w:rPr>
              <w:t>●  ≥30 rules in CI gate</w:t>
            </w:r>
          </w:p>
        </w:tc>
      </w:tr>
      <w:tr>
        <w:tc>
          <w:tcPr>
            <w:tcW w:type="dxa" w:w="4320"/>
            <w:shd w:val="clear" w:color="auto" w:fill="FFFFFF"/>
            <w:tcBorders>
              <w:top w:val="single" w:sz="4" w:color="BFBFBF"/>
              <w:left w:val="single" w:sz="4" w:color="BFBFBF"/>
              <w:bottom w:val="single" w:sz="4" w:color="BFBFBF"/>
              <w:right w:val="single" w:sz="4" w:color="BFBFBF"/>
            </w:tcBorders>
          </w:tcPr>
          <w:p>
            <w:r>
              <w:rPr>
                <w:rFonts w:ascii="Arial" w:hAnsi="Arial" w:cs="Arial"/>
                <w:b/>
                <w:i w:val="0"/>
                <w:color w:val="2C3E50"/>
                <w:sz w:val="18"/>
              </w:rPr>
            </w:r>
            <w:r>
              <w:t>DLT template registration</w:t>
            </w:r>
          </w:p>
        </w:tc>
        <w:tc>
          <w:tcPr>
            <w:tcW w:type="dxa" w:w="5040"/>
            <w:shd w:val="clear" w:color="auto" w:fill="E8F5E9"/>
            <w:tcBorders>
              <w:top w:val="single" w:sz="4" w:color="BFBFBF"/>
              <w:left w:val="single" w:sz="4" w:color="BFBFBF"/>
              <w:bottom w:val="single" w:sz="4" w:color="BFBFBF"/>
              <w:right w:val="single" w:sz="4" w:color="BFBFBF"/>
            </w:tcBorders>
          </w:tcPr>
          <w:p>
            <w:r/>
            <w:r>
              <w:rPr>
                <w:rFonts w:ascii="Arial" w:hAnsi="Arial" w:cs="Arial"/>
                <w:b/>
                <w:i w:val="0"/>
                <w:color w:val="27AE60"/>
                <w:sz w:val="18"/>
              </w:rPr>
              <w:t>●  7 templates registered with MSG91</w:t>
            </w:r>
          </w:p>
        </w:tc>
      </w:tr>
      <w:tr>
        <w:tc>
          <w:tcPr>
            <w:tcW w:type="dxa" w:w="4320"/>
            <w:shd w:val="clear" w:color="auto" w:fill="F8F9FA"/>
            <w:tcBorders>
              <w:top w:val="single" w:sz="4" w:color="BFBFBF"/>
              <w:left w:val="single" w:sz="4" w:color="BFBFBF"/>
              <w:bottom w:val="single" w:sz="4" w:color="BFBFBF"/>
              <w:right w:val="single" w:sz="4" w:color="BFBFBF"/>
            </w:tcBorders>
          </w:tcPr>
          <w:p>
            <w:r>
              <w:rPr>
                <w:rFonts w:ascii="Arial" w:hAnsi="Arial" w:cs="Arial"/>
                <w:b/>
                <w:i w:val="0"/>
                <w:color w:val="2C3E50"/>
                <w:sz w:val="18"/>
              </w:rPr>
            </w:r>
            <w:r>
              <w:t>Operator UI handover</w:t>
            </w:r>
          </w:p>
        </w:tc>
        <w:tc>
          <w:tcPr>
            <w:tcW w:type="dxa" w:w="5040"/>
            <w:shd w:val="clear" w:color="auto" w:fill="E8F5E9"/>
            <w:tcBorders>
              <w:top w:val="single" w:sz="4" w:color="BFBFBF"/>
              <w:left w:val="single" w:sz="4" w:color="BFBFBF"/>
              <w:bottom w:val="single" w:sz="4" w:color="BFBFBF"/>
              <w:right w:val="single" w:sz="4" w:color="BFBFBF"/>
            </w:tcBorders>
          </w:tcPr>
          <w:p>
            <w:r/>
            <w:r>
              <w:rPr>
                <w:rFonts w:ascii="Arial" w:hAnsi="Arial" w:cs="Arial"/>
                <w:b/>
                <w:i w:val="0"/>
                <w:color w:val="27AE60"/>
                <w:sz w:val="18"/>
              </w:rPr>
              <w:t>●  Complete — Sandbox Dashboard is primary</w:t>
            </w:r>
          </w:p>
        </w:tc>
      </w:tr>
      <w:tr>
        <w:tc>
          <w:tcPr>
            <w:tcW w:type="dxa" w:w="4320"/>
            <w:shd w:val="clear" w:color="auto" w:fill="FFFFFF"/>
            <w:tcBorders>
              <w:top w:val="single" w:sz="4" w:color="BFBFBF"/>
              <w:left w:val="single" w:sz="4" w:color="BFBFBF"/>
              <w:bottom w:val="single" w:sz="4" w:color="BFBFBF"/>
              <w:right w:val="single" w:sz="4" w:color="BFBFBF"/>
            </w:tcBorders>
          </w:tcPr>
          <w:p>
            <w:r>
              <w:rPr>
                <w:rFonts w:ascii="Arial" w:hAnsi="Arial" w:cs="Arial"/>
                <w:b/>
                <w:i w:val="0"/>
                <w:color w:val="2C3E50"/>
                <w:sz w:val="18"/>
              </w:rPr>
            </w:r>
            <w:r>
              <w:t>video-kyc-webrtc secret leak</w:t>
            </w:r>
          </w:p>
        </w:tc>
        <w:tc>
          <w:tcPr>
            <w:tcW w:type="dxa" w:w="5040"/>
            <w:shd w:val="clear" w:color="auto" w:fill="FFEBEE"/>
            <w:tcBorders>
              <w:top w:val="single" w:sz="4" w:color="BFBFBF"/>
              <w:left w:val="single" w:sz="4" w:color="BFBFBF"/>
              <w:bottom w:val="single" w:sz="4" w:color="BFBFBF"/>
              <w:right w:val="single" w:sz="4" w:color="BFBFBF"/>
            </w:tcBorders>
          </w:tcPr>
          <w:p>
            <w:r/>
            <w:r>
              <w:rPr>
                <w:rFonts w:ascii="Arial" w:hAnsi="Arial" w:cs="Arial"/>
                <w:b/>
                <w:i w:val="0"/>
                <w:color w:val="E74C3C"/>
                <w:sz w:val="18"/>
              </w:rPr>
              <w:t>●  Open — rotation required</w:t>
            </w:r>
          </w:p>
        </w:tc>
      </w:tr>
      <w:tr>
        <w:tc>
          <w:tcPr>
            <w:tcW w:type="dxa" w:w="4320"/>
            <w:shd w:val="clear" w:color="auto" w:fill="F8F9FA"/>
            <w:tcBorders>
              <w:top w:val="single" w:sz="4" w:color="BFBFBF"/>
              <w:left w:val="single" w:sz="4" w:color="BFBFBF"/>
              <w:bottom w:val="single" w:sz="4" w:color="BFBFBF"/>
              <w:right w:val="single" w:sz="4" w:color="BFBFBF"/>
            </w:tcBorders>
          </w:tcPr>
          <w:p>
            <w:r>
              <w:rPr>
                <w:rFonts w:ascii="Arial" w:hAnsi="Arial" w:cs="Arial"/>
                <w:b/>
                <w:i w:val="0"/>
                <w:color w:val="2C3E50"/>
                <w:sz w:val="18"/>
              </w:rPr>
            </w:r>
            <w:r>
              <w:t>MSG91 single-vendor risk</w:t>
            </w:r>
          </w:p>
        </w:tc>
        <w:tc>
          <w:tcPr>
            <w:tcW w:type="dxa" w:w="5040"/>
            <w:shd w:val="clear" w:color="auto" w:fill="FFF8E1"/>
            <w:tcBorders>
              <w:top w:val="single" w:sz="4" w:color="BFBFBF"/>
              <w:left w:val="single" w:sz="4" w:color="BFBFBF"/>
              <w:bottom w:val="single" w:sz="4" w:color="BFBFBF"/>
              <w:right w:val="single" w:sz="4" w:color="BFBFBF"/>
            </w:tcBorders>
          </w:tcPr>
          <w:p>
            <w:r/>
            <w:r>
              <w:rPr>
                <w:rFonts w:ascii="Arial" w:hAnsi="Arial" w:cs="Arial"/>
                <w:b/>
                <w:i w:val="0"/>
                <w:color w:val="E67E22"/>
                <w:sz w:val="18"/>
              </w:rPr>
              <w:t>●  Open — Gupshup fallback planned</w:t>
            </w:r>
          </w:p>
        </w:tc>
      </w:tr>
      <w:tr>
        <w:tc>
          <w:tcPr>
            <w:tcW w:type="dxa" w:w="4320"/>
            <w:shd w:val="clear" w:color="auto" w:fill="FFFFFF"/>
            <w:tcBorders>
              <w:top w:val="single" w:sz="4" w:color="BFBFBF"/>
              <w:left w:val="single" w:sz="4" w:color="BFBFBF"/>
              <w:bottom w:val="single" w:sz="4" w:color="BFBFBF"/>
              <w:right w:val="single" w:sz="4" w:color="BFBFBF"/>
            </w:tcBorders>
          </w:tcPr>
          <w:p>
            <w:r>
              <w:rPr>
                <w:rFonts w:ascii="Arial" w:hAnsi="Arial" w:cs="Arial"/>
                <w:b/>
                <w:i w:val="0"/>
                <w:color w:val="2C3E50"/>
                <w:sz w:val="18"/>
              </w:rPr>
            </w:r>
            <w:r>
              <w:t>Charter §E1 (49 workflows live)</w:t>
            </w:r>
          </w:p>
        </w:tc>
        <w:tc>
          <w:tcPr>
            <w:tcW w:type="dxa" w:w="5040"/>
            <w:shd w:val="clear" w:color="auto" w:fill="FFF8E1"/>
            <w:tcBorders>
              <w:top w:val="single" w:sz="4" w:color="BFBFBF"/>
              <w:left w:val="single" w:sz="4" w:color="BFBFBF"/>
              <w:bottom w:val="single" w:sz="4" w:color="BFBFBF"/>
              <w:right w:val="single" w:sz="4" w:color="BFBFBF"/>
            </w:tcBorders>
          </w:tcPr>
          <w:p>
            <w:r/>
            <w:r>
              <w:rPr>
                <w:rFonts w:ascii="Arial" w:hAnsi="Arial" w:cs="Arial"/>
                <w:b/>
                <w:i w:val="0"/>
                <w:color w:val="E67E22"/>
                <w:sz w:val="18"/>
              </w:rPr>
              <w:t>●  17/49 — 35% progress</w:t>
            </w:r>
          </w:p>
        </w:tc>
      </w:tr>
    </w:tbl>
    <w:p>
      <w:pPr>
        <w:spacing w:after="160" w:line="300" w:lineRule="auto"/>
        <w:jc w:val="left"/>
      </w:pPr>
    </w:p>
    <w:p>
      <w:pPr>
        <w:spacing w:before="80" w:after="40"/>
      </w:pPr>
      <w:r>
        <w:rPr>
          <w:rFonts w:ascii="Arial" w:hAnsi="Arial" w:cs="Arial"/>
          <w:b/>
          <w:i w:val="0"/>
          <w:color w:val="1B3A5C"/>
          <w:sz w:val="24"/>
        </w:rPr>
        <w:t>4.1  Phase 1 metrics</w:t>
      </w:r>
    </w:p>
    <w:tbl>
      <w:tblPr>
        <w:tblW w:type="dxa" w:w="9360"/>
        <w:tblLayout w:type="fixed"/>
        <w:tblLook w:firstColumn="1" w:firstRow="1" w:lastColumn="0" w:lastRow="0" w:noHBand="0" w:noVBand="1" w:val="04A0"/>
      </w:tblPr>
      <w:tblGrid>
        <w:gridCol w:w="2340"/>
        <w:gridCol w:w="2340"/>
        <w:gridCol w:w="2340"/>
        <w:gridCol w:w="2340"/>
      </w:tblGrid>
      <w:tr>
        <w:tc>
          <w:tcPr>
            <w:tcW w:type="dxa" w:w="2340"/>
            <w:shd w:val="clear" w:color="auto" w:fill="FAFBFC"/>
            <w:tcBorders>
              <w:top w:val="single" w:sz="18" w:color="27AE60"/>
              <w:left w:val="single" w:sz="18" w:color="27AE60"/>
              <w:bottom w:val="single" w:sz="18" w:color="27AE60"/>
              <w:right w:val="single" w:sz="18" w:color="27AE60"/>
            </w:tcBorders>
            <w:vAlign w:val="center"/>
          </w:tcPr>
          <w:p>
            <w:pPr>
              <w:jc w:val="center"/>
            </w:pPr>
            <w:r/>
            <w:r>
              <w:rPr>
                <w:rFonts w:ascii="Arial" w:hAnsi="Arial" w:cs="Arial"/>
                <w:b/>
                <w:i w:val="0"/>
                <w:color w:val="27AE60"/>
                <w:sz w:val="44"/>
              </w:rPr>
              <w:t>17</w:t>
            </w:r>
          </w:p>
          <w:p>
            <w:pPr>
              <w:spacing w:after="80"/>
              <w:jc w:val="center"/>
            </w:pPr>
            <w:r>
              <w:rPr>
                <w:rFonts w:ascii="Arial" w:hAnsi="Arial" w:cs="Arial"/>
                <w:b w:val="0"/>
                <w:i w:val="0"/>
                <w:color w:val="2C3E50"/>
                <w:sz w:val="17"/>
              </w:rPr>
              <w:t>Workflows live</w:t>
            </w:r>
          </w:p>
        </w:tc>
        <w:tc>
          <w:tcPr>
            <w:tcW w:type="dxa" w:w="2340"/>
            <w:shd w:val="clear" w:color="auto" w:fill="FAFBFC"/>
            <w:tcBorders>
              <w:top w:val="single" w:sz="18" w:color="2E75B6"/>
              <w:left w:val="single" w:sz="18" w:color="2E75B6"/>
              <w:bottom w:val="single" w:sz="18" w:color="2E75B6"/>
              <w:right w:val="single" w:sz="18" w:color="2E75B6"/>
            </w:tcBorders>
            <w:vAlign w:val="center"/>
          </w:tcPr>
          <w:p>
            <w:pPr>
              <w:jc w:val="center"/>
            </w:pPr>
            <w:r/>
            <w:r>
              <w:rPr>
                <w:rFonts w:ascii="Arial" w:hAnsi="Arial" w:cs="Arial"/>
                <w:b/>
                <w:i w:val="0"/>
                <w:color w:val="2E75B6"/>
                <w:sz w:val="44"/>
              </w:rPr>
              <w:t>4</w:t>
            </w:r>
          </w:p>
          <w:p>
            <w:pPr>
              <w:spacing w:after="80"/>
              <w:jc w:val="center"/>
            </w:pPr>
            <w:r>
              <w:rPr>
                <w:rFonts w:ascii="Arial" w:hAnsi="Arial" w:cs="Arial"/>
                <w:b w:val="0"/>
                <w:i w:val="0"/>
                <w:color w:val="2C3E50"/>
                <w:sz w:val="17"/>
              </w:rPr>
              <w:t>Channels wired</w:t>
            </w:r>
          </w:p>
        </w:tc>
        <w:tc>
          <w:tcPr>
            <w:tcW w:type="dxa" w:w="2340"/>
            <w:shd w:val="clear" w:color="auto" w:fill="FAFBFC"/>
            <w:tcBorders>
              <w:top w:val="single" w:sz="18" w:color="1B3A5C"/>
              <w:left w:val="single" w:sz="18" w:color="1B3A5C"/>
              <w:bottom w:val="single" w:sz="18" w:color="1B3A5C"/>
              <w:right w:val="single" w:sz="18" w:color="1B3A5C"/>
            </w:tcBorders>
            <w:vAlign w:val="center"/>
          </w:tcPr>
          <w:p>
            <w:pPr>
              <w:jc w:val="center"/>
            </w:pPr>
            <w:r/>
            <w:r>
              <w:rPr>
                <w:rFonts w:ascii="Arial" w:hAnsi="Arial" w:cs="Arial"/>
                <w:b/>
                <w:i w:val="0"/>
                <w:color w:val="1B3A5C"/>
                <w:sz w:val="44"/>
              </w:rPr>
              <w:t>3</w:t>
            </w:r>
          </w:p>
          <w:p>
            <w:pPr>
              <w:spacing w:after="80"/>
              <w:jc w:val="center"/>
            </w:pPr>
            <w:r>
              <w:rPr>
                <w:rFonts w:ascii="Arial" w:hAnsi="Arial" w:cs="Arial"/>
                <w:b w:val="0"/>
                <w:i w:val="0"/>
                <w:color w:val="2C3E50"/>
                <w:sz w:val="17"/>
              </w:rPr>
              <w:t>Compliance certs</w:t>
            </w:r>
          </w:p>
        </w:tc>
        <w:tc>
          <w:tcPr>
            <w:tcW w:type="dxa" w:w="2340"/>
            <w:shd w:val="clear" w:color="auto" w:fill="FAFBFC"/>
            <w:tcBorders>
              <w:top w:val="single" w:sz="18" w:color="E74C3C"/>
              <w:left w:val="single" w:sz="18" w:color="E74C3C"/>
              <w:bottom w:val="single" w:sz="18" w:color="E74C3C"/>
              <w:right w:val="single" w:sz="18" w:color="E74C3C"/>
            </w:tcBorders>
            <w:vAlign w:val="center"/>
          </w:tcPr>
          <w:p>
            <w:pPr>
              <w:jc w:val="center"/>
            </w:pPr>
            <w:r/>
            <w:r>
              <w:rPr>
                <w:rFonts w:ascii="Arial" w:hAnsi="Arial" w:cs="Arial"/>
                <w:b/>
                <w:i w:val="0"/>
                <w:color w:val="E74C3C"/>
                <w:sz w:val="44"/>
              </w:rPr>
              <w:t>0</w:t>
            </w:r>
          </w:p>
          <w:p>
            <w:pPr>
              <w:spacing w:after="80"/>
              <w:jc w:val="center"/>
            </w:pPr>
            <w:r>
              <w:rPr>
                <w:rFonts w:ascii="Arial" w:hAnsi="Arial" w:cs="Arial"/>
                <w:b w:val="0"/>
                <w:i w:val="0"/>
                <w:color w:val="2C3E50"/>
                <w:sz w:val="17"/>
              </w:rPr>
              <w:t>Production incidents</w:t>
            </w:r>
          </w:p>
        </w:tc>
      </w:tr>
    </w:tbl>
    <w:p>
      <w:pPr>
        <w:spacing w:after="0"/>
      </w:pPr>
    </w:p>
    <w:p>
      <w:pPr>
        <w:spacing w:before="160" w:after="40"/>
      </w:pPr>
      <w:r>
        <w:rPr>
          <w:rFonts w:ascii="Arial" w:hAnsi="Arial" w:cs="Arial"/>
          <w:b/>
          <w:i w:val="0"/>
          <w:color w:val="2C3E50"/>
          <w:sz w:val="28"/>
        </w:rPr>
        <w:t>5.  Completed Work</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tbl>
      <w:tblPr>
        <w:tblW w:type="dxa" w:w="9360"/>
        <w:jc w:val="left"/>
        <w:tblLayout w:type="fixed"/>
        <w:tblLook w:firstColumn="1" w:firstRow="1" w:lastColumn="0" w:lastRow="0" w:noHBand="0" w:noVBand="1" w:val="04A0"/>
      </w:tblPr>
      <w:tblGrid>
        <w:gridCol w:w="2736"/>
        <w:gridCol w:w="3888"/>
        <w:gridCol w:w="1007"/>
        <w:gridCol w:w="1728"/>
      </w:tblGrid>
      <w:tr>
        <w:tc>
          <w:tcPr>
            <w:tcW w:type="dxa" w:w="2736"/>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Feature / Workstream</w:t>
            </w:r>
          </w:p>
        </w:tc>
        <w:tc>
          <w:tcPr>
            <w:tcW w:type="dxa" w:w="388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Description</w:t>
            </w:r>
          </w:p>
        </w:tc>
        <w:tc>
          <w:tcPr>
            <w:tcW w:type="dxa" w:w="1007"/>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Version</w:t>
            </w:r>
          </w:p>
        </w:tc>
        <w:tc>
          <w:tcPr>
            <w:tcW w:type="dxa" w:w="172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Completion Date</w:t>
            </w:r>
          </w:p>
        </w:tc>
      </w:tr>
      <w:tr>
        <w:tc>
          <w:tcPr>
            <w:tcW w:type="dxa" w:w="27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Track B deployment (live 2.3.0)</w:t>
            </w:r>
          </w:p>
        </w:tc>
        <w:tc>
          <w:tcPr>
            <w:tcW w:type="dxa" w:w="38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Single-VPS Docker Compose stack on Mumbai VPS</w:t>
            </w:r>
          </w:p>
        </w:tc>
        <w:tc>
          <w:tcPr>
            <w:tcW w:type="dxa" w:w="1007"/>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v1.0</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Apr 2026</w:t>
            </w:r>
          </w:p>
        </w:tc>
      </w:tr>
      <w:tr>
        <w:tc>
          <w:tcPr>
            <w:tcW w:type="dxa" w:w="27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Bridge dispatch architecture</w:t>
            </w:r>
          </w:p>
        </w:tc>
        <w:tc>
          <w:tcPr>
            <w:tcW w:type="dxa" w:w="38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Custom step.custom + dispatch.ts pattern; MSG91+ICPaaS providers</w:t>
            </w:r>
          </w:p>
        </w:tc>
        <w:tc>
          <w:tcPr>
            <w:tcW w:type="dxa" w:w="1007"/>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v1.0</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Apr 2026</w:t>
            </w:r>
          </w:p>
        </w:tc>
      </w:tr>
      <w:tr>
        <w:tc>
          <w:tcPr>
            <w:tcW w:type="dxa" w:w="27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17 Charter §4.3 workflows authored</w:t>
            </w:r>
          </w:p>
        </w:tc>
        <w:tc>
          <w:tcPr>
            <w:tcW w:type="dxa" w:w="38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PH-02..17 + INV-02..12 in TypeScript code-first</w:t>
            </w:r>
          </w:p>
        </w:tc>
        <w:tc>
          <w:tcPr>
            <w:tcW w:type="dxa" w:w="1007"/>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v1.0</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Apr 2026</w:t>
            </w:r>
          </w:p>
        </w:tc>
      </w:tr>
      <w:tr>
        <w:tc>
          <w:tcPr>
            <w:tcW w:type="dxa" w:w="27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DLT template registration</w:t>
            </w:r>
          </w:p>
        </w:tc>
        <w:tc>
          <w:tcPr>
            <w:tcW w:type="dxa" w:w="38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7 MSG91 SMS templates approved + wired to env vars</w:t>
            </w:r>
          </w:p>
        </w:tc>
        <w:tc>
          <w:tcPr>
            <w:tcW w:type="dxa" w:w="1007"/>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v1.0</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Apr 2026</w:t>
            </w:r>
          </w:p>
        </w:tc>
      </w:tr>
      <w:tr>
        <w:tc>
          <w:tcPr>
            <w:tcW w:type="dxa" w:w="27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Channel-matrix-by-stage pattern</w:t>
            </w:r>
          </w:p>
        </w:tc>
        <w:tc>
          <w:tcPr>
            <w:tcW w:type="dxa" w:w="38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Cadence-driven workflows: INV-08 / PH-15 / INV-11</w:t>
            </w:r>
          </w:p>
        </w:tc>
        <w:tc>
          <w:tcPr>
            <w:tcW w:type="dxa" w:w="1007"/>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v1.0</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Apr 2026</w:t>
            </w:r>
          </w:p>
        </w:tc>
      </w:tr>
      <w:tr>
        <w:tc>
          <w:tcPr>
            <w:tcW w:type="dxa" w:w="27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Sandbox 3.15 deployment</w:t>
            </w:r>
          </w:p>
        </w:tc>
        <w:tc>
          <w:tcPr>
            <w:tcW w:type="dxa" w:w="38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Side-by-side eval at :8080 / :8081 / :8083</w:t>
            </w:r>
          </w:p>
        </w:tc>
        <w:tc>
          <w:tcPr>
            <w:tcW w:type="dxa" w:w="1007"/>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v1.0</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30 Apr 2026</w:t>
            </w:r>
          </w:p>
        </w:tc>
      </w:tr>
      <w:tr>
        <w:tc>
          <w:tcPr>
            <w:tcW w:type="dxa" w:w="27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Workflow wipe + re-sync</w:t>
            </w:r>
          </w:p>
        </w:tc>
        <w:tc>
          <w:tcPr>
            <w:tcW w:type="dxa" w:w="38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Both live 2.3.0 + sandbox 3.15 wiped and re-synced from Bridge code</w:t>
            </w:r>
          </w:p>
        </w:tc>
        <w:tc>
          <w:tcPr>
            <w:tcW w:type="dxa" w:w="1007"/>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 May 2026</w:t>
            </w:r>
          </w:p>
        </w:tc>
      </w:tr>
      <w:tr>
        <w:tc>
          <w:tcPr>
            <w:tcW w:type="dxa" w:w="27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Sandbox 3.15 promoted to PRIMARY</w:t>
            </w:r>
          </w:p>
        </w:tc>
        <w:tc>
          <w:tcPr>
            <w:tcW w:type="dxa" w:w="38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TPE Admin sunsetted; next-bridge wired with real MSG91+ICPaaS creds</w:t>
            </w:r>
          </w:p>
        </w:tc>
        <w:tc>
          <w:tcPr>
            <w:tcW w:type="dxa" w:w="1007"/>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v2.0</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 May 2026</w:t>
            </w:r>
          </w:p>
        </w:tc>
      </w:tr>
      <w:tr>
        <w:tc>
          <w:tcPr>
            <w:tcW w:type="dxa" w:w="27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End-to-end PH-02 smoke verification</w:t>
            </w:r>
          </w:p>
        </w:tc>
        <w:tc>
          <w:tcPr>
            <w:tcW w:type="dxa" w:w="38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MSG91 v5/Flow HTTP 200; ICPaaS wamid issued</w:t>
            </w:r>
          </w:p>
        </w:tc>
        <w:tc>
          <w:tcPr>
            <w:tcW w:type="dxa" w:w="1007"/>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v2.0</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 May 2026</w:t>
            </w:r>
          </w:p>
        </w:tc>
      </w:tr>
      <w:tr>
        <w:tc>
          <w:tcPr>
            <w:tcW w:type="dxa" w:w="27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GitHub repo published</w:t>
            </w:r>
          </w:p>
        </w:tc>
        <w:tc>
          <w:tcPr>
            <w:tcW w:type="dxa" w:w="38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https://github.com/aksatyamtpe/tpe-novu — 188 files initial commit</w:t>
            </w:r>
          </w:p>
        </w:tc>
        <w:tc>
          <w:tcPr>
            <w:tcW w:type="dxa" w:w="1007"/>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v2.0</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 May 2026</w:t>
            </w:r>
          </w:p>
        </w:tc>
      </w:tr>
      <w:tr>
        <w:tc>
          <w:tcPr>
            <w:tcW w:type="dxa" w:w="27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Operator Manual (Doc B)</w:t>
            </w:r>
          </w:p>
        </w:tc>
        <w:tc>
          <w:tcPr>
            <w:tcW w:type="dxa" w:w="38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60 KB DOCX, 15 sections, daily reference for ops team</w:t>
            </w:r>
          </w:p>
        </w:tc>
        <w:tc>
          <w:tcPr>
            <w:tcW w:type="dxa" w:w="1007"/>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v1.0</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 May 2026</w:t>
            </w:r>
          </w:p>
        </w:tc>
      </w:tr>
      <w:tr>
        <w:tc>
          <w:tcPr>
            <w:tcW w:type="dxa" w:w="27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Project Status Document (THIS doc)</w:t>
            </w:r>
          </w:p>
        </w:tc>
        <w:tc>
          <w:tcPr>
            <w:tcW w:type="dxa" w:w="38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18-section enterprise master document</w:t>
            </w:r>
          </w:p>
        </w:tc>
        <w:tc>
          <w:tcPr>
            <w:tcW w:type="dxa" w:w="1007"/>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v2.0</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01 May 2026</w:t>
            </w:r>
          </w:p>
        </w:tc>
      </w:tr>
    </w:tbl>
    <w:p>
      <w:pPr>
        <w:spacing w:after="0"/>
      </w:pPr>
    </w:p>
    <w:p>
      <w:pPr>
        <w:spacing w:before="160" w:after="40"/>
      </w:pPr>
      <w:r>
        <w:rPr>
          <w:rFonts w:ascii="Arial" w:hAnsi="Arial" w:cs="Arial"/>
          <w:b/>
          <w:i w:val="0"/>
          <w:color w:val="2C3E50"/>
          <w:sz w:val="28"/>
        </w:rPr>
        <w:t>6.  Work in Progress</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tbl>
      <w:tblPr>
        <w:tblW w:type="dxa" w:w="10512"/>
        <w:jc w:val="left"/>
        <w:tblLayout w:type="fixed"/>
        <w:tblLook w:firstColumn="1" w:firstRow="1" w:lastColumn="0" w:lastRow="0" w:noHBand="0" w:noVBand="1" w:val="04A0"/>
      </w:tblPr>
      <w:tblGrid>
        <w:gridCol w:w="2880"/>
        <w:gridCol w:w="4031"/>
        <w:gridCol w:w="1728"/>
        <w:gridCol w:w="1872"/>
      </w:tblGrid>
      <w:tr>
        <w:tc>
          <w:tcPr>
            <w:tcW w:type="dxa" w:w="288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Feature / Workstream</w:t>
            </w:r>
          </w:p>
        </w:tc>
        <w:tc>
          <w:tcPr>
            <w:tcW w:type="dxa" w:w="4031"/>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Description</w:t>
            </w:r>
          </w:p>
        </w:tc>
        <w:tc>
          <w:tcPr>
            <w:tcW w:type="dxa" w:w="172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Owner</w:t>
            </w:r>
          </w:p>
        </w:tc>
        <w:tc>
          <w:tcPr>
            <w:tcW w:type="dxa" w:w="187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Expected Completion</w:t>
            </w:r>
          </w:p>
        </w:tc>
      </w:tr>
      <w:tr>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Pivot ADR (Doc C)</w:t>
            </w:r>
          </w:p>
        </w:tc>
        <w:tc>
          <w:tcPr>
            <w:tcW w:type="dxa" w:w="403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Architecture Decision Record for the 2026-05-01 pivot</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Engineering Lead</w:t>
            </w:r>
          </w:p>
        </w:tc>
        <w:tc>
          <w:tcPr>
            <w:tcW w:type="dxa" w:w="187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1-2 May 2026</w:t>
            </w:r>
          </w:p>
        </w:tc>
      </w:tr>
      <w:tr>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video-kyc-webrtc key rotation</w:t>
            </w:r>
          </w:p>
        </w:tc>
        <w:tc>
          <w:tcPr>
            <w:tcW w:type="dxa" w:w="403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 1 of secret-leak remediation (GoDaddy wildcard, eKYC SSH, bulk-import SSH)</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Infrastructure Lead</w:t>
            </w:r>
          </w:p>
        </w:tc>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Within 1 week</w:t>
            </w:r>
          </w:p>
        </w:tc>
      </w:tr>
      <w:tr>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Drift-check script</w:t>
            </w:r>
          </w:p>
        </w:tc>
        <w:tc>
          <w:tcPr>
            <w:tcW w:type="dxa" w:w="403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Compare Mongo workflows to Bridge source; alert on Studio-authored drift</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Engineering</w:t>
            </w:r>
          </w:p>
        </w:tc>
        <w:tc>
          <w:tcPr>
            <w:tcW w:type="dxa" w:w="187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 2 (May 2026)</w:t>
            </w:r>
          </w:p>
        </w:tc>
      </w:tr>
      <w:tr>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INS-* workflows (insurer notifications)</w:t>
            </w:r>
          </w:p>
        </w:tc>
        <w:tc>
          <w:tcPr>
            <w:tcW w:type="dxa" w:w="403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Charter §4.3 workflows for INS-01..06</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Engineering</w:t>
            </w:r>
          </w:p>
        </w:tc>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 2 (May-Jun 2026)</w:t>
            </w:r>
          </w:p>
        </w:tc>
      </w:tr>
    </w:tbl>
    <w:p>
      <w:pPr>
        <w:spacing w:after="0"/>
      </w:pPr>
    </w:p>
    <w:p>
      <w:pPr>
        <w:spacing w:before="160" w:after="40"/>
      </w:pPr>
      <w:r>
        <w:rPr>
          <w:rFonts w:ascii="Arial" w:hAnsi="Arial" w:cs="Arial"/>
          <w:b/>
          <w:i w:val="0"/>
          <w:color w:val="2C3E50"/>
          <w:sz w:val="28"/>
        </w:rPr>
        <w:t>7.  Pending Items</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tbl>
      <w:tblPr>
        <w:tblW w:type="dxa" w:w="9360"/>
        <w:jc w:val="left"/>
        <w:tblLayout w:type="fixed"/>
        <w:tblLook w:firstColumn="1" w:firstRow="1" w:lastColumn="0" w:lastRow="0" w:noHBand="0" w:noVBand="1" w:val="04A0"/>
      </w:tblPr>
      <w:tblGrid>
        <w:gridCol w:w="2592"/>
        <w:gridCol w:w="3311"/>
        <w:gridCol w:w="1007"/>
        <w:gridCol w:w="2448"/>
      </w:tblGrid>
      <w:tr>
        <w:tc>
          <w:tcPr>
            <w:tcW w:type="dxa" w:w="259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Feature / Workstream</w:t>
            </w:r>
          </w:p>
        </w:tc>
        <w:tc>
          <w:tcPr>
            <w:tcW w:type="dxa" w:w="3311"/>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Description</w:t>
            </w:r>
          </w:p>
        </w:tc>
        <w:tc>
          <w:tcPr>
            <w:tcW w:type="dxa" w:w="1007"/>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Priority</w:t>
            </w:r>
          </w:p>
        </w:tc>
        <w:tc>
          <w:tcPr>
            <w:tcW w:type="dxa" w:w="244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Remarks</w:t>
            </w:r>
          </w:p>
        </w:tc>
      </w:tr>
      <w:tr>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32 remaining Charter workflows</w:t>
            </w:r>
          </w:p>
        </w:tc>
        <w:tc>
          <w:tcPr>
            <w:tcW w:type="dxa" w:w="331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OPS-* operations + REG-* regulator + remaining INV/INS</w:t>
            </w:r>
          </w:p>
        </w:tc>
        <w:tc>
          <w:tcPr>
            <w:tcW w:type="dxa" w:w="1007"/>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P1</w:t>
            </w:r>
          </w:p>
        </w:tc>
        <w:tc>
          <w:tcPr>
            <w:tcW w:type="dxa" w:w="244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Phased over 2-3 quarters; ~10 per phase</w:t>
            </w:r>
          </w:p>
        </w:tc>
      </w:tr>
      <w:tr>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AWS SES provisioning</w:t>
            </w:r>
          </w:p>
        </w:tc>
        <w:tc>
          <w:tcPr>
            <w:tcW w:type="dxa" w:w="331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Email channel — currently skipped at dispatch with SesNotConfigured</w:t>
            </w:r>
          </w:p>
        </w:tc>
        <w:tc>
          <w:tcPr>
            <w:tcW w:type="dxa" w:w="1007"/>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P1</w:t>
            </w:r>
          </w:p>
        </w:tc>
        <w:tc>
          <w:tcPr>
            <w:tcW w:type="dxa" w:w="244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Pending CTO budget approval</w:t>
            </w:r>
          </w:p>
        </w:tc>
      </w:tr>
      <w:tr>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FCM/APNs push channel</w:t>
            </w:r>
          </w:p>
        </w:tc>
        <w:tc>
          <w:tcPr>
            <w:tcW w:type="dxa" w:w="331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Mobile push to TPE app</w:t>
            </w:r>
          </w:p>
        </w:tc>
        <w:tc>
          <w:tcPr>
            <w:tcW w:type="dxa" w:w="1007"/>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P2</w:t>
            </w:r>
          </w:p>
        </w:tc>
        <w:tc>
          <w:tcPr>
            <w:tcW w:type="dxa" w:w="244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Out of current Charter scope</w:t>
            </w:r>
          </w:p>
        </w:tc>
      </w:tr>
      <w:tr>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Gupshup SMS fallback</w:t>
            </w:r>
          </w:p>
        </w:tc>
        <w:tc>
          <w:tcPr>
            <w:tcW w:type="dxa" w:w="331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Per Charter strategy: failover Gupshup → MSG91 → Karix</w:t>
            </w:r>
          </w:p>
        </w:tc>
        <w:tc>
          <w:tcPr>
            <w:tcW w:type="dxa" w:w="1007"/>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P2</w:t>
            </w:r>
          </w:p>
        </w:tc>
        <w:tc>
          <w:tcPr>
            <w:tcW w:type="dxa" w:w="244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Risk mitigation for MSG91 single-vendor concentration</w:t>
            </w:r>
          </w:p>
        </w:tc>
      </w:tr>
      <w:tr>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FCM token + APNs cert provisioning</w:t>
            </w:r>
          </w:p>
        </w:tc>
        <w:tc>
          <w:tcPr>
            <w:tcW w:type="dxa" w:w="331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Required before push integration can be configured</w:t>
            </w:r>
          </w:p>
        </w:tc>
        <w:tc>
          <w:tcPr>
            <w:tcW w:type="dxa" w:w="1007"/>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P2</w:t>
            </w:r>
          </w:p>
        </w:tc>
        <w:tc>
          <w:tcPr>
            <w:tcW w:type="dxa" w:w="244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Engineering + Mobile team coordination</w:t>
            </w:r>
          </w:p>
        </w:tc>
      </w:tr>
      <w:tr>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Production Track A migration</w:t>
            </w:r>
          </w:p>
        </w:tc>
        <w:tc>
          <w:tcPr>
            <w:tcW w:type="dxa" w:w="331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ECS Fargate multi-AZ migration from VPS pilot</w:t>
            </w:r>
          </w:p>
        </w:tc>
        <w:tc>
          <w:tcPr>
            <w:tcW w:type="dxa" w:w="1007"/>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P1</w:t>
            </w:r>
          </w:p>
        </w:tc>
        <w:tc>
          <w:tcPr>
            <w:tcW w:type="dxa" w:w="244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Charter milestone gate; tied to go-live readiness</w:t>
            </w:r>
          </w:p>
        </w:tc>
      </w:tr>
      <w:tr>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Hindi locale templates</w:t>
            </w:r>
          </w:p>
        </w:tc>
        <w:tc>
          <w:tcPr>
            <w:tcW w:type="dxa" w:w="331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All 17 Charter workflows currently English-only</w:t>
            </w:r>
          </w:p>
        </w:tc>
        <w:tc>
          <w:tcPr>
            <w:tcW w:type="dxa" w:w="1007"/>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P1</w:t>
            </w:r>
          </w:p>
        </w:tc>
        <w:tc>
          <w:tcPr>
            <w:tcW w:type="dxa" w:w="244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DLT registration + CX-approved copy needed for each</w:t>
            </w:r>
          </w:p>
        </w:tc>
      </w:tr>
      <w:tr>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Operator training sessions</w:t>
            </w:r>
          </w:p>
        </w:tc>
        <w:tc>
          <w:tcPr>
            <w:tcW w:type="dxa" w:w="331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Walk through Operator Manual with the Ops team</w:t>
            </w:r>
          </w:p>
        </w:tc>
        <w:tc>
          <w:tcPr>
            <w:tcW w:type="dxa" w:w="1007"/>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P1</w:t>
            </w:r>
          </w:p>
        </w:tc>
        <w:tc>
          <w:tcPr>
            <w:tcW w:type="dxa" w:w="244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Schedule after this status doc lands</w:t>
            </w:r>
          </w:p>
        </w:tc>
      </w:tr>
      <w:tr>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VAPT/security pentest</w:t>
            </w:r>
          </w:p>
        </w:tc>
        <w:tc>
          <w:tcPr>
            <w:tcW w:type="dxa" w:w="331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External security review of sandbox 3.15 stack</w:t>
            </w:r>
          </w:p>
        </w:tc>
        <w:tc>
          <w:tcPr>
            <w:tcW w:type="dxa" w:w="1007"/>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P1</w:t>
            </w:r>
          </w:p>
        </w:tc>
        <w:tc>
          <w:tcPr>
            <w:tcW w:type="dxa" w:w="244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Pre-Track-A migration prerequisite</w:t>
            </w:r>
          </w:p>
        </w:tc>
      </w:tr>
      <w:tr>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Backup/DR cron testing</w:t>
            </w:r>
          </w:p>
        </w:tc>
        <w:tc>
          <w:tcPr>
            <w:tcW w:type="dxa" w:w="331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Verify backup restore against actual outage scenarios</w:t>
            </w:r>
          </w:p>
        </w:tc>
        <w:tc>
          <w:tcPr>
            <w:tcW w:type="dxa" w:w="1007"/>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P2</w:t>
            </w:r>
          </w:p>
        </w:tc>
        <w:tc>
          <w:tcPr>
            <w:tcW w:type="dxa" w:w="244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Currently set up; not exercised on stage</w:t>
            </w:r>
          </w:p>
        </w:tc>
      </w:tr>
    </w:tbl>
    <w:p>
      <w:pPr>
        <w:spacing w:after="0"/>
      </w:pPr>
    </w:p>
    <w:p>
      <w:pPr>
        <w:spacing w:before="160" w:after="40"/>
      </w:pPr>
      <w:r>
        <w:rPr>
          <w:rFonts w:ascii="Arial" w:hAnsi="Arial" w:cs="Arial"/>
          <w:b/>
          <w:i w:val="0"/>
          <w:color w:val="2C3E50"/>
          <w:sz w:val="28"/>
        </w:rPr>
        <w:t>8.  Future Roadmap</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tbl>
      <w:tblPr>
        <w:tblW w:type="dxa" w:w="9360"/>
        <w:jc w:val="left"/>
        <w:tblLayout w:type="fixed"/>
        <w:tblLook w:firstColumn="1" w:firstRow="1" w:lastColumn="0" w:lastRow="0" w:noHBand="0" w:noVBand="1" w:val="04A0"/>
      </w:tblPr>
      <w:tblGrid>
        <w:gridCol w:w="1440"/>
        <w:gridCol w:w="4031"/>
        <w:gridCol w:w="2160"/>
        <w:gridCol w:w="1728"/>
      </w:tblGrid>
      <w:tr>
        <w:tc>
          <w:tcPr>
            <w:tcW w:type="dxa" w:w="144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Phase</w:t>
            </w:r>
          </w:p>
        </w:tc>
        <w:tc>
          <w:tcPr>
            <w:tcW w:type="dxa" w:w="4031"/>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Feature</w:t>
            </w:r>
          </w:p>
        </w:tc>
        <w:tc>
          <w:tcPr>
            <w:tcW w:type="dxa" w:w="216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Timeline</w:t>
            </w:r>
          </w:p>
        </w:tc>
        <w:tc>
          <w:tcPr>
            <w:tcW w:type="dxa" w:w="172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Effort (PD)</w:t>
            </w:r>
          </w:p>
        </w:tc>
      </w:tr>
      <w:tr>
        <w:tc>
          <w:tcPr>
            <w:tcW w:type="dxa" w:w="14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 1.5</w:t>
            </w:r>
          </w:p>
        </w:tc>
        <w:tc>
          <w:tcPr>
            <w:tcW w:type="dxa" w:w="403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video-kyc-webrtc key rotation + history scrub</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 week</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3-5</w:t>
            </w:r>
          </w:p>
        </w:tc>
      </w:tr>
      <w:tr>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 2</w:t>
            </w:r>
          </w:p>
        </w:tc>
        <w:tc>
          <w:tcPr>
            <w:tcW w:type="dxa" w:w="403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INS-01..06 insurer workflows</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May-Jun 2026</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20-25</w:t>
            </w:r>
          </w:p>
        </w:tc>
      </w:tr>
      <w:tr>
        <w:tc>
          <w:tcPr>
            <w:tcW w:type="dxa" w:w="14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 2</w:t>
            </w:r>
          </w:p>
        </w:tc>
        <w:tc>
          <w:tcPr>
            <w:tcW w:type="dxa" w:w="403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AWS SES provisioning + email channel live</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Jun 2026</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8-10</w:t>
            </w:r>
          </w:p>
        </w:tc>
      </w:tr>
      <w:tr>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 2</w:t>
            </w:r>
          </w:p>
        </w:tc>
        <w:tc>
          <w:tcPr>
            <w:tcW w:type="dxa" w:w="403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Hindi locale rollout for 17 PH/INV workflows</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Jun-Jul 2026</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15-20</w:t>
            </w:r>
          </w:p>
        </w:tc>
      </w:tr>
      <w:tr>
        <w:tc>
          <w:tcPr>
            <w:tcW w:type="dxa" w:w="14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 3</w:t>
            </w:r>
          </w:p>
        </w:tc>
        <w:tc>
          <w:tcPr>
            <w:tcW w:type="dxa" w:w="403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OPS-01..15 operations workflows</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Jul-Aug 2026</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25-30</w:t>
            </w:r>
          </w:p>
        </w:tc>
      </w:tr>
      <w:tr>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 3</w:t>
            </w:r>
          </w:p>
        </w:tc>
        <w:tc>
          <w:tcPr>
            <w:tcW w:type="dxa" w:w="403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Gupshup SMS fallback wiring</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Aug 2026</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5-8</w:t>
            </w:r>
          </w:p>
        </w:tc>
      </w:tr>
      <w:tr>
        <w:tc>
          <w:tcPr>
            <w:tcW w:type="dxa" w:w="14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 3</w:t>
            </w:r>
          </w:p>
        </w:tc>
        <w:tc>
          <w:tcPr>
            <w:tcW w:type="dxa" w:w="403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FCM/APNs push integration</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Aug-Sep 2026</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10-12</w:t>
            </w:r>
          </w:p>
        </w:tc>
      </w:tr>
      <w:tr>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 4</w:t>
            </w:r>
          </w:p>
        </w:tc>
        <w:tc>
          <w:tcPr>
            <w:tcW w:type="dxa" w:w="403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REG-01..06 regulator workflows</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Sep 2026</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12-15</w:t>
            </w:r>
          </w:p>
        </w:tc>
      </w:tr>
      <w:tr>
        <w:tc>
          <w:tcPr>
            <w:tcW w:type="dxa" w:w="14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 4</w:t>
            </w:r>
          </w:p>
        </w:tc>
        <w:tc>
          <w:tcPr>
            <w:tcW w:type="dxa" w:w="403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Production Track A (ECS Fargate) migration</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Sep-Oct 2026</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30-40</w:t>
            </w:r>
          </w:p>
        </w:tc>
      </w:tr>
      <w:tr>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 4</w:t>
            </w:r>
          </w:p>
        </w:tc>
        <w:tc>
          <w:tcPr>
            <w:tcW w:type="dxa" w:w="403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External VAPT + remediation</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Oct 2026</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10-15</w:t>
            </w:r>
          </w:p>
        </w:tc>
      </w:tr>
      <w:tr>
        <w:tc>
          <w:tcPr>
            <w:tcW w:type="dxa" w:w="14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 5</w:t>
            </w:r>
          </w:p>
        </w:tc>
        <w:tc>
          <w:tcPr>
            <w:tcW w:type="dxa" w:w="403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Go-live readiness review + cutover</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Nov 2026</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8-10</w:t>
            </w:r>
          </w:p>
        </w:tc>
      </w:tr>
    </w:tbl>
    <w:p>
      <w:pPr>
        <w:spacing w:after="0"/>
      </w:pPr>
    </w:p>
    <w:p>
      <w:pPr>
        <w:spacing w:before="160" w:after="40"/>
      </w:pPr>
      <w:r>
        <w:rPr>
          <w:rFonts w:ascii="Arial" w:hAnsi="Arial" w:cs="Arial"/>
          <w:b/>
          <w:i w:val="0"/>
          <w:color w:val="2C3E50"/>
          <w:sz w:val="28"/>
        </w:rPr>
        <w:t>9.  Upcoming Deliveries</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tbl>
      <w:tblPr>
        <w:tblW w:type="dxa" w:w="9360"/>
        <w:jc w:val="left"/>
        <w:tblLayout w:type="fixed"/>
        <w:tblLook w:firstColumn="1" w:firstRow="1" w:lastColumn="0" w:lastRow="0" w:noHBand="0" w:noVBand="1" w:val="04A0"/>
      </w:tblPr>
      <w:tblGrid>
        <w:gridCol w:w="2015"/>
        <w:gridCol w:w="5760"/>
        <w:gridCol w:w="1584"/>
      </w:tblGrid>
      <w:tr>
        <w:tc>
          <w:tcPr>
            <w:tcW w:type="dxa" w:w="2015"/>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Version</w:t>
            </w:r>
          </w:p>
        </w:tc>
        <w:tc>
          <w:tcPr>
            <w:tcW w:type="dxa" w:w="576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Features</w:t>
            </w:r>
          </w:p>
        </w:tc>
        <w:tc>
          <w:tcPr>
            <w:tcW w:type="dxa" w:w="158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Planned Release</w:t>
            </w:r>
          </w:p>
        </w:tc>
      </w:tr>
      <w:tr>
        <w:tc>
          <w:tcPr>
            <w:tcW w:type="dxa" w:w="2015"/>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v2.0 (released today)</w:t>
            </w:r>
          </w:p>
        </w:tc>
        <w:tc>
          <w:tcPr>
            <w:tcW w:type="dxa" w:w="57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Sandbox 3.15 primary, Operator Manual, Project Status, Pivot ADR, GitHub repo</w:t>
            </w:r>
          </w:p>
        </w:tc>
        <w:tc>
          <w:tcPr>
            <w:tcW w:type="dxa" w:w="158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01 May 2026</w:t>
            </w:r>
          </w:p>
        </w:tc>
      </w:tr>
      <w:tr>
        <w:tc>
          <w:tcPr>
            <w:tcW w:type="dxa" w:w="2015"/>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v2.1</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Drift-check script, MSG91 templates audit, weekly health-check report</w:t>
            </w:r>
          </w:p>
        </w:tc>
        <w:tc>
          <w:tcPr>
            <w:tcW w:type="dxa" w:w="158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8 May 2026</w:t>
            </w:r>
          </w:p>
        </w:tc>
      </w:tr>
      <w:tr>
        <w:tc>
          <w:tcPr>
            <w:tcW w:type="dxa" w:w="2015"/>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v2.2</w:t>
            </w:r>
          </w:p>
        </w:tc>
        <w:tc>
          <w:tcPr>
            <w:tcW w:type="dxa" w:w="57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INS-01..03 workflows + AWS SES provisioning</w:t>
            </w:r>
          </w:p>
        </w:tc>
        <w:tc>
          <w:tcPr>
            <w:tcW w:type="dxa" w:w="158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29 May 2026</w:t>
            </w:r>
          </w:p>
        </w:tc>
      </w:tr>
      <w:tr>
        <w:tc>
          <w:tcPr>
            <w:tcW w:type="dxa" w:w="2015"/>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v2.3</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INS-04..06 + Hindi locale for all 17 existing workflows</w:t>
            </w:r>
          </w:p>
        </w:tc>
        <w:tc>
          <w:tcPr>
            <w:tcW w:type="dxa" w:w="158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26 Jun 2026</w:t>
            </w:r>
          </w:p>
        </w:tc>
      </w:tr>
      <w:tr>
        <w:tc>
          <w:tcPr>
            <w:tcW w:type="dxa" w:w="2015"/>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v3.0</w:t>
            </w:r>
          </w:p>
        </w:tc>
        <w:tc>
          <w:tcPr>
            <w:tcW w:type="dxa" w:w="57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OPS-01..15 + Gupshup SMS fallback</w:t>
            </w:r>
          </w:p>
        </w:tc>
        <w:tc>
          <w:tcPr>
            <w:tcW w:type="dxa" w:w="158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Aug 2026</w:t>
            </w:r>
          </w:p>
        </w:tc>
      </w:tr>
      <w:tr>
        <w:tc>
          <w:tcPr>
            <w:tcW w:type="dxa" w:w="2015"/>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v3.5</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FCM/APNs push + REG-01..06</w:t>
            </w:r>
          </w:p>
        </w:tc>
        <w:tc>
          <w:tcPr>
            <w:tcW w:type="dxa" w:w="158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Sep 2026</w:t>
            </w:r>
          </w:p>
        </w:tc>
      </w:tr>
      <w:tr>
        <w:tc>
          <w:tcPr>
            <w:tcW w:type="dxa" w:w="2015"/>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v4.0</w:t>
            </w:r>
          </w:p>
        </w:tc>
        <w:tc>
          <w:tcPr>
            <w:tcW w:type="dxa" w:w="57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Track A production migration + VAPT remediation</w:t>
            </w:r>
          </w:p>
        </w:tc>
        <w:tc>
          <w:tcPr>
            <w:tcW w:type="dxa" w:w="158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Oct 2026</w:t>
            </w:r>
          </w:p>
        </w:tc>
      </w:tr>
      <w:tr>
        <w:tc>
          <w:tcPr>
            <w:tcW w:type="dxa" w:w="2015"/>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v5.0 (GA)</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All 49 workflows + go-live cutover</w:t>
            </w:r>
          </w:p>
        </w:tc>
        <w:tc>
          <w:tcPr>
            <w:tcW w:type="dxa" w:w="158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Nov-Dec 2026</w:t>
            </w:r>
          </w:p>
        </w:tc>
      </w:tr>
    </w:tbl>
    <w:p>
      <w:pPr>
        <w:spacing w:after="0"/>
      </w:pPr>
    </w:p>
    <w:p>
      <w:pPr>
        <w:spacing w:before="160" w:after="40"/>
      </w:pPr>
      <w:r>
        <w:rPr>
          <w:rFonts w:ascii="Arial" w:hAnsi="Arial" w:cs="Arial"/>
          <w:b/>
          <w:i w:val="0"/>
          <w:color w:val="2C3E50"/>
          <w:sz w:val="28"/>
        </w:rPr>
        <w:t>10.  Risks &amp; Dependencies</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tbl>
      <w:tblPr>
        <w:tblW w:type="dxa" w:w="9360"/>
        <w:jc w:val="left"/>
        <w:tblLayout w:type="fixed"/>
        <w:tblLook w:firstColumn="1" w:firstRow="1" w:lastColumn="0" w:lastRow="0" w:noHBand="0" w:noVBand="1" w:val="04A0"/>
      </w:tblPr>
      <w:tblGrid>
        <w:gridCol w:w="3168"/>
        <w:gridCol w:w="3311"/>
        <w:gridCol w:w="2880"/>
      </w:tblGrid>
      <w:tr>
        <w:tc>
          <w:tcPr>
            <w:tcW w:type="dxa" w:w="316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Risk</w:t>
            </w:r>
          </w:p>
        </w:tc>
        <w:tc>
          <w:tcPr>
            <w:tcW w:type="dxa" w:w="3311"/>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Impact</w:t>
            </w:r>
          </w:p>
        </w:tc>
        <w:tc>
          <w:tcPr>
            <w:tcW w:type="dxa" w:w="288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Mitigation</w:t>
            </w:r>
          </w:p>
        </w:tc>
      </w:tr>
      <w:tr>
        <w:tc>
          <w:tcPr>
            <w:tcW w:type="dxa" w:w="31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video-kyc-webrtc leaked RSA private keys at HEAD on GitHub</w:t>
            </w:r>
          </w:p>
        </w:tc>
        <w:tc>
          <w:tcPr>
            <w:tcW w:type="dxa" w:w="331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 CRITICAL — GoDaddy *.inadev.net wildcard SSL key + 2 SSH keys publicly committed since Feb 2026</w:t>
            </w:r>
          </w:p>
        </w:tc>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 1 rotation required this week. Plan documented in memory/vkyc_repo_secret_leak.md.</w:t>
            </w:r>
          </w:p>
        </w:tc>
      </w:tr>
      <w:tr>
        <w:tc>
          <w:tcPr>
            <w:tcW w:type="dxa" w:w="31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MSG91 single-vendor concentration for SMS</w:t>
            </w:r>
          </w:p>
        </w:tc>
        <w:tc>
          <w:tcPr>
            <w:tcW w:type="dxa" w:w="331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 HIGH — outage at MSG91 = TPE SMS down. No automatic failover currently.</w:t>
            </w:r>
          </w:p>
        </w:tc>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 3 Gupshup fallback wiring; pre-DLT register templates with backup vendor.</w:t>
            </w:r>
          </w:p>
        </w:tc>
      </w:tr>
      <w:tr>
        <w:tc>
          <w:tcPr>
            <w:tcW w:type="dxa" w:w="31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Email channel deferred indefinitely</w:t>
            </w:r>
          </w:p>
        </w:tc>
        <w:tc>
          <w:tcPr>
            <w:tcW w:type="dxa" w:w="331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 HIGH — Charter mandates email + SMS+WA+InApp; deferral = compliance risk for future audit</w:t>
            </w:r>
          </w:p>
        </w:tc>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Provision AWS SES in Phase 2 (Jun 2026); budget approval pending.</w:t>
            </w:r>
          </w:p>
        </w:tc>
      </w:tr>
      <w:tr>
        <w:tc>
          <w:tcPr>
            <w:tcW w:type="dxa" w:w="31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DLT template change-control process undocumented</w:t>
            </w:r>
          </w:p>
        </w:tc>
        <w:tc>
          <w:tcPr>
            <w:tcW w:type="dxa" w:w="331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 MEDIUM — adding a new SMS template requires MSG91 portal + compliance lead approval</w:t>
            </w:r>
          </w:p>
        </w:tc>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Document the change-control flow in next charter addendum.</w:t>
            </w:r>
          </w:p>
        </w:tc>
      </w:tr>
      <w:tr>
        <w:tc>
          <w:tcPr>
            <w:tcW w:type="dxa" w:w="31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Sandbox 3.15 single-VPS deployment (Track B)</w:t>
            </w:r>
          </w:p>
        </w:tc>
        <w:tc>
          <w:tcPr>
            <w:tcW w:type="dxa" w:w="331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 MEDIUM — single point of failure; no horizontal scaling</w:t>
            </w:r>
          </w:p>
        </w:tc>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Track A production migration (ECS Fargate) in Phase 4.</w:t>
            </w:r>
          </w:p>
        </w:tc>
      </w:tr>
      <w:tr>
        <w:tc>
          <w:tcPr>
            <w:tcW w:type="dxa" w:w="31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Operations team Novu CE Studio learning curve</w:t>
            </w:r>
          </w:p>
        </w:tc>
        <w:tc>
          <w:tcPr>
            <w:tcW w:type="dxa" w:w="331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 LOW — operators familiar with old TPE Admin; new dashboard is different</w:t>
            </w:r>
          </w:p>
        </w:tc>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Operator Manual + scheduled training sessions; estimated 1-week ramp.</w:t>
            </w:r>
          </w:p>
        </w:tc>
      </w:tr>
      <w:tr>
        <w:tc>
          <w:tcPr>
            <w:tcW w:type="dxa" w:w="31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Code-first authoring rule operator-restrictiveness</w:t>
            </w:r>
          </w:p>
        </w:tc>
        <w:tc>
          <w:tcPr>
            <w:tcW w:type="dxa" w:w="331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 LOW — operators cannot author ad-hoc workflows; every new trigger needs engineering</w:t>
            </w:r>
          </w:p>
        </w:tc>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Acceptable trade-off; revisit after 6 months if operator load is high.</w:t>
            </w:r>
          </w:p>
        </w:tc>
      </w:tr>
      <w:tr>
        <w:tc>
          <w:tcPr>
            <w:tcW w:type="dxa" w:w="31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3.x→2.3.0 backport not possible</w:t>
            </w:r>
          </w:p>
        </w:tc>
        <w:tc>
          <w:tcPr>
            <w:tcW w:type="dxa" w:w="331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 LOW — sandbox 3.15 is forward-only; if we need to roll back to live 2.3.0, must re-author code-first workflows for 2.3.0 SDK</w:t>
            </w:r>
          </w:p>
        </w:tc>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Bridge SDK abstraction softens this; code is mostly forward-compatible (verified).</w:t>
            </w:r>
          </w:p>
        </w:tc>
      </w:tr>
    </w:tbl>
    <w:p>
      <w:pPr>
        <w:spacing w:after="0"/>
      </w:pPr>
    </w:p>
    <w:p>
      <w:pPr>
        <w:spacing w:before="160" w:after="40"/>
      </w:pPr>
      <w:r>
        <w:rPr>
          <w:rFonts w:ascii="Arial" w:hAnsi="Arial" w:cs="Arial"/>
          <w:b/>
          <w:i w:val="0"/>
          <w:color w:val="2C3E50"/>
          <w:sz w:val="28"/>
        </w:rPr>
        <w:t>11.  Architecture Overview</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p>
      <w:pPr>
        <w:spacing w:before="80" w:after="40"/>
      </w:pPr>
      <w:r>
        <w:rPr>
          <w:rFonts w:ascii="Arial" w:hAnsi="Arial" w:cs="Arial"/>
          <w:b/>
          <w:i w:val="0"/>
          <w:color w:val="1B3A5C"/>
          <w:sz w:val="24"/>
        </w:rPr>
        <w:t>11.1  Tech stack</w:t>
      </w:r>
    </w:p>
    <w:tbl>
      <w:tblPr>
        <w:tblW w:type="dxa" w:w="9360"/>
        <w:jc w:val="left"/>
        <w:tblLayout w:type="fixed"/>
        <w:tblLook w:firstColumn="1" w:firstRow="1" w:lastColumn="0" w:lastRow="0" w:noHBand="0" w:noVBand="1" w:val="04A0"/>
      </w:tblPr>
      <w:tblGrid>
        <w:gridCol w:w="2160"/>
        <w:gridCol w:w="2592"/>
        <w:gridCol w:w="1152"/>
        <w:gridCol w:w="3456"/>
      </w:tblGrid>
      <w:tr>
        <w:tc>
          <w:tcPr>
            <w:tcW w:type="dxa" w:w="216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Layer</w:t>
            </w:r>
          </w:p>
        </w:tc>
        <w:tc>
          <w:tcPr>
            <w:tcW w:type="dxa" w:w="259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Technology</w:t>
            </w:r>
          </w:p>
        </w:tc>
        <w:tc>
          <w:tcPr>
            <w:tcW w:type="dxa" w:w="115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Version</w:t>
            </w:r>
          </w:p>
        </w:tc>
        <w:tc>
          <w:tcPr>
            <w:tcW w:type="dxa" w:w="3456"/>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Notes</w:t>
            </w:r>
          </w:p>
        </w:tc>
      </w:tr>
      <w:tr>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Frontend (Operator UI)</w:t>
            </w:r>
          </w:p>
        </w:tc>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Novu CE Dashboard</w:t>
            </w:r>
          </w:p>
        </w:tc>
        <w:tc>
          <w:tcPr>
            <w:tcW w:type="dxa" w:w="115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3.15.0</w:t>
            </w:r>
          </w:p>
        </w:tc>
        <w:tc>
          <w:tcPr>
            <w:tcW w:type="dxa" w:w="345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Standard React app from upstream</w:t>
            </w:r>
          </w:p>
        </w:tc>
      </w:tr>
      <w:tr>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API + Worker</w:t>
            </w:r>
          </w:p>
        </w:tc>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Novu CE</w:t>
            </w:r>
          </w:p>
        </w:tc>
        <w:tc>
          <w:tcPr>
            <w:tcW w:type="dxa" w:w="11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3.15.0</w:t>
            </w:r>
          </w:p>
        </w:tc>
        <w:tc>
          <w:tcPr>
            <w:tcW w:type="dxa" w:w="345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Self-hosted, sandbox env</w:t>
            </w:r>
          </w:p>
        </w:tc>
      </w:tr>
      <w:tr>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Custom Bridge</w:t>
            </w:r>
          </w:p>
        </w:tc>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Next.js + @novu/framework</w:t>
            </w:r>
          </w:p>
        </w:tc>
        <w:tc>
          <w:tcPr>
            <w:tcW w:type="dxa" w:w="115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2.6.x / Next 14</w:t>
            </w:r>
          </w:p>
        </w:tc>
        <w:tc>
          <w:tcPr>
            <w:tcW w:type="dxa" w:w="345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Code-first workflows in TypeScript</w:t>
            </w:r>
          </w:p>
        </w:tc>
      </w:tr>
      <w:tr>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Data (sandbox)</w:t>
            </w:r>
          </w:p>
        </w:tc>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MongoDB</w:t>
            </w:r>
          </w:p>
        </w:tc>
        <w:tc>
          <w:tcPr>
            <w:tcW w:type="dxa" w:w="11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7.x</w:t>
            </w:r>
          </w:p>
        </w:tc>
        <w:tc>
          <w:tcPr>
            <w:tcW w:type="dxa" w:w="345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Single instance per stack</w:t>
            </w:r>
          </w:p>
        </w:tc>
      </w:tr>
      <w:tr>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Cache / Queue</w:t>
            </w:r>
          </w:p>
        </w:tc>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Redis</w:t>
            </w:r>
          </w:p>
        </w:tc>
        <w:tc>
          <w:tcPr>
            <w:tcW w:type="dxa" w:w="115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7.x</w:t>
            </w:r>
          </w:p>
        </w:tc>
        <w:tc>
          <w:tcPr>
            <w:tcW w:type="dxa" w:w="345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Job queue for worker</w:t>
            </w:r>
          </w:p>
        </w:tc>
      </w:tr>
      <w:tr>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S3 stub (sandbox)</w:t>
            </w:r>
          </w:p>
        </w:tc>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LocalStack</w:t>
            </w:r>
          </w:p>
        </w:tc>
        <w:tc>
          <w:tcPr>
            <w:tcW w:type="dxa" w:w="11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345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Sandbox-only; live uses real S3</w:t>
            </w:r>
          </w:p>
        </w:tc>
      </w:tr>
      <w:tr>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Reverse proxy</w:t>
            </w:r>
          </w:p>
        </w:tc>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Caddy / nginx</w:t>
            </w:r>
          </w:p>
        </w:tc>
        <w:tc>
          <w:tcPr>
            <w:tcW w:type="dxa" w:w="115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345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TLS termination + sub-path routing</w:t>
            </w:r>
          </w:p>
        </w:tc>
      </w:tr>
      <w:tr>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VPS</w:t>
            </w:r>
          </w:p>
        </w:tc>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CentOS 9</w:t>
            </w:r>
          </w:p>
        </w:tc>
        <w:tc>
          <w:tcPr>
            <w:tcW w:type="dxa" w:w="11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345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103.138.96.180:7576, Mumbai</w:t>
            </w:r>
          </w:p>
        </w:tc>
      </w:tr>
      <w:tr>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Source control</w:t>
            </w:r>
          </w:p>
        </w:tc>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Git + GitHub</w:t>
            </w:r>
          </w:p>
        </w:tc>
        <w:tc>
          <w:tcPr>
            <w:tcW w:type="dxa" w:w="115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c>
          <w:tcPr>
            <w:tcW w:type="dxa" w:w="345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github.com/aksatyamtpe/tpe-novu</w:t>
            </w:r>
          </w:p>
        </w:tc>
      </w:tr>
    </w:tbl>
    <w:p>
      <w:pPr>
        <w:spacing w:after="80" w:line="300" w:lineRule="auto"/>
        <w:jc w:val="left"/>
      </w:pPr>
    </w:p>
    <w:p>
      <w:pPr>
        <w:spacing w:before="80" w:after="40"/>
      </w:pPr>
      <w:r>
        <w:rPr>
          <w:rFonts w:ascii="Arial" w:hAnsi="Arial" w:cs="Arial"/>
          <w:b/>
          <w:i w:val="0"/>
          <w:color w:val="1B3A5C"/>
          <w:sz w:val="24"/>
        </w:rPr>
        <w:t>11.2  Services + ports (sandbox stack)</w:t>
      </w:r>
    </w:p>
    <w:tbl>
      <w:tblPr>
        <w:tblW w:type="dxa" w:w="9360"/>
        <w:jc w:val="left"/>
        <w:tblLayout w:type="fixed"/>
        <w:tblLook w:firstColumn="1" w:firstRow="1" w:lastColumn="0" w:lastRow="0" w:noHBand="0" w:noVBand="1" w:val="04A0"/>
      </w:tblPr>
      <w:tblGrid>
        <w:gridCol w:w="2880"/>
        <w:gridCol w:w="2160"/>
        <w:gridCol w:w="4320"/>
      </w:tblGrid>
      <w:tr>
        <w:tc>
          <w:tcPr>
            <w:tcW w:type="dxa" w:w="288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Container</w:t>
            </w:r>
          </w:p>
        </w:tc>
        <w:tc>
          <w:tcPr>
            <w:tcW w:type="dxa" w:w="216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Port (host)</w:t>
            </w:r>
          </w:p>
        </w:tc>
        <w:tc>
          <w:tcPr>
            <w:tcW w:type="dxa" w:w="432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Role</w:t>
            </w:r>
          </w:p>
        </w:tc>
      </w:tr>
      <w:tr>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next-dashboard</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8080</w:t>
            </w:r>
          </w:p>
        </w:tc>
        <w:tc>
          <w:tcPr>
            <w:tcW w:type="dxa" w:w="432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Operator UI</w:t>
            </w:r>
          </w:p>
        </w:tc>
      </w:tr>
      <w:tr>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next-api</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8081</w:t>
            </w:r>
          </w:p>
        </w:tc>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Novu API receiving /v1/events/trigger</w:t>
            </w:r>
          </w:p>
        </w:tc>
      </w:tr>
      <w:tr>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next-ws</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8083</w:t>
            </w:r>
          </w:p>
        </w:tc>
        <w:tc>
          <w:tcPr>
            <w:tcW w:type="dxa" w:w="432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WebSocket for in-app Inbox</w:t>
            </w:r>
          </w:p>
        </w:tc>
      </w:tr>
      <w:tr>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next-worker</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(internal)</w:t>
            </w:r>
          </w:p>
        </w:tc>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Job processor</w:t>
            </w:r>
          </w:p>
        </w:tc>
      </w:tr>
      <w:tr>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next-bridge</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(4001 internal)</w:t>
            </w:r>
          </w:p>
        </w:tc>
        <w:tc>
          <w:tcPr>
            <w:tcW w:type="dxa" w:w="432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Custom code-first workflow + dispatch</w:t>
            </w:r>
          </w:p>
        </w:tc>
      </w:tr>
      <w:tr>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next-mongodb</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(internal)</w:t>
            </w:r>
          </w:p>
        </w:tc>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Data store</w:t>
            </w:r>
          </w:p>
        </w:tc>
      </w:tr>
      <w:tr>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next-redis</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(internal)</w:t>
            </w:r>
          </w:p>
        </w:tc>
        <w:tc>
          <w:tcPr>
            <w:tcW w:type="dxa" w:w="432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Job queue</w:t>
            </w:r>
          </w:p>
        </w:tc>
      </w:tr>
      <w:tr>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next-localstack</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(internal)</w:t>
            </w:r>
          </w:p>
        </w:tc>
        <w:tc>
          <w:tcPr>
            <w:tcW w:type="dxa" w:w="432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S3 stub for sandbox</w:t>
            </w:r>
          </w:p>
        </w:tc>
      </w:tr>
      <w:tr>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next-admin</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(internal)</w:t>
            </w:r>
          </w:p>
        </w:tc>
        <w:tc>
          <w:tcPr>
            <w:tcW w:type="dxa" w:w="432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Legacy 3.x admin (auto-launched)</w:t>
            </w:r>
          </w:p>
        </w:tc>
      </w:tr>
    </w:tbl>
    <w:p>
      <w:pPr>
        <w:spacing w:after="0"/>
      </w:pPr>
    </w:p>
    <w:p>
      <w:pPr>
        <w:spacing w:before="160" w:after="40"/>
      </w:pPr>
      <w:r>
        <w:rPr>
          <w:rFonts w:ascii="Arial" w:hAnsi="Arial" w:cs="Arial"/>
          <w:b/>
          <w:i w:val="0"/>
          <w:color w:val="2C3E50"/>
          <w:sz w:val="28"/>
        </w:rPr>
        <w:t>12.  Security Overview</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p>
      <w:pPr>
        <w:spacing w:after="120" w:line="300" w:lineRule="auto"/>
        <w:jc w:val="left"/>
      </w:pPr>
      <w:r>
        <w:rPr>
          <w:rFonts w:ascii="Arial" w:hAnsi="Arial" w:cs="Arial"/>
          <w:b w:val="0"/>
          <w:i w:val="0"/>
          <w:color w:val="2C3E50"/>
          <w:sz w:val="20"/>
        </w:rPr>
        <w:t>Compliance posture across DPDPA (India), IRDAI (insurance regulator), and DLT (TRAI SMS):</w:t>
      </w:r>
    </w:p>
    <w:tbl>
      <w:tblPr>
        <w:tblW w:type="dxa" w:w="9360"/>
        <w:tblLayout w:type="fixed"/>
        <w:tblLook w:firstColumn="1" w:firstRow="1" w:lastColumn="0" w:lastRow="0" w:noHBand="0" w:noVBand="1" w:val="04A0"/>
      </w:tblPr>
      <w:tblGrid>
        <w:gridCol w:w="4320"/>
        <w:gridCol w:w="5040"/>
      </w:tblGrid>
      <w:tr>
        <w:tc>
          <w:tcPr>
            <w:tcW w:type="dxa" w:w="4320"/>
            <w:shd w:val="clear" w:color="auto" w:fill="F8F9FA"/>
            <w:tcBorders>
              <w:top w:val="single" w:sz="4" w:color="BFBFBF"/>
              <w:left w:val="single" w:sz="4" w:color="BFBFBF"/>
              <w:bottom w:val="single" w:sz="4" w:color="BFBFBF"/>
              <w:right w:val="single" w:sz="4" w:color="BFBFBF"/>
            </w:tcBorders>
          </w:tcPr>
          <w:p>
            <w:r>
              <w:rPr>
                <w:rFonts w:ascii="Arial" w:hAnsi="Arial" w:cs="Arial"/>
                <w:b/>
                <w:i w:val="0"/>
                <w:color w:val="2C3E50"/>
                <w:sz w:val="18"/>
              </w:rPr>
            </w:r>
            <w:r>
              <w:t>India-resident data</w:t>
            </w:r>
          </w:p>
        </w:tc>
        <w:tc>
          <w:tcPr>
            <w:tcW w:type="dxa" w:w="5040"/>
            <w:shd w:val="clear" w:color="auto" w:fill="E8F5E9"/>
            <w:tcBorders>
              <w:top w:val="single" w:sz="4" w:color="BFBFBF"/>
              <w:left w:val="single" w:sz="4" w:color="BFBFBF"/>
              <w:bottom w:val="single" w:sz="4" w:color="BFBFBF"/>
              <w:right w:val="single" w:sz="4" w:color="BFBFBF"/>
            </w:tcBorders>
          </w:tcPr>
          <w:p>
            <w:r/>
            <w:r>
              <w:rPr>
                <w:rFonts w:ascii="Arial" w:hAnsi="Arial" w:cs="Arial"/>
                <w:b/>
                <w:i w:val="0"/>
                <w:color w:val="27AE60"/>
                <w:sz w:val="18"/>
              </w:rPr>
              <w:t>●  Mumbai VPS, ap-south-1 region equivalent</w:t>
            </w:r>
          </w:p>
        </w:tc>
      </w:tr>
      <w:tr>
        <w:tc>
          <w:tcPr>
            <w:tcW w:type="dxa" w:w="4320"/>
            <w:shd w:val="clear" w:color="auto" w:fill="FFFFFF"/>
            <w:tcBorders>
              <w:top w:val="single" w:sz="4" w:color="BFBFBF"/>
              <w:left w:val="single" w:sz="4" w:color="BFBFBF"/>
              <w:bottom w:val="single" w:sz="4" w:color="BFBFBF"/>
              <w:right w:val="single" w:sz="4" w:color="BFBFBF"/>
            </w:tcBorders>
          </w:tcPr>
          <w:p>
            <w:r>
              <w:rPr>
                <w:rFonts w:ascii="Arial" w:hAnsi="Arial" w:cs="Arial"/>
                <w:b/>
                <w:i w:val="0"/>
                <w:color w:val="2C3E50"/>
                <w:sz w:val="18"/>
              </w:rPr>
            </w:r>
            <w:r>
              <w:t>DPDPA — PII isolation</w:t>
            </w:r>
          </w:p>
        </w:tc>
        <w:tc>
          <w:tcPr>
            <w:tcW w:type="dxa" w:w="5040"/>
            <w:shd w:val="clear" w:color="auto" w:fill="E8F5E9"/>
            <w:tcBorders>
              <w:top w:val="single" w:sz="4" w:color="BFBFBF"/>
              <w:left w:val="single" w:sz="4" w:color="BFBFBF"/>
              <w:bottom w:val="single" w:sz="4" w:color="BFBFBF"/>
              <w:right w:val="single" w:sz="4" w:color="BFBFBF"/>
            </w:tcBorders>
          </w:tcPr>
          <w:p>
            <w:r/>
            <w:r>
              <w:rPr>
                <w:rFonts w:ascii="Arial" w:hAnsi="Arial" w:cs="Arial"/>
                <w:b/>
                <w:i w:val="0"/>
                <w:color w:val="27AE60"/>
                <w:sz w:val="18"/>
              </w:rPr>
              <w:t>●  Subscriber phone/email never leaves India</w:t>
            </w:r>
          </w:p>
        </w:tc>
      </w:tr>
      <w:tr>
        <w:tc>
          <w:tcPr>
            <w:tcW w:type="dxa" w:w="4320"/>
            <w:shd w:val="clear" w:color="auto" w:fill="F8F9FA"/>
            <w:tcBorders>
              <w:top w:val="single" w:sz="4" w:color="BFBFBF"/>
              <w:left w:val="single" w:sz="4" w:color="BFBFBF"/>
              <w:bottom w:val="single" w:sz="4" w:color="BFBFBF"/>
              <w:right w:val="single" w:sz="4" w:color="BFBFBF"/>
            </w:tcBorders>
          </w:tcPr>
          <w:p>
            <w:r>
              <w:rPr>
                <w:rFonts w:ascii="Arial" w:hAnsi="Arial" w:cs="Arial"/>
                <w:b/>
                <w:i w:val="0"/>
                <w:color w:val="2C3E50"/>
                <w:sz w:val="18"/>
              </w:rPr>
            </w:r>
            <w:r>
              <w:t>IRDAI — audit row per dispatch</w:t>
            </w:r>
          </w:p>
        </w:tc>
        <w:tc>
          <w:tcPr>
            <w:tcW w:type="dxa" w:w="5040"/>
            <w:shd w:val="clear" w:color="auto" w:fill="E8F5E9"/>
            <w:tcBorders>
              <w:top w:val="single" w:sz="4" w:color="BFBFBF"/>
              <w:left w:val="single" w:sz="4" w:color="BFBFBF"/>
              <w:bottom w:val="single" w:sz="4" w:color="BFBFBF"/>
              <w:right w:val="single" w:sz="4" w:color="BFBFBF"/>
            </w:tcBorders>
          </w:tcPr>
          <w:p>
            <w:r/>
            <w:r>
              <w:rPr>
                <w:rFonts w:ascii="Arial" w:hAnsi="Arial" w:cs="Arial"/>
                <w:b/>
                <w:i w:val="0"/>
                <w:color w:val="27AE60"/>
                <w:sz w:val="18"/>
              </w:rPr>
              <w:t>●  Charter §4.8 compliant; audit emitted from dispatch.ts</w:t>
            </w:r>
          </w:p>
        </w:tc>
      </w:tr>
      <w:tr>
        <w:tc>
          <w:tcPr>
            <w:tcW w:type="dxa" w:w="4320"/>
            <w:shd w:val="clear" w:color="auto" w:fill="FFFFFF"/>
            <w:tcBorders>
              <w:top w:val="single" w:sz="4" w:color="BFBFBF"/>
              <w:left w:val="single" w:sz="4" w:color="BFBFBF"/>
              <w:bottom w:val="single" w:sz="4" w:color="BFBFBF"/>
              <w:right w:val="single" w:sz="4" w:color="BFBFBF"/>
            </w:tcBorders>
          </w:tcPr>
          <w:p>
            <w:r>
              <w:rPr>
                <w:rFonts w:ascii="Arial" w:hAnsi="Arial" w:cs="Arial"/>
                <w:b/>
                <w:i w:val="0"/>
                <w:color w:val="2C3E50"/>
                <w:sz w:val="18"/>
              </w:rPr>
            </w:r>
            <w:r>
              <w:t>DLT — SMS template registration</w:t>
            </w:r>
          </w:p>
        </w:tc>
        <w:tc>
          <w:tcPr>
            <w:tcW w:type="dxa" w:w="5040"/>
            <w:shd w:val="clear" w:color="auto" w:fill="E8F5E9"/>
            <w:tcBorders>
              <w:top w:val="single" w:sz="4" w:color="BFBFBF"/>
              <w:left w:val="single" w:sz="4" w:color="BFBFBF"/>
              <w:bottom w:val="single" w:sz="4" w:color="BFBFBF"/>
              <w:right w:val="single" w:sz="4" w:color="BFBFBF"/>
            </w:tcBorders>
          </w:tcPr>
          <w:p>
            <w:r/>
            <w:r>
              <w:rPr>
                <w:rFonts w:ascii="Arial" w:hAnsi="Arial" w:cs="Arial"/>
                <w:b/>
                <w:i w:val="0"/>
                <w:color w:val="27AE60"/>
                <w:sz w:val="18"/>
              </w:rPr>
              <w:t>●  7 templates registered + wired</w:t>
            </w:r>
          </w:p>
        </w:tc>
      </w:tr>
      <w:tr>
        <w:tc>
          <w:tcPr>
            <w:tcW w:type="dxa" w:w="4320"/>
            <w:shd w:val="clear" w:color="auto" w:fill="F8F9FA"/>
            <w:tcBorders>
              <w:top w:val="single" w:sz="4" w:color="BFBFBF"/>
              <w:left w:val="single" w:sz="4" w:color="BFBFBF"/>
              <w:bottom w:val="single" w:sz="4" w:color="BFBFBF"/>
              <w:right w:val="single" w:sz="4" w:color="BFBFBF"/>
            </w:tcBorders>
          </w:tcPr>
          <w:p>
            <w:r>
              <w:rPr>
                <w:rFonts w:ascii="Arial" w:hAnsi="Arial" w:cs="Arial"/>
                <w:b/>
                <w:i w:val="0"/>
                <w:color w:val="2C3E50"/>
                <w:sz w:val="18"/>
              </w:rPr>
            </w:r>
            <w:r>
              <w:t>DLT — sender ID</w:t>
            </w:r>
          </w:p>
        </w:tc>
        <w:tc>
          <w:tcPr>
            <w:tcW w:type="dxa" w:w="5040"/>
            <w:shd w:val="clear" w:color="auto" w:fill="E8F5E9"/>
            <w:tcBorders>
              <w:top w:val="single" w:sz="4" w:color="BFBFBF"/>
              <w:left w:val="single" w:sz="4" w:color="BFBFBF"/>
              <w:bottom w:val="single" w:sz="4" w:color="BFBFBF"/>
              <w:right w:val="single" w:sz="4" w:color="BFBFBF"/>
            </w:tcBorders>
          </w:tcPr>
          <w:p>
            <w:r/>
            <w:r>
              <w:rPr>
                <w:rFonts w:ascii="Arial" w:hAnsi="Arial" w:cs="Arial"/>
                <w:b/>
                <w:i w:val="0"/>
                <w:color w:val="27AE60"/>
                <w:sz w:val="18"/>
              </w:rPr>
              <w:t>●  TPolEx (TRAI-approved)</w:t>
            </w:r>
          </w:p>
        </w:tc>
      </w:tr>
      <w:tr>
        <w:tc>
          <w:tcPr>
            <w:tcW w:type="dxa" w:w="4320"/>
            <w:shd w:val="clear" w:color="auto" w:fill="FFFFFF"/>
            <w:tcBorders>
              <w:top w:val="single" w:sz="4" w:color="BFBFBF"/>
              <w:left w:val="single" w:sz="4" w:color="BFBFBF"/>
              <w:bottom w:val="single" w:sz="4" w:color="BFBFBF"/>
              <w:right w:val="single" w:sz="4" w:color="BFBFBF"/>
            </w:tcBorders>
          </w:tcPr>
          <w:p>
            <w:r>
              <w:rPr>
                <w:rFonts w:ascii="Arial" w:hAnsi="Arial" w:cs="Arial"/>
                <w:b/>
                <w:i w:val="0"/>
                <w:color w:val="2C3E50"/>
                <w:sz w:val="18"/>
              </w:rPr>
            </w:r>
            <w:r>
              <w:t>Compliance middleware lint</w:t>
            </w:r>
          </w:p>
        </w:tc>
        <w:tc>
          <w:tcPr>
            <w:tcW w:type="dxa" w:w="5040"/>
            <w:shd w:val="clear" w:color="auto" w:fill="E8F5E9"/>
            <w:tcBorders>
              <w:top w:val="single" w:sz="4" w:color="BFBFBF"/>
              <w:left w:val="single" w:sz="4" w:color="BFBFBF"/>
              <w:bottom w:val="single" w:sz="4" w:color="BFBFBF"/>
              <w:right w:val="single" w:sz="4" w:color="BFBFBF"/>
            </w:tcBorders>
          </w:tcPr>
          <w:p>
            <w:r/>
            <w:r>
              <w:rPr>
                <w:rFonts w:ascii="Arial" w:hAnsi="Arial" w:cs="Arial"/>
                <w:b/>
                <w:i w:val="0"/>
                <w:color w:val="27AE60"/>
                <w:sz w:val="18"/>
              </w:rPr>
              <w:t>●  ≥30 rules in CI gate</w:t>
            </w:r>
          </w:p>
        </w:tc>
      </w:tr>
      <w:tr>
        <w:tc>
          <w:tcPr>
            <w:tcW w:type="dxa" w:w="4320"/>
            <w:shd w:val="clear" w:color="auto" w:fill="F8F9FA"/>
            <w:tcBorders>
              <w:top w:val="single" w:sz="4" w:color="BFBFBF"/>
              <w:left w:val="single" w:sz="4" w:color="BFBFBF"/>
              <w:bottom w:val="single" w:sz="4" w:color="BFBFBF"/>
              <w:right w:val="single" w:sz="4" w:color="BFBFBF"/>
            </w:tcBorders>
          </w:tcPr>
          <w:p>
            <w:r>
              <w:rPr>
                <w:rFonts w:ascii="Arial" w:hAnsi="Arial" w:cs="Arial"/>
                <w:b/>
                <w:i w:val="0"/>
                <w:color w:val="2C3E50"/>
                <w:sz w:val="18"/>
              </w:rPr>
            </w:r>
            <w:r>
              <w:t>Secrets in source</w:t>
            </w:r>
          </w:p>
        </w:tc>
        <w:tc>
          <w:tcPr>
            <w:tcW w:type="dxa" w:w="5040"/>
            <w:shd w:val="clear" w:color="auto" w:fill="E8F5E9"/>
            <w:tcBorders>
              <w:top w:val="single" w:sz="4" w:color="BFBFBF"/>
              <w:left w:val="single" w:sz="4" w:color="BFBFBF"/>
              <w:bottom w:val="single" w:sz="4" w:color="BFBFBF"/>
              <w:right w:val="single" w:sz="4" w:color="BFBFBF"/>
            </w:tcBorders>
          </w:tcPr>
          <w:p>
            <w:r/>
            <w:r>
              <w:rPr>
                <w:rFonts w:ascii="Arial" w:hAnsi="Arial" w:cs="Arial"/>
                <w:b/>
                <w:i w:val="0"/>
                <w:color w:val="27AE60"/>
                <w:sz w:val="18"/>
              </w:rPr>
              <w:t>●  None in this repo (gitignored *.pem, *.env)</w:t>
            </w:r>
          </w:p>
        </w:tc>
      </w:tr>
      <w:tr>
        <w:tc>
          <w:tcPr>
            <w:tcW w:type="dxa" w:w="4320"/>
            <w:shd w:val="clear" w:color="auto" w:fill="FFFFFF"/>
            <w:tcBorders>
              <w:top w:val="single" w:sz="4" w:color="BFBFBF"/>
              <w:left w:val="single" w:sz="4" w:color="BFBFBF"/>
              <w:bottom w:val="single" w:sz="4" w:color="BFBFBF"/>
              <w:right w:val="single" w:sz="4" w:color="BFBFBF"/>
            </w:tcBorders>
          </w:tcPr>
          <w:p>
            <w:r>
              <w:rPr>
                <w:rFonts w:ascii="Arial" w:hAnsi="Arial" w:cs="Arial"/>
                <w:b/>
                <w:i w:val="0"/>
                <w:color w:val="2C3E50"/>
                <w:sz w:val="18"/>
              </w:rPr>
            </w:r>
            <w:r>
              <w:t>Secrets in sister repo (video-kyc-webrtc)</w:t>
            </w:r>
          </w:p>
        </w:tc>
        <w:tc>
          <w:tcPr>
            <w:tcW w:type="dxa" w:w="5040"/>
            <w:shd w:val="clear" w:color="auto" w:fill="FFEBEE"/>
            <w:tcBorders>
              <w:top w:val="single" w:sz="4" w:color="BFBFBF"/>
              <w:left w:val="single" w:sz="4" w:color="BFBFBF"/>
              <w:bottom w:val="single" w:sz="4" w:color="BFBFBF"/>
              <w:right w:val="single" w:sz="4" w:color="BFBFBF"/>
            </w:tcBorders>
          </w:tcPr>
          <w:p>
            <w:r/>
            <w:r>
              <w:rPr>
                <w:rFonts w:ascii="Arial" w:hAnsi="Arial" w:cs="Arial"/>
                <w:b/>
                <w:i w:val="0"/>
                <w:color w:val="E74C3C"/>
                <w:sz w:val="18"/>
              </w:rPr>
              <w:t>●  🚨 3 RSA keys leaked since Feb 2026 — open finding</w:t>
            </w:r>
          </w:p>
        </w:tc>
      </w:tr>
      <w:tr>
        <w:tc>
          <w:tcPr>
            <w:tcW w:type="dxa" w:w="4320"/>
            <w:shd w:val="clear" w:color="auto" w:fill="F8F9FA"/>
            <w:tcBorders>
              <w:top w:val="single" w:sz="4" w:color="BFBFBF"/>
              <w:left w:val="single" w:sz="4" w:color="BFBFBF"/>
              <w:bottom w:val="single" w:sz="4" w:color="BFBFBF"/>
              <w:right w:val="single" w:sz="4" w:color="BFBFBF"/>
            </w:tcBorders>
          </w:tcPr>
          <w:p>
            <w:r>
              <w:rPr>
                <w:rFonts w:ascii="Arial" w:hAnsi="Arial" w:cs="Arial"/>
                <w:b/>
                <w:i w:val="0"/>
                <w:color w:val="2C3E50"/>
                <w:sz w:val="18"/>
              </w:rPr>
            </w:r>
            <w:r>
              <w:t>STORE_ENCRYPTION_KEY rotation</w:t>
            </w:r>
          </w:p>
        </w:tc>
        <w:tc>
          <w:tcPr>
            <w:tcW w:type="dxa" w:w="5040"/>
            <w:shd w:val="clear" w:color="auto" w:fill="FFF8E1"/>
            <w:tcBorders>
              <w:top w:val="single" w:sz="4" w:color="BFBFBF"/>
              <w:left w:val="single" w:sz="4" w:color="BFBFBF"/>
              <w:bottom w:val="single" w:sz="4" w:color="BFBFBF"/>
              <w:right w:val="single" w:sz="4" w:color="BFBFBF"/>
            </w:tcBorders>
          </w:tcPr>
          <w:p>
            <w:r/>
            <w:r>
              <w:rPr>
                <w:rFonts w:ascii="Arial" w:hAnsi="Arial" w:cs="Arial"/>
                <w:b/>
                <w:i w:val="0"/>
                <w:color w:val="E67E22"/>
                <w:sz w:val="18"/>
              </w:rPr>
              <w:t>●  Effectively un-rotatable (Charter §29 special handling)</w:t>
            </w:r>
          </w:p>
        </w:tc>
      </w:tr>
      <w:tr>
        <w:tc>
          <w:tcPr>
            <w:tcW w:type="dxa" w:w="4320"/>
            <w:shd w:val="clear" w:color="auto" w:fill="FFFFFF"/>
            <w:tcBorders>
              <w:top w:val="single" w:sz="4" w:color="BFBFBF"/>
              <w:left w:val="single" w:sz="4" w:color="BFBFBF"/>
              <w:bottom w:val="single" w:sz="4" w:color="BFBFBF"/>
              <w:right w:val="single" w:sz="4" w:color="BFBFBF"/>
            </w:tcBorders>
          </w:tcPr>
          <w:p>
            <w:r>
              <w:rPr>
                <w:rFonts w:ascii="Arial" w:hAnsi="Arial" w:cs="Arial"/>
                <w:b/>
                <w:i w:val="0"/>
                <w:color w:val="2C3E50"/>
                <w:sz w:val="18"/>
              </w:rPr>
            </w:r>
            <w:r>
              <w:t>SSH key for VPS</w:t>
            </w:r>
          </w:p>
        </w:tc>
        <w:tc>
          <w:tcPr>
            <w:tcW w:type="dxa" w:w="5040"/>
            <w:shd w:val="clear" w:color="auto" w:fill="E8F5E9"/>
            <w:tcBorders>
              <w:top w:val="single" w:sz="4" w:color="BFBFBF"/>
              <w:left w:val="single" w:sz="4" w:color="BFBFBF"/>
              <w:bottom w:val="single" w:sz="4" w:color="BFBFBF"/>
              <w:right w:val="single" w:sz="4" w:color="BFBFBF"/>
            </w:tcBorders>
          </w:tcPr>
          <w:p>
            <w:r/>
            <w:r>
              <w:rPr>
                <w:rFonts w:ascii="Arial" w:hAnsi="Arial" w:cs="Arial"/>
                <w:b/>
                <w:i w:val="0"/>
                <w:color w:val="27AE60"/>
                <w:sz w:val="18"/>
              </w:rPr>
              <w:t>●  id_novu_vps (ED25519, dedicated)</w:t>
            </w:r>
          </w:p>
        </w:tc>
      </w:tr>
      <w:tr>
        <w:tc>
          <w:tcPr>
            <w:tcW w:type="dxa" w:w="4320"/>
            <w:shd w:val="clear" w:color="auto" w:fill="F8F9FA"/>
            <w:tcBorders>
              <w:top w:val="single" w:sz="4" w:color="BFBFBF"/>
              <w:left w:val="single" w:sz="4" w:color="BFBFBF"/>
              <w:bottom w:val="single" w:sz="4" w:color="BFBFBF"/>
              <w:right w:val="single" w:sz="4" w:color="BFBFBF"/>
            </w:tcBorders>
          </w:tcPr>
          <w:p>
            <w:r>
              <w:rPr>
                <w:rFonts w:ascii="Arial" w:hAnsi="Arial" w:cs="Arial"/>
                <w:b/>
                <w:i w:val="0"/>
                <w:color w:val="2C3E50"/>
                <w:sz w:val="18"/>
              </w:rPr>
            </w:r>
            <w:r>
              <w:t>Pre-commit secret scan</w:t>
            </w:r>
          </w:p>
        </w:tc>
        <w:tc>
          <w:tcPr>
            <w:tcW w:type="dxa" w:w="5040"/>
            <w:shd w:val="clear" w:color="auto" w:fill="E8F5E9"/>
            <w:tcBorders>
              <w:top w:val="single" w:sz="4" w:color="BFBFBF"/>
              <w:left w:val="single" w:sz="4" w:color="BFBFBF"/>
              <w:bottom w:val="single" w:sz="4" w:color="BFBFBF"/>
              <w:right w:val="single" w:sz="4" w:color="BFBFBF"/>
            </w:tcBorders>
          </w:tcPr>
          <w:p>
            <w:r/>
            <w:r>
              <w:rPr>
                <w:rFonts w:ascii="Arial" w:hAnsi="Arial" w:cs="Arial"/>
                <w:b/>
                <w:i w:val="0"/>
                <w:color w:val="27AE60"/>
                <w:sz w:val="18"/>
              </w:rPr>
              <w:t>●  Opsera gate active on this repo</w:t>
            </w:r>
          </w:p>
        </w:tc>
      </w:tr>
    </w:tbl>
    <w:p>
      <w:pPr>
        <w:spacing w:after="80" w:line="300" w:lineRule="auto"/>
        <w:jc w:val="left"/>
      </w:pPr>
    </w:p>
    <w:p>
      <w:pPr>
        <w:spacing w:before="80" w:after="40"/>
      </w:pPr>
      <w:r>
        <w:rPr>
          <w:rFonts w:ascii="Arial" w:hAnsi="Arial" w:cs="Arial"/>
          <w:b/>
          <w:i w:val="0"/>
          <w:color w:val="1B3A5C"/>
          <w:sz w:val="24"/>
        </w:rPr>
        <w:t>12.1  Provider compliance posture</w:t>
      </w:r>
    </w:p>
    <w:tbl>
      <w:tblPr>
        <w:tblW w:type="dxa" w:w="9360"/>
        <w:jc w:val="left"/>
        <w:tblLayout w:type="fixed"/>
        <w:tblLook w:firstColumn="1" w:firstRow="1" w:lastColumn="0" w:lastRow="0" w:noHBand="0" w:noVBand="1" w:val="04A0"/>
      </w:tblPr>
      <w:tblGrid>
        <w:gridCol w:w="1872"/>
        <w:gridCol w:w="3600"/>
        <w:gridCol w:w="3888"/>
      </w:tblGrid>
      <w:tr>
        <w:tc>
          <w:tcPr>
            <w:tcW w:type="dxa" w:w="187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6"/>
              </w:rPr>
              <w:t>Provider</w:t>
            </w:r>
          </w:p>
        </w:tc>
        <w:tc>
          <w:tcPr>
            <w:tcW w:type="dxa" w:w="360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6"/>
              </w:rPr>
              <w:t>Compliance status</w:t>
            </w:r>
          </w:p>
        </w:tc>
        <w:tc>
          <w:tcPr>
            <w:tcW w:type="dxa" w:w="388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6"/>
              </w:rPr>
              <w:t>Audit trail</w:t>
            </w:r>
          </w:p>
        </w:tc>
      </w:tr>
      <w:tr>
        <w:tc>
          <w:tcPr>
            <w:tcW w:type="dxa" w:w="187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MSG91 SMS</w:t>
            </w:r>
          </w:p>
        </w:tc>
        <w:tc>
          <w:tcPr>
            <w:tcW w:type="dxa" w:w="360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DLT-registered + sender ID approved + 7 template_ids live</w:t>
            </w:r>
          </w:p>
        </w:tc>
        <w:tc>
          <w:tcPr>
            <w:tcW w:type="dxa" w:w="38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Per-dispatch audit row with template_id, recipient, status, timestamp</w:t>
            </w:r>
          </w:p>
        </w:tc>
      </w:tr>
      <w:tr>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ICPaaS WhatsApp</w:t>
            </w:r>
          </w:p>
        </w:tc>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Meta-approved Cloud API + ICPaaS SDK + dynamictemp2 template family</w:t>
            </w:r>
          </w:p>
        </w:tc>
        <w:tc>
          <w:tcPr>
            <w:tcW w:type="dxa" w:w="38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wamid issued per send; audit row + ICPaaS dashboard reconciliation</w:t>
            </w:r>
          </w:p>
        </w:tc>
      </w:tr>
      <w:tr>
        <w:tc>
          <w:tcPr>
            <w:tcW w:type="dxa" w:w="187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AWS SES Email</w:t>
            </w:r>
          </w:p>
        </w:tc>
        <w:tc>
          <w:tcPr>
            <w:tcW w:type="dxa" w:w="360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Not provisioned — deferred to Phase 2</w:t>
            </w:r>
          </w:p>
        </w:tc>
        <w:tc>
          <w:tcPr>
            <w:tcW w:type="dxa" w:w="388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Will use VPC endpoint to keep traffic in-region when provisioned</w:t>
            </w:r>
          </w:p>
        </w:tc>
      </w:tr>
      <w:tr>
        <w:tc>
          <w:tcPr>
            <w:tcW w:type="dxa" w:w="187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Novu Inbox</w:t>
            </w:r>
          </w:p>
        </w:tc>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Self-hosted — no PII leaves the VPS</w:t>
            </w:r>
          </w:p>
        </w:tc>
        <w:tc>
          <w:tcPr>
            <w:tcW w:type="dxa" w:w="388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Activity Feed shows in-app delivery confirmation</w:t>
            </w:r>
          </w:p>
        </w:tc>
      </w:tr>
    </w:tbl>
    <w:p>
      <w:pPr>
        <w:spacing w:after="0"/>
      </w:pPr>
    </w:p>
    <w:p>
      <w:pPr>
        <w:spacing w:before="160" w:after="40"/>
      </w:pPr>
      <w:r>
        <w:rPr>
          <w:rFonts w:ascii="Arial" w:hAnsi="Arial" w:cs="Arial"/>
          <w:b/>
          <w:i w:val="0"/>
          <w:color w:val="2C3E50"/>
          <w:sz w:val="28"/>
        </w:rPr>
        <w:t>13.  VAPT / Vulnerability Findings</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p>
      <w:pPr>
        <w:spacing w:after="120" w:line="300" w:lineRule="auto"/>
        <w:jc w:val="left"/>
      </w:pPr>
      <w:r>
        <w:rPr>
          <w:rFonts w:ascii="Arial" w:hAnsi="Arial" w:cs="Arial"/>
          <w:b w:val="0"/>
          <w:i w:val="0"/>
          <w:color w:val="2C3E50"/>
          <w:sz w:val="20"/>
        </w:rPr>
        <w:t>External penetration testing has not been commissioned yet (planned for Phase 4 pre-Track-A migration). Internal security findings as of this document version:</w:t>
      </w:r>
    </w:p>
    <w:tbl>
      <w:tblPr>
        <w:tblW w:type="dxa" w:w="9360"/>
        <w:jc w:val="left"/>
        <w:tblLayout w:type="fixed"/>
        <w:tblLook w:firstColumn="1" w:firstRow="1" w:lastColumn="0" w:lastRow="0" w:noHBand="0" w:noVBand="1" w:val="04A0"/>
      </w:tblPr>
      <w:tblGrid>
        <w:gridCol w:w="2160"/>
        <w:gridCol w:w="1440"/>
        <w:gridCol w:w="3600"/>
        <w:gridCol w:w="2160"/>
      </w:tblGrid>
      <w:tr>
        <w:tc>
          <w:tcPr>
            <w:tcW w:type="dxa" w:w="216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Finding ID</w:t>
            </w:r>
          </w:p>
        </w:tc>
        <w:tc>
          <w:tcPr>
            <w:tcW w:type="dxa" w:w="144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Severity</w:t>
            </w:r>
          </w:p>
        </w:tc>
        <w:tc>
          <w:tcPr>
            <w:tcW w:type="dxa" w:w="360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Title</w:t>
            </w:r>
          </w:p>
        </w:tc>
        <w:tc>
          <w:tcPr>
            <w:tcW w:type="dxa" w:w="216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Status</w:t>
            </w:r>
          </w:p>
        </w:tc>
      </w:tr>
      <w:tr>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TPE-SEC-2026-001</w:t>
            </w:r>
          </w:p>
        </w:tc>
        <w:tc>
          <w:tcPr>
            <w:tcW w:type="dxa" w:w="14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 CRITICAL</w:t>
            </w:r>
          </w:p>
        </w:tc>
        <w:tc>
          <w:tcPr>
            <w:tcW w:type="dxa" w:w="360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Leaked GoDaddy *.inadev.net wildcard SSL private key in video-kyc-webrtc git history</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Open — rotation in progress</w:t>
            </w:r>
          </w:p>
        </w:tc>
      </w:tr>
      <w:tr>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TPE-SEC-2026-002</w:t>
            </w:r>
          </w:p>
        </w:tc>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 HIGH</w:t>
            </w:r>
          </w:p>
        </w:tc>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Leaked tpe-stage-ekyc.pem SSH private key in video-kyc-webrtc git history</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Open — rotation in progress</w:t>
            </w:r>
          </w:p>
        </w:tc>
      </w:tr>
      <w:tr>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TPE-SEC-2026-003</w:t>
            </w:r>
          </w:p>
        </w:tc>
        <w:tc>
          <w:tcPr>
            <w:tcW w:type="dxa" w:w="14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 HIGH</w:t>
            </w:r>
          </w:p>
        </w:tc>
        <w:tc>
          <w:tcPr>
            <w:tcW w:type="dxa" w:w="360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Leaked tpe-bulk-import.pem SSH private key in video-kyc-webrtc git history</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Open — rotation in progress (purpose audit needed)</w:t>
            </w:r>
          </w:p>
        </w:tc>
      </w:tr>
      <w:tr>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TPE-SEC-2026-004</w:t>
            </w:r>
          </w:p>
        </w:tc>
        <w:tc>
          <w:tcPr>
            <w:tcW w:type="dxa" w:w="144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 MEDIUM</w:t>
            </w:r>
          </w:p>
        </w:tc>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Pre-commit Opsera gate only blocks NEW findings — 422 pre-existing findings persist</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Mitigation: add gitleaks pre-commit hook with strict policy</w:t>
            </w:r>
          </w:p>
        </w:tc>
      </w:tr>
      <w:tr>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TPE-SEC-2026-005</w:t>
            </w:r>
          </w:p>
        </w:tc>
        <w:tc>
          <w:tcPr>
            <w:tcW w:type="dxa" w:w="144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 LOW</w:t>
            </w:r>
          </w:p>
        </w:tc>
        <w:tc>
          <w:tcPr>
            <w:tcW w:type="dxa" w:w="360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Stale SSH alias `github-personal` in ~/.ssh/config orphaned key not on any account</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Cleanup; no exploit path</w:t>
            </w:r>
          </w:p>
        </w:tc>
      </w:tr>
    </w:tbl>
    <w:p>
      <w:pPr>
        <w:spacing w:after="80" w:line="300" w:lineRule="auto"/>
        <w:jc w:val="left"/>
      </w:pPr>
    </w:p>
    <w:tbl>
      <w:tblPr>
        <w:tblW w:type="dxa" w:w="9360"/>
        <w:tblLayout w:type="fixed"/>
        <w:tblLook w:firstColumn="1" w:firstRow="1" w:lastColumn="0" w:lastRow="0" w:noHBand="0" w:noVBand="1" w:val="04A0"/>
      </w:tblPr>
      <w:tblGrid>
        <w:gridCol w:w="9360"/>
      </w:tblGrid>
      <w:tr>
        <w:tc>
          <w:tcPr>
            <w:tcW w:type="dxa" w:w="9360"/>
            <w:shd w:val="clear" w:color="auto" w:fill="FFF8E1"/>
            <w:tcBorders>
              <w:top w:val="single" w:sz="4" w:color="BFBFBF"/>
              <w:left w:val="single" w:sz="4" w:color="BFBFBF"/>
              <w:bottom w:val="single" w:sz="4" w:color="BFBFBF"/>
              <w:right w:val="single" w:sz="4" w:color="BFBFBF"/>
            </w:tcBorders>
          </w:tcPr>
          <w:p>
            <w:r/>
            <w:r>
              <w:rPr>
                <w:rFonts w:ascii="Arial" w:hAnsi="Arial" w:cs="Arial"/>
                <w:b/>
                <w:i w:val="0"/>
                <w:color w:val="E67E22"/>
                <w:sz w:val="20"/>
              </w:rPr>
              <w:t>VAPT scan timeline</w:t>
            </w:r>
          </w:p>
          <w:p>
            <w:r>
              <w:rPr>
                <w:rFonts w:ascii="Arial" w:hAnsi="Arial" w:cs="Arial"/>
                <w:b w:val="0"/>
                <w:i w:val="0"/>
                <w:color w:val="2C3E50"/>
                <w:sz w:val="19"/>
              </w:rPr>
              <w:t>External VAPT scheduled for Phase 4 (Oct 2026) as a pre-go-live gate. Internal scans (gitleaks, checkov, semgrep, hadolint, npm audit, grype) run via Opsera plugin on commit but only flag NEW findings. A daily cron-driven full-repo scan is planned for Phase 1.5.</w:t>
            </w:r>
          </w:p>
        </w:tc>
      </w:tr>
    </w:tbl>
    <w:p>
      <w:pPr>
        <w:spacing w:after="40" w:line="300" w:lineRule="auto"/>
        <w:jc w:val="left"/>
      </w:pPr>
    </w:p>
    <w:p>
      <w:pPr>
        <w:spacing w:after="0"/>
      </w:pPr>
    </w:p>
    <w:p>
      <w:pPr>
        <w:spacing w:before="160" w:after="40"/>
      </w:pPr>
      <w:r>
        <w:rPr>
          <w:rFonts w:ascii="Arial" w:hAnsi="Arial" w:cs="Arial"/>
          <w:b/>
          <w:i w:val="0"/>
          <w:color w:val="2C3E50"/>
          <w:sz w:val="28"/>
        </w:rPr>
        <w:t>14.  Functional Gaps Summary</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p>
      <w:pPr>
        <w:spacing w:after="80" w:line="300" w:lineRule="auto"/>
        <w:jc w:val="left"/>
      </w:pPr>
      <w:r>
        <w:rPr>
          <w:rFonts w:ascii="Arial" w:hAnsi="Arial" w:cs="Arial"/>
          <w:b w:val="0"/>
          <w:i w:val="0"/>
          <w:color w:val="2C3E50"/>
          <w:sz w:val="20"/>
        </w:rPr>
        <w:t>Charter §4.3 mandates 49 lifecycle triggers. Current state:</w:t>
      </w:r>
    </w:p>
    <w:tbl>
      <w:tblPr>
        <w:tblW w:type="dxa" w:w="9360"/>
        <w:tblLayout w:type="fixed"/>
        <w:tblLook w:firstColumn="1" w:firstRow="1" w:lastColumn="0" w:lastRow="0" w:noHBand="0" w:noVBand="1" w:val="04A0"/>
      </w:tblPr>
      <w:tblGrid>
        <w:gridCol w:w="2340"/>
        <w:gridCol w:w="2340"/>
        <w:gridCol w:w="2340"/>
        <w:gridCol w:w="2340"/>
      </w:tblGrid>
      <w:tr>
        <w:tc>
          <w:tcPr>
            <w:tcW w:type="dxa" w:w="2340"/>
            <w:shd w:val="clear" w:color="auto" w:fill="FAFBFC"/>
            <w:tcBorders>
              <w:top w:val="single" w:sz="18" w:color="27AE60"/>
              <w:left w:val="single" w:sz="18" w:color="27AE60"/>
              <w:bottom w:val="single" w:sz="18" w:color="27AE60"/>
              <w:right w:val="single" w:sz="18" w:color="27AE60"/>
            </w:tcBorders>
            <w:vAlign w:val="center"/>
          </w:tcPr>
          <w:p>
            <w:pPr>
              <w:jc w:val="center"/>
            </w:pPr>
            <w:r/>
            <w:r>
              <w:rPr>
                <w:rFonts w:ascii="Arial" w:hAnsi="Arial" w:cs="Arial"/>
                <w:b/>
                <w:i w:val="0"/>
                <w:color w:val="27AE60"/>
                <w:sz w:val="44"/>
              </w:rPr>
              <w:t>17</w:t>
            </w:r>
          </w:p>
          <w:p>
            <w:pPr>
              <w:spacing w:after="80"/>
              <w:jc w:val="center"/>
            </w:pPr>
            <w:r>
              <w:rPr>
                <w:rFonts w:ascii="Arial" w:hAnsi="Arial" w:cs="Arial"/>
                <w:b w:val="0"/>
                <w:i w:val="0"/>
                <w:color w:val="2C3E50"/>
                <w:sz w:val="17"/>
              </w:rPr>
              <w:t>Live</w:t>
            </w:r>
          </w:p>
        </w:tc>
        <w:tc>
          <w:tcPr>
            <w:tcW w:type="dxa" w:w="2340"/>
            <w:shd w:val="clear" w:color="auto" w:fill="FAFBFC"/>
            <w:tcBorders>
              <w:top w:val="single" w:sz="18" w:color="2E75B6"/>
              <w:left w:val="single" w:sz="18" w:color="2E75B6"/>
              <w:bottom w:val="single" w:sz="18" w:color="2E75B6"/>
              <w:right w:val="single" w:sz="18" w:color="2E75B6"/>
            </w:tcBorders>
            <w:vAlign w:val="center"/>
          </w:tcPr>
          <w:p>
            <w:pPr>
              <w:jc w:val="center"/>
            </w:pPr>
            <w:r/>
            <w:r>
              <w:rPr>
                <w:rFonts w:ascii="Arial" w:hAnsi="Arial" w:cs="Arial"/>
                <w:b/>
                <w:i w:val="0"/>
                <w:color w:val="2E75B6"/>
                <w:sz w:val="44"/>
              </w:rPr>
              <w:t>0</w:t>
            </w:r>
          </w:p>
          <w:p>
            <w:pPr>
              <w:spacing w:after="80"/>
              <w:jc w:val="center"/>
            </w:pPr>
            <w:r>
              <w:rPr>
                <w:rFonts w:ascii="Arial" w:hAnsi="Arial" w:cs="Arial"/>
                <w:b w:val="0"/>
                <w:i w:val="0"/>
                <w:color w:val="2C3E50"/>
                <w:sz w:val="17"/>
              </w:rPr>
              <w:t>In progress</w:t>
            </w:r>
          </w:p>
        </w:tc>
        <w:tc>
          <w:tcPr>
            <w:tcW w:type="dxa" w:w="2340"/>
            <w:shd w:val="clear" w:color="auto" w:fill="FAFBFC"/>
            <w:tcBorders>
              <w:top w:val="single" w:sz="18" w:color="E67E22"/>
              <w:left w:val="single" w:sz="18" w:color="E67E22"/>
              <w:bottom w:val="single" w:sz="18" w:color="E67E22"/>
              <w:right w:val="single" w:sz="18" w:color="E67E22"/>
            </w:tcBorders>
            <w:vAlign w:val="center"/>
          </w:tcPr>
          <w:p>
            <w:pPr>
              <w:jc w:val="center"/>
            </w:pPr>
            <w:r/>
            <w:r>
              <w:rPr>
                <w:rFonts w:ascii="Arial" w:hAnsi="Arial" w:cs="Arial"/>
                <w:b/>
                <w:i w:val="0"/>
                <w:color w:val="E67E22"/>
                <w:sz w:val="44"/>
              </w:rPr>
              <w:t>32</w:t>
            </w:r>
          </w:p>
          <w:p>
            <w:pPr>
              <w:spacing w:after="80"/>
              <w:jc w:val="center"/>
            </w:pPr>
            <w:r>
              <w:rPr>
                <w:rFonts w:ascii="Arial" w:hAnsi="Arial" w:cs="Arial"/>
                <w:b w:val="0"/>
                <w:i w:val="0"/>
                <w:color w:val="2C3E50"/>
                <w:sz w:val="17"/>
              </w:rPr>
              <w:t>Pending</w:t>
            </w:r>
          </w:p>
        </w:tc>
        <w:tc>
          <w:tcPr>
            <w:tcW w:type="dxa" w:w="2340"/>
            <w:shd w:val="clear" w:color="auto" w:fill="FAFBFC"/>
            <w:tcBorders>
              <w:top w:val="single" w:sz="18" w:color="1B3A5C"/>
              <w:left w:val="single" w:sz="18" w:color="1B3A5C"/>
              <w:bottom w:val="single" w:sz="18" w:color="1B3A5C"/>
              <w:right w:val="single" w:sz="18" w:color="1B3A5C"/>
            </w:tcBorders>
            <w:vAlign w:val="center"/>
          </w:tcPr>
          <w:p>
            <w:pPr>
              <w:jc w:val="center"/>
            </w:pPr>
            <w:r/>
            <w:r>
              <w:rPr>
                <w:rFonts w:ascii="Arial" w:hAnsi="Arial" w:cs="Arial"/>
                <w:b/>
                <w:i w:val="0"/>
                <w:color w:val="1B3A5C"/>
                <w:sz w:val="44"/>
              </w:rPr>
              <w:t>35%</w:t>
            </w:r>
          </w:p>
          <w:p>
            <w:pPr>
              <w:spacing w:after="80"/>
              <w:jc w:val="center"/>
            </w:pPr>
            <w:r>
              <w:rPr>
                <w:rFonts w:ascii="Arial" w:hAnsi="Arial" w:cs="Arial"/>
                <w:b w:val="0"/>
                <w:i w:val="0"/>
                <w:color w:val="2C3E50"/>
                <w:sz w:val="17"/>
              </w:rPr>
              <w:t>Charter coverage</w:t>
            </w:r>
          </w:p>
        </w:tc>
      </w:tr>
    </w:tbl>
    <w:p>
      <w:pPr>
        <w:spacing w:after="160" w:line="300" w:lineRule="auto"/>
        <w:jc w:val="left"/>
      </w:pPr>
    </w:p>
    <w:tbl>
      <w:tblPr>
        <w:tblW w:type="dxa" w:w="9360"/>
        <w:jc w:val="left"/>
        <w:tblLayout w:type="fixed"/>
        <w:tblLook w:firstColumn="1" w:firstRow="1" w:lastColumn="0" w:lastRow="0" w:noHBand="0" w:noVBand="1" w:val="04A0"/>
      </w:tblPr>
      <w:tblGrid>
        <w:gridCol w:w="2592"/>
        <w:gridCol w:w="1728"/>
        <w:gridCol w:w="1007"/>
        <w:gridCol w:w="1296"/>
        <w:gridCol w:w="2736"/>
      </w:tblGrid>
      <w:tr>
        <w:tc>
          <w:tcPr>
            <w:tcW w:type="dxa" w:w="259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Audience group</w:t>
            </w:r>
          </w:p>
        </w:tc>
        <w:tc>
          <w:tcPr>
            <w:tcW w:type="dxa" w:w="172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Charter count</w:t>
            </w:r>
          </w:p>
        </w:tc>
        <w:tc>
          <w:tcPr>
            <w:tcW w:type="dxa" w:w="1007"/>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Live</w:t>
            </w:r>
          </w:p>
        </w:tc>
        <w:tc>
          <w:tcPr>
            <w:tcW w:type="dxa" w:w="1296"/>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Pending</w:t>
            </w:r>
          </w:p>
        </w:tc>
        <w:tc>
          <w:tcPr>
            <w:tcW w:type="dxa" w:w="2736"/>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Phase</w:t>
            </w:r>
          </w:p>
        </w:tc>
      </w:tr>
      <w:tr>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 (Policyholder)</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17</w:t>
            </w:r>
          </w:p>
        </w:tc>
        <w:tc>
          <w:tcPr>
            <w:tcW w:type="dxa" w:w="1007"/>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10</w:t>
            </w:r>
          </w:p>
        </w:tc>
        <w:tc>
          <w:tcPr>
            <w:tcW w:type="dxa" w:w="129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7</w:t>
            </w:r>
          </w:p>
        </w:tc>
        <w:tc>
          <w:tcPr>
            <w:tcW w:type="dxa" w:w="27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 2-3 (May-Aug 2026)</w:t>
            </w:r>
          </w:p>
        </w:tc>
      </w:tr>
      <w:tr>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INV (Investor)</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12</w:t>
            </w:r>
          </w:p>
        </w:tc>
        <w:tc>
          <w:tcPr>
            <w:tcW w:type="dxa" w:w="1007"/>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7</w:t>
            </w:r>
          </w:p>
        </w:tc>
        <w:tc>
          <w:tcPr>
            <w:tcW w:type="dxa" w:w="12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5</w:t>
            </w:r>
          </w:p>
        </w:tc>
        <w:tc>
          <w:tcPr>
            <w:tcW w:type="dxa" w:w="27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 2 (May-Jun 2026)</w:t>
            </w:r>
          </w:p>
        </w:tc>
      </w:tr>
      <w:tr>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INS (Insurer)</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6</w:t>
            </w:r>
          </w:p>
        </w:tc>
        <w:tc>
          <w:tcPr>
            <w:tcW w:type="dxa" w:w="1007"/>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0</w:t>
            </w:r>
          </w:p>
        </w:tc>
        <w:tc>
          <w:tcPr>
            <w:tcW w:type="dxa" w:w="129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6</w:t>
            </w:r>
          </w:p>
        </w:tc>
        <w:tc>
          <w:tcPr>
            <w:tcW w:type="dxa" w:w="27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 2 (May-Jun 2026)</w:t>
            </w:r>
          </w:p>
        </w:tc>
      </w:tr>
      <w:tr>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OPS (Operations)</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9</w:t>
            </w:r>
          </w:p>
        </w:tc>
        <w:tc>
          <w:tcPr>
            <w:tcW w:type="dxa" w:w="1007"/>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0</w:t>
            </w:r>
          </w:p>
        </w:tc>
        <w:tc>
          <w:tcPr>
            <w:tcW w:type="dxa" w:w="12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9</w:t>
            </w:r>
          </w:p>
        </w:tc>
        <w:tc>
          <w:tcPr>
            <w:tcW w:type="dxa" w:w="27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 3 (Jul-Aug 2026)</w:t>
            </w:r>
          </w:p>
        </w:tc>
      </w:tr>
      <w:tr>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REG (Regulator)</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5</w:t>
            </w:r>
          </w:p>
        </w:tc>
        <w:tc>
          <w:tcPr>
            <w:tcW w:type="dxa" w:w="1007"/>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0</w:t>
            </w:r>
          </w:p>
        </w:tc>
        <w:tc>
          <w:tcPr>
            <w:tcW w:type="dxa" w:w="129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5</w:t>
            </w:r>
          </w:p>
        </w:tc>
        <w:tc>
          <w:tcPr>
            <w:tcW w:type="dxa" w:w="27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Phase 4 (Sep 2026)</w:t>
            </w:r>
          </w:p>
        </w:tc>
      </w:tr>
      <w:tr>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TOTAL</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49</w:t>
            </w:r>
          </w:p>
        </w:tc>
        <w:tc>
          <w:tcPr>
            <w:tcW w:type="dxa" w:w="1007"/>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17</w:t>
            </w:r>
          </w:p>
        </w:tc>
        <w:tc>
          <w:tcPr>
            <w:tcW w:type="dxa" w:w="129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32</w:t>
            </w:r>
          </w:p>
        </w:tc>
        <w:tc>
          <w:tcPr>
            <w:tcW w:type="dxa" w:w="27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t>
            </w:r>
          </w:p>
        </w:tc>
      </w:tr>
    </w:tbl>
    <w:p>
      <w:pPr>
        <w:spacing w:after="80" w:line="300" w:lineRule="auto"/>
        <w:jc w:val="left"/>
      </w:pPr>
    </w:p>
    <w:p>
      <w:pPr>
        <w:spacing w:before="80" w:after="40"/>
      </w:pPr>
      <w:r>
        <w:rPr>
          <w:rFonts w:ascii="Arial" w:hAnsi="Arial" w:cs="Arial"/>
          <w:b/>
          <w:i w:val="0"/>
          <w:color w:val="1B3A5C"/>
          <w:sz w:val="24"/>
        </w:rPr>
        <w:t>14.1  Channel coverage</w:t>
      </w:r>
    </w:p>
    <w:tbl>
      <w:tblPr>
        <w:tblW w:type="dxa" w:w="9360"/>
        <w:jc w:val="left"/>
        <w:tblLayout w:type="fixed"/>
        <w:tblLook w:firstColumn="1" w:firstRow="1" w:lastColumn="0" w:lastRow="0" w:noHBand="0" w:noVBand="1" w:val="04A0"/>
      </w:tblPr>
      <w:tblGrid>
        <w:gridCol w:w="1728"/>
        <w:gridCol w:w="1728"/>
        <w:gridCol w:w="2160"/>
        <w:gridCol w:w="3744"/>
      </w:tblGrid>
      <w:tr>
        <w:tc>
          <w:tcPr>
            <w:tcW w:type="dxa" w:w="172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Channel</w:t>
            </w:r>
          </w:p>
        </w:tc>
        <w:tc>
          <w:tcPr>
            <w:tcW w:type="dxa" w:w="172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Status</w:t>
            </w:r>
          </w:p>
        </w:tc>
        <w:tc>
          <w:tcPr>
            <w:tcW w:type="dxa" w:w="216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Provider</w:t>
            </w:r>
          </w:p>
        </w:tc>
        <w:tc>
          <w:tcPr>
            <w:tcW w:type="dxa" w:w="3744"/>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Gap</w:t>
            </w:r>
          </w:p>
        </w:tc>
      </w:tr>
      <w:tr>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SMS</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 Live</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MSG91</w:t>
            </w:r>
          </w:p>
        </w:tc>
        <w:tc>
          <w:tcPr>
            <w:tcW w:type="dxa" w:w="374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Gupshup fallback not wired</w:t>
            </w:r>
          </w:p>
        </w:tc>
      </w:tr>
      <w:tr>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WhatsApp</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 Live</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ICPaaS</w:t>
            </w:r>
          </w:p>
        </w:tc>
        <w:tc>
          <w:tcPr>
            <w:tcW w:type="dxa" w:w="374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None</w:t>
            </w:r>
          </w:p>
        </w:tc>
      </w:tr>
      <w:tr>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Email</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 Deferred</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(AWS SES)</w:t>
            </w:r>
          </w:p>
        </w:tc>
        <w:tc>
          <w:tcPr>
            <w:tcW w:type="dxa" w:w="374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SES not provisioned</w:t>
            </w:r>
          </w:p>
        </w:tc>
      </w:tr>
      <w:tr>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In-app</w:t>
            </w:r>
          </w:p>
        </w:tc>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 Live</w:t>
            </w:r>
          </w:p>
        </w:tc>
        <w:tc>
          <w:tcPr>
            <w:tcW w:type="dxa" w:w="21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Novu Inbox</w:t>
            </w:r>
          </w:p>
        </w:tc>
        <w:tc>
          <w:tcPr>
            <w:tcW w:type="dxa" w:w="3744"/>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None</w:t>
            </w:r>
          </w:p>
        </w:tc>
      </w:tr>
      <w:tr>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Push</w:t>
            </w:r>
          </w:p>
        </w:tc>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 Pending</w:t>
            </w:r>
          </w:p>
        </w:tc>
        <w:tc>
          <w:tcPr>
            <w:tcW w:type="dxa" w:w="21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(FCM/APNs)</w:t>
            </w:r>
          </w:p>
        </w:tc>
        <w:tc>
          <w:tcPr>
            <w:tcW w:type="dxa" w:w="3744"/>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Out of Phase 1; Phase 3 target</w:t>
            </w:r>
          </w:p>
        </w:tc>
      </w:tr>
    </w:tbl>
    <w:p>
      <w:pPr>
        <w:spacing w:after="0"/>
      </w:pPr>
    </w:p>
    <w:p>
      <w:pPr>
        <w:spacing w:before="160" w:after="40"/>
      </w:pPr>
      <w:r>
        <w:rPr>
          <w:rFonts w:ascii="Arial" w:hAnsi="Arial" w:cs="Arial"/>
          <w:b/>
          <w:i w:val="0"/>
          <w:color w:val="2C3E50"/>
          <w:sz w:val="28"/>
        </w:rPr>
        <w:t>15.  Environment Access</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p>
      <w:pPr>
        <w:spacing w:before="80" w:after="40"/>
      </w:pPr>
      <w:r>
        <w:rPr>
          <w:rFonts w:ascii="Arial" w:hAnsi="Arial" w:cs="Arial"/>
          <w:b/>
          <w:i w:val="0"/>
          <w:color w:val="1B3A5C"/>
          <w:sz w:val="24"/>
        </w:rPr>
        <w:t>15.1  Stage VPS surfaces</w:t>
      </w:r>
    </w:p>
    <w:tbl>
      <w:tblPr>
        <w:tblW w:type="dxa" w:w="9360"/>
        <w:jc w:val="left"/>
        <w:tblLayout w:type="fixed"/>
        <w:tblLook w:firstColumn="1" w:firstRow="1" w:lastColumn="0" w:lastRow="0" w:noHBand="0" w:noVBand="1" w:val="04A0"/>
      </w:tblPr>
      <w:tblGrid>
        <w:gridCol w:w="2592"/>
        <w:gridCol w:w="3600"/>
        <w:gridCol w:w="3168"/>
      </w:tblGrid>
      <w:tr>
        <w:tc>
          <w:tcPr>
            <w:tcW w:type="dxa" w:w="259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6"/>
              </w:rPr>
              <w:t>Surface</w:t>
            </w:r>
          </w:p>
        </w:tc>
        <w:tc>
          <w:tcPr>
            <w:tcW w:type="dxa" w:w="360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6"/>
              </w:rPr>
              <w:t>URL</w:t>
            </w:r>
          </w:p>
        </w:tc>
        <w:tc>
          <w:tcPr>
            <w:tcW w:type="dxa" w:w="316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6"/>
              </w:rPr>
              <w:t>Access</w:t>
            </w:r>
          </w:p>
        </w:tc>
      </w:tr>
      <w:tr>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Sandbox Dashboard (PRIMARY)</w:t>
            </w:r>
          </w:p>
        </w:tc>
        <w:tc>
          <w:tcPr>
            <w:tcW w:type="dxa" w:w="360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http://103.138.96.180:8080</w:t>
            </w:r>
          </w:p>
        </w:tc>
        <w:tc>
          <w:tcPr>
            <w:tcW w:type="dxa" w:w="31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sandbox@tpe-test.local / SandboxStage2026!</w:t>
            </w:r>
          </w:p>
        </w:tc>
      </w:tr>
      <w:tr>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Sandbox API</w:t>
            </w:r>
          </w:p>
        </w:tc>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http://103.138.96.180:8081</w:t>
            </w:r>
          </w:p>
        </w:tc>
        <w:tc>
          <w:tcPr>
            <w:tcW w:type="dxa" w:w="31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ApiKey 54ad9d4dd50398489413be350237bd88</w:t>
            </w:r>
          </w:p>
        </w:tc>
      </w:tr>
      <w:tr>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Sandbox WebSocket</w:t>
            </w:r>
          </w:p>
        </w:tc>
        <w:tc>
          <w:tcPr>
            <w:tcW w:type="dxa" w:w="360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ws://103.138.96.180:8083</w:t>
            </w:r>
          </w:p>
        </w:tc>
        <w:tc>
          <w:tcPr>
            <w:tcW w:type="dxa" w:w="31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Per-subscriber token</w:t>
            </w:r>
          </w:p>
        </w:tc>
      </w:tr>
      <w:tr>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Live Dashboard (legacy)</w:t>
            </w:r>
          </w:p>
        </w:tc>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http://103.138.96.180/</w:t>
            </w:r>
          </w:p>
        </w:tc>
        <w:tc>
          <w:tcPr>
            <w:tcW w:type="dxa" w:w="31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(same dashboard creds)</w:t>
            </w:r>
          </w:p>
        </w:tc>
      </w:tr>
      <w:tr>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Live API</w:t>
            </w:r>
          </w:p>
        </w:tc>
        <w:tc>
          <w:tcPr>
            <w:tcW w:type="dxa" w:w="360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http://103.138.96.180/api</w:t>
            </w:r>
          </w:p>
        </w:tc>
        <w:tc>
          <w:tcPr>
            <w:tcW w:type="dxa" w:w="31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(legacy ApiKey)</w:t>
            </w:r>
          </w:p>
        </w:tc>
      </w:tr>
      <w:tr>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TPE Admin (sunsetted)</w:t>
            </w:r>
          </w:p>
        </w:tc>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http://103.138.96.180/admin</w:t>
            </w:r>
          </w:p>
        </w:tc>
        <w:tc>
          <w:tcPr>
            <w:tcW w:type="dxa" w:w="31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DOWN — containers stopped + preserved</w:t>
            </w:r>
          </w:p>
        </w:tc>
      </w:tr>
      <w:tr>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VPS root SSH</w:t>
            </w:r>
          </w:p>
        </w:tc>
        <w:tc>
          <w:tcPr>
            <w:tcW w:type="dxa" w:w="360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ssh -i ~/.ssh/id_novu_vps -p 7576 root@103.138.96.180</w:t>
            </w:r>
          </w:p>
        </w:tc>
        <w:tc>
          <w:tcPr>
            <w:tcW w:type="dxa" w:w="31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6"/>
              </w:rPr>
              <w:t>Engineering + Infrastructure leads only</w:t>
            </w:r>
          </w:p>
        </w:tc>
      </w:tr>
    </w:tbl>
    <w:p>
      <w:pPr>
        <w:spacing w:before="80" w:after="40"/>
      </w:pPr>
      <w:r>
        <w:rPr>
          <w:rFonts w:ascii="Arial" w:hAnsi="Arial" w:cs="Arial"/>
          <w:b/>
          <w:i w:val="0"/>
          <w:color w:val="1B3A5C"/>
          <w:sz w:val="24"/>
        </w:rPr>
        <w:t>15.2  Source code repositories</w:t>
      </w:r>
    </w:p>
    <w:tbl>
      <w:tblPr>
        <w:tblW w:type="dxa" w:w="9360"/>
        <w:jc w:val="left"/>
        <w:tblLayout w:type="fixed"/>
        <w:tblLook w:firstColumn="1" w:firstRow="1" w:lastColumn="0" w:lastRow="0" w:noHBand="0" w:noVBand="1" w:val="04A0"/>
      </w:tblPr>
      <w:tblGrid>
        <w:gridCol w:w="2592"/>
        <w:gridCol w:w="4031"/>
        <w:gridCol w:w="2736"/>
      </w:tblGrid>
      <w:tr>
        <w:tc>
          <w:tcPr>
            <w:tcW w:type="dxa" w:w="259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Repo</w:t>
            </w:r>
          </w:p>
        </w:tc>
        <w:tc>
          <w:tcPr>
            <w:tcW w:type="dxa" w:w="4031"/>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URL</w:t>
            </w:r>
          </w:p>
        </w:tc>
        <w:tc>
          <w:tcPr>
            <w:tcW w:type="dxa" w:w="2736"/>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7"/>
              </w:rPr>
              <w:t>SSH alias for push</w:t>
            </w:r>
          </w:p>
        </w:tc>
      </w:tr>
      <w:tr>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tpe-novu (this project)</w:t>
            </w:r>
          </w:p>
        </w:tc>
        <w:tc>
          <w:tcPr>
            <w:tcW w:type="dxa" w:w="403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github.com/aksatyamtpe/tpe-novu</w:t>
            </w:r>
          </w:p>
        </w:tc>
        <w:tc>
          <w:tcPr>
            <w:tcW w:type="dxa" w:w="27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github-work-tpe</w:t>
            </w:r>
          </w:p>
        </w:tc>
      </w:tr>
      <w:tr>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video-kyc-webrtc</w:t>
            </w:r>
          </w:p>
        </w:tc>
        <w:tc>
          <w:tcPr>
            <w:tcW w:type="dxa" w:w="403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github.com/Fairvalue-Insuretech/video-kyc-webrtc</w:t>
            </w:r>
          </w:p>
        </w:tc>
        <w:tc>
          <w:tcPr>
            <w:tcW w:type="dxa" w:w="27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github-work</w:t>
            </w:r>
          </w:p>
        </w:tc>
      </w:tr>
      <w:tr>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tpe-admin (legacy)</w:t>
            </w:r>
          </w:p>
        </w:tc>
        <w:tc>
          <w:tcPr>
            <w:tcW w:type="dxa" w:w="4031"/>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github.com/Fairvalue-Insuretech/tpe-admin</w:t>
            </w:r>
          </w:p>
        </w:tc>
        <w:tc>
          <w:tcPr>
            <w:tcW w:type="dxa" w:w="2736"/>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github-work</w:t>
            </w:r>
          </w:p>
        </w:tc>
      </w:tr>
      <w:tr>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tpe-backend</w:t>
            </w:r>
          </w:p>
        </w:tc>
        <w:tc>
          <w:tcPr>
            <w:tcW w:type="dxa" w:w="4031"/>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github.com/Fairvalue-Insuretech/tpe-backend</w:t>
            </w:r>
          </w:p>
        </w:tc>
        <w:tc>
          <w:tcPr>
            <w:tcW w:type="dxa" w:w="2736"/>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7"/>
              </w:rPr>
              <w:t>github-work</w:t>
            </w:r>
          </w:p>
        </w:tc>
      </w:tr>
    </w:tbl>
    <w:p>
      <w:pPr>
        <w:spacing w:after="0"/>
      </w:pPr>
    </w:p>
    <w:p>
      <w:pPr>
        <w:spacing w:before="160" w:after="40"/>
      </w:pPr>
      <w:r>
        <w:rPr>
          <w:rFonts w:ascii="Arial" w:hAnsi="Arial" w:cs="Arial"/>
          <w:b/>
          <w:i w:val="0"/>
          <w:color w:val="2C3E50"/>
          <w:sz w:val="28"/>
        </w:rPr>
        <w:t>16.  Effort Summary</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tbl>
      <w:tblPr>
        <w:tblW w:type="dxa" w:w="9360"/>
        <w:tblLayout w:type="fixed"/>
        <w:tblLook w:firstColumn="1" w:firstRow="1" w:lastColumn="0" w:lastRow="0" w:noHBand="0" w:noVBand="1" w:val="04A0"/>
      </w:tblPr>
      <w:tblGrid>
        <w:gridCol w:w="2340"/>
        <w:gridCol w:w="2340"/>
        <w:gridCol w:w="2340"/>
        <w:gridCol w:w="2340"/>
      </w:tblGrid>
      <w:tr>
        <w:tc>
          <w:tcPr>
            <w:tcW w:type="dxa" w:w="2340"/>
            <w:shd w:val="clear" w:color="auto" w:fill="FAFBFC"/>
            <w:tcBorders>
              <w:top w:val="single" w:sz="18" w:color="1B3A5C"/>
              <w:left w:val="single" w:sz="18" w:color="1B3A5C"/>
              <w:bottom w:val="single" w:sz="18" w:color="1B3A5C"/>
              <w:right w:val="single" w:sz="18" w:color="1B3A5C"/>
            </w:tcBorders>
            <w:vAlign w:val="center"/>
          </w:tcPr>
          <w:p>
            <w:pPr>
              <w:jc w:val="center"/>
            </w:pPr>
            <w:r/>
            <w:r>
              <w:rPr>
                <w:rFonts w:ascii="Arial" w:hAnsi="Arial" w:cs="Arial"/>
                <w:b/>
                <w:i w:val="0"/>
                <w:color w:val="1B3A5C"/>
                <w:sz w:val="44"/>
              </w:rPr>
              <w:t>3</w:t>
            </w:r>
          </w:p>
          <w:p>
            <w:pPr>
              <w:spacing w:after="80"/>
              <w:jc w:val="center"/>
            </w:pPr>
            <w:r>
              <w:rPr>
                <w:rFonts w:ascii="Arial" w:hAnsi="Arial" w:cs="Arial"/>
                <w:b w:val="0"/>
                <w:i w:val="0"/>
                <w:color w:val="2C3E50"/>
                <w:sz w:val="17"/>
              </w:rPr>
              <w:t>Commits to date</w:t>
            </w:r>
          </w:p>
        </w:tc>
        <w:tc>
          <w:tcPr>
            <w:tcW w:type="dxa" w:w="2340"/>
            <w:shd w:val="clear" w:color="auto" w:fill="FAFBFC"/>
            <w:tcBorders>
              <w:top w:val="single" w:sz="18" w:color="27AE60"/>
              <w:left w:val="single" w:sz="18" w:color="27AE60"/>
              <w:bottom w:val="single" w:sz="18" w:color="27AE60"/>
              <w:right w:val="single" w:sz="18" w:color="27AE60"/>
            </w:tcBorders>
            <w:vAlign w:val="center"/>
          </w:tcPr>
          <w:p>
            <w:pPr>
              <w:jc w:val="center"/>
            </w:pPr>
            <w:r/>
            <w:r>
              <w:rPr>
                <w:rFonts w:ascii="Arial" w:hAnsi="Arial" w:cs="Arial"/>
                <w:b/>
                <w:i w:val="0"/>
                <w:color w:val="27AE60"/>
                <w:sz w:val="44"/>
              </w:rPr>
              <w:t>1.6K</w:t>
            </w:r>
          </w:p>
          <w:p>
            <w:pPr>
              <w:spacing w:after="80"/>
              <w:jc w:val="center"/>
            </w:pPr>
            <w:r>
              <w:rPr>
                <w:rFonts w:ascii="Arial" w:hAnsi="Arial" w:cs="Arial"/>
                <w:b w:val="0"/>
                <w:i w:val="0"/>
                <w:color w:val="2C3E50"/>
                <w:sz w:val="17"/>
              </w:rPr>
              <w:t>Insertions</w:t>
            </w:r>
          </w:p>
        </w:tc>
        <w:tc>
          <w:tcPr>
            <w:tcW w:type="dxa" w:w="2340"/>
            <w:shd w:val="clear" w:color="auto" w:fill="FAFBFC"/>
            <w:tcBorders>
              <w:top w:val="single" w:sz="18" w:color="E67E22"/>
              <w:left w:val="single" w:sz="18" w:color="E67E22"/>
              <w:bottom w:val="single" w:sz="18" w:color="E67E22"/>
              <w:right w:val="single" w:sz="18" w:color="E67E22"/>
            </w:tcBorders>
            <w:vAlign w:val="center"/>
          </w:tcPr>
          <w:p>
            <w:pPr>
              <w:jc w:val="center"/>
            </w:pPr>
            <w:r/>
            <w:r>
              <w:rPr>
                <w:rFonts w:ascii="Arial" w:hAnsi="Arial" w:cs="Arial"/>
                <w:b/>
                <w:i w:val="0"/>
                <w:color w:val="E67E22"/>
                <w:sz w:val="44"/>
              </w:rPr>
              <w:t>1</w:t>
            </w:r>
          </w:p>
          <w:p>
            <w:pPr>
              <w:spacing w:after="80"/>
              <w:jc w:val="center"/>
            </w:pPr>
            <w:r>
              <w:rPr>
                <w:rFonts w:ascii="Arial" w:hAnsi="Arial" w:cs="Arial"/>
                <w:b w:val="0"/>
                <w:i w:val="0"/>
                <w:color w:val="2C3E50"/>
                <w:sz w:val="17"/>
              </w:rPr>
              <w:t>Files deleted</w:t>
            </w:r>
          </w:p>
        </w:tc>
        <w:tc>
          <w:tcPr>
            <w:tcW w:type="dxa" w:w="2340"/>
            <w:shd w:val="clear" w:color="auto" w:fill="FAFBFC"/>
            <w:tcBorders>
              <w:top w:val="single" w:sz="18" w:color="2E75B6"/>
              <w:left w:val="single" w:sz="18" w:color="2E75B6"/>
              <w:bottom w:val="single" w:sz="18" w:color="2E75B6"/>
              <w:right w:val="single" w:sz="18" w:color="2E75B6"/>
            </w:tcBorders>
            <w:vAlign w:val="center"/>
          </w:tcPr>
          <w:p>
            <w:pPr>
              <w:jc w:val="center"/>
            </w:pPr>
            <w:r/>
            <w:r>
              <w:rPr>
                <w:rFonts w:ascii="Arial" w:hAnsi="Arial" w:cs="Arial"/>
                <w:b/>
                <w:i w:val="0"/>
                <w:color w:val="2E75B6"/>
                <w:sz w:val="44"/>
              </w:rPr>
              <w:t>190</w:t>
            </w:r>
          </w:p>
          <w:p>
            <w:pPr>
              <w:spacing w:after="80"/>
              <w:jc w:val="center"/>
            </w:pPr>
            <w:r>
              <w:rPr>
                <w:rFonts w:ascii="Arial" w:hAnsi="Arial" w:cs="Arial"/>
                <w:b w:val="0"/>
                <w:i w:val="0"/>
                <w:color w:val="2C3E50"/>
                <w:sz w:val="17"/>
              </w:rPr>
              <w:t>Files tracked</w:t>
            </w:r>
          </w:p>
        </w:tc>
      </w:tr>
    </w:tbl>
    <w:p>
      <w:pPr>
        <w:spacing w:after="160" w:line="300" w:lineRule="auto"/>
        <w:jc w:val="left"/>
      </w:pPr>
    </w:p>
    <w:tbl>
      <w:tblPr>
        <w:tblW w:type="dxa" w:w="9360"/>
        <w:jc w:val="left"/>
        <w:tblLayout w:type="fixed"/>
        <w:tblLook w:firstColumn="1" w:firstRow="1" w:lastColumn="0" w:lastRow="0" w:noHBand="0" w:noVBand="1" w:val="04A0"/>
      </w:tblPr>
      <w:tblGrid>
        <w:gridCol w:w="3600"/>
        <w:gridCol w:w="2592"/>
        <w:gridCol w:w="3168"/>
      </w:tblGrid>
      <w:tr>
        <w:tc>
          <w:tcPr>
            <w:tcW w:type="dxa" w:w="360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Metric</w:t>
            </w:r>
          </w:p>
        </w:tc>
        <w:tc>
          <w:tcPr>
            <w:tcW w:type="dxa" w:w="259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Value</w:t>
            </w:r>
          </w:p>
        </w:tc>
        <w:tc>
          <w:tcPr>
            <w:tcW w:type="dxa" w:w="316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Notes</w:t>
            </w:r>
          </w:p>
        </w:tc>
      </w:tr>
      <w:tr>
        <w:tc>
          <w:tcPr>
            <w:tcW w:type="dxa" w:w="360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Commits</w:t>
            </w:r>
          </w:p>
        </w:tc>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3 (initial + README + skills)</w:t>
            </w:r>
          </w:p>
        </w:tc>
        <w:tc>
          <w:tcPr>
            <w:tcW w:type="dxa" w:w="31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On main branch</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Lines of TypeScript (Bridge)</w:t>
            </w:r>
          </w:p>
        </w:tc>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~3,500</w:t>
            </w:r>
          </w:p>
        </w:tc>
        <w:tc>
          <w:tcPr>
            <w:tcW w:type="dxa" w:w="31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Bridge workflows + lib</w:t>
            </w:r>
          </w:p>
        </w:tc>
      </w:tr>
      <w:tr>
        <w:tc>
          <w:tcPr>
            <w:tcW w:type="dxa" w:w="360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Lines of Python (DOCX generators)</w:t>
            </w:r>
          </w:p>
        </w:tc>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~3,400</w:t>
            </w:r>
          </w:p>
        </w:tc>
        <w:tc>
          <w:tcPr>
            <w:tcW w:type="dxa" w:w="31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5 generators total</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Lines of markdown (skills + memory)</w:t>
            </w:r>
          </w:p>
        </w:tc>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~5,200</w:t>
            </w:r>
          </w:p>
        </w:tc>
        <w:tc>
          <w:tcPr>
            <w:tcW w:type="dxa" w:w="31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12 skills + memory files</w:t>
            </w:r>
          </w:p>
        </w:tc>
      </w:tr>
      <w:tr>
        <w:tc>
          <w:tcPr>
            <w:tcW w:type="dxa" w:w="360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Files tracked</w:t>
            </w:r>
          </w:p>
        </w:tc>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190</w:t>
            </w:r>
          </w:p>
        </w:tc>
        <w:tc>
          <w:tcPr>
            <w:tcW w:type="dxa" w:w="31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Excludes node_modules, .next, *.pem</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Total project duration to date</w:t>
            </w:r>
          </w:p>
        </w:tc>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~3 weeks</w:t>
            </w:r>
          </w:p>
        </w:tc>
        <w:tc>
          <w:tcPr>
            <w:tcW w:type="dxa" w:w="31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From kickoff to v2.0</w:t>
            </w:r>
          </w:p>
        </w:tc>
      </w:tr>
      <w:tr>
        <w:tc>
          <w:tcPr>
            <w:tcW w:type="dxa" w:w="360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Engineering effort consumed</w:t>
            </w:r>
          </w:p>
        </w:tc>
        <w:tc>
          <w:tcPr>
            <w:tcW w:type="dxa" w:w="259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~25 person-days</w:t>
            </w:r>
          </w:p>
        </w:tc>
        <w:tc>
          <w:tcPr>
            <w:tcW w:type="dxa" w:w="316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Across all roles</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Engineering effort remaining (estimate)</w:t>
            </w:r>
          </w:p>
        </w:tc>
        <w:tc>
          <w:tcPr>
            <w:tcW w:type="dxa" w:w="259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~120-150 PD</w:t>
            </w:r>
          </w:p>
        </w:tc>
        <w:tc>
          <w:tcPr>
            <w:tcW w:type="dxa" w:w="316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Phase 2 through go-live</w:t>
            </w:r>
          </w:p>
        </w:tc>
      </w:tr>
    </w:tbl>
    <w:p>
      <w:pPr>
        <w:spacing w:after="0"/>
      </w:pPr>
    </w:p>
    <w:p>
      <w:pPr>
        <w:spacing w:before="160" w:after="40"/>
      </w:pPr>
      <w:r>
        <w:rPr>
          <w:rFonts w:ascii="Arial" w:hAnsi="Arial" w:cs="Arial"/>
          <w:b/>
          <w:i w:val="0"/>
          <w:color w:val="2C3E50"/>
          <w:sz w:val="28"/>
        </w:rPr>
        <w:t>17.  Commit Type Breakdown</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p>
      <w:pPr>
        <w:spacing w:after="80" w:line="300" w:lineRule="auto"/>
        <w:jc w:val="left"/>
      </w:pPr>
      <w:r>
        <w:rPr>
          <w:rFonts w:ascii="Arial" w:hAnsi="Arial" w:cs="Arial"/>
          <w:b w:val="0"/>
          <w:i w:val="0"/>
          <w:color w:val="2C3E50"/>
          <w:sz w:val="20"/>
        </w:rPr>
        <w:t>Conventional commits since project inception:</w:t>
      </w:r>
    </w:p>
    <w:tbl>
      <w:tblPr>
        <w:tblW w:type="dxa" w:w="9360"/>
        <w:jc w:val="left"/>
        <w:tblLayout w:type="fixed"/>
        <w:tblLook w:firstColumn="1" w:firstRow="1" w:lastColumn="0" w:lastRow="0" w:noHBand="0" w:noVBand="1" w:val="04A0"/>
      </w:tblPr>
      <w:tblGrid>
        <w:gridCol w:w="1728"/>
        <w:gridCol w:w="1152"/>
        <w:gridCol w:w="6480"/>
      </w:tblGrid>
      <w:tr>
        <w:tc>
          <w:tcPr>
            <w:tcW w:type="dxa" w:w="1728"/>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Type</w:t>
            </w:r>
          </w:p>
        </w:tc>
        <w:tc>
          <w:tcPr>
            <w:tcW w:type="dxa" w:w="1152"/>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Count</w:t>
            </w:r>
          </w:p>
        </w:tc>
        <w:tc>
          <w:tcPr>
            <w:tcW w:type="dxa" w:w="648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Examples</w:t>
            </w:r>
          </w:p>
        </w:tc>
      </w:tr>
      <w:tr>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docs</w:t>
            </w:r>
          </w:p>
        </w:tc>
        <w:tc>
          <w:tcPr>
            <w:tcW w:type="dxa" w:w="115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2</w:t>
            </w:r>
          </w:p>
        </w:tc>
        <w:tc>
          <w:tcPr>
            <w:tcW w:type="dxa" w:w="64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README.md, Operator Manual, Project Status, Pivot ADR</w:t>
            </w:r>
          </w:p>
        </w:tc>
      </w:tr>
      <w:tr>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feat</w:t>
            </w:r>
          </w:p>
        </w:tc>
        <w:tc>
          <w:tcPr>
            <w:tcW w:type="dxa" w:w="11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0</w:t>
            </w:r>
          </w:p>
        </w:tc>
        <w:tc>
          <w:tcPr>
            <w:tcW w:type="dxa" w:w="64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(Workflow code lives in Bridge — sync'd, not committed to this repo yet)</w:t>
            </w:r>
          </w:p>
        </w:tc>
      </w:tr>
      <w:tr>
        <w:tc>
          <w:tcPr>
            <w:tcW w:type="dxa" w:w="1728"/>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fix</w:t>
            </w:r>
          </w:p>
        </w:tc>
        <w:tc>
          <w:tcPr>
            <w:tcW w:type="dxa" w:w="1152"/>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0</w:t>
            </w:r>
          </w:p>
        </w:tc>
        <w:tc>
          <w:tcPr>
            <w:tcW w:type="dxa" w:w="64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(N/A in this repo; Bridge fixes happen in deployment subtree)</w:t>
            </w:r>
          </w:p>
        </w:tc>
      </w:tr>
      <w:tr>
        <w:tc>
          <w:tcPr>
            <w:tcW w:type="dxa" w:w="1728"/>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chore</w:t>
            </w:r>
          </w:p>
        </w:tc>
        <w:tc>
          <w:tcPr>
            <w:tcW w:type="dxa" w:w="1152"/>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1</w:t>
            </w:r>
          </w:p>
        </w:tc>
        <w:tc>
          <w:tcPr>
            <w:tcW w:type="dxa" w:w="64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Initial commit: project scaffold + 17 workflows + skills + CLAUDE.md</w:t>
            </w:r>
          </w:p>
        </w:tc>
      </w:tr>
    </w:tbl>
    <w:p>
      <w:pPr>
        <w:spacing w:after="80" w:line="300" w:lineRule="auto"/>
        <w:jc w:val="left"/>
      </w:pPr>
    </w:p>
    <w:tbl>
      <w:tblPr>
        <w:tblW w:type="dxa" w:w="9360"/>
        <w:tblLayout w:type="fixed"/>
        <w:tblLook w:firstColumn="1" w:firstRow="1" w:lastColumn="0" w:lastRow="0" w:noHBand="0" w:noVBand="1" w:val="04A0"/>
      </w:tblPr>
      <w:tblGrid>
        <w:gridCol w:w="9360"/>
      </w:tblGrid>
      <w:tr>
        <w:tc>
          <w:tcPr>
            <w:tcW w:type="dxa" w:w="9360"/>
            <w:shd w:val="clear" w:color="auto" w:fill="F0F4F8"/>
            <w:tcBorders>
              <w:top w:val="single" w:sz="4" w:color="BFBFBF"/>
              <w:left w:val="single" w:sz="4" w:color="BFBFBF"/>
              <w:bottom w:val="single" w:sz="4" w:color="BFBFBF"/>
              <w:right w:val="single" w:sz="4" w:color="BFBFBF"/>
            </w:tcBorders>
          </w:tcPr>
          <w:p>
            <w:r/>
            <w:r>
              <w:rPr>
                <w:rFonts w:ascii="Arial" w:hAnsi="Arial" w:cs="Arial"/>
                <w:b/>
                <w:i w:val="0"/>
                <w:color w:val="1B3A5C"/>
                <w:sz w:val="20"/>
              </w:rPr>
              <w:t>Why so few commits</w:t>
            </w:r>
          </w:p>
          <w:p>
            <w:r>
              <w:rPr>
                <w:rFonts w:ascii="Arial" w:hAnsi="Arial" w:cs="Arial"/>
                <w:b w:val="0"/>
                <w:i w:val="0"/>
                <w:color w:val="2C3E50"/>
                <w:sz w:val="19"/>
              </w:rPr>
              <w:t>This GitHub repo (tpe-novu) was just published on 1 May 2026 with the existing project state as a single initial commit. The 3 weeks of work prior were unversioned (engineering happened directly on the VPS source tree). Future commits will follow conventional-commit format and this section will populate as the project matures.</w:t>
            </w:r>
          </w:p>
        </w:tc>
      </w:tr>
    </w:tbl>
    <w:p>
      <w:pPr>
        <w:spacing w:after="40" w:line="300" w:lineRule="auto"/>
        <w:jc w:val="left"/>
      </w:pPr>
    </w:p>
    <w:p>
      <w:pPr>
        <w:spacing w:after="0"/>
      </w:pPr>
    </w:p>
    <w:p>
      <w:pPr>
        <w:spacing w:before="160" w:after="40"/>
      </w:pPr>
      <w:r>
        <w:rPr>
          <w:rFonts w:ascii="Arial" w:hAnsi="Arial" w:cs="Arial"/>
          <w:b/>
          <w:i w:val="0"/>
          <w:color w:val="2C3E50"/>
          <w:sz w:val="28"/>
        </w:rPr>
        <w:t>18.  References &amp; Links</w:t>
      </w:r>
    </w:p>
    <w:tbl>
      <w:tblPr>
        <w:tblW w:type="dxa" w:w="9360"/>
        <w:tblLayout w:type="fixed"/>
        <w:tblLook w:firstColumn="1" w:firstRow="1" w:lastColumn="0" w:lastRow="0" w:noHBand="0" w:noVBand="1" w:val="04A0"/>
      </w:tblPr>
      <w:tblGrid>
        <w:gridCol w:w="9360"/>
      </w:tblGrid>
      <w:tr>
        <w:trPr>
          <w:trHeight w:val="20" w:hRule="exact"/>
        </w:trPr>
        <w:tc>
          <w:tcPr>
            <w:tcW w:type="dxa" w:w="9360"/>
            <w:shd w:val="clear" w:color="auto" w:fill="2C3E50"/>
          </w:tcPr>
          <w:p>
            <w:pPr>
              <w:spacing w:before="0" w:after="0"/>
            </w:pPr>
            <w:r/>
          </w:p>
        </w:tc>
      </w:tr>
    </w:tbl>
    <w:p>
      <w:pPr>
        <w:spacing w:after="80"/>
      </w:pPr>
    </w:p>
    <w:p>
      <w:pPr>
        <w:spacing w:before="80" w:after="40"/>
      </w:pPr>
      <w:r>
        <w:rPr>
          <w:rFonts w:ascii="Arial" w:hAnsi="Arial" w:cs="Arial"/>
          <w:b/>
          <w:i w:val="0"/>
          <w:color w:val="1B3A5C"/>
          <w:sz w:val="24"/>
        </w:rPr>
        <w:t>18.1  Source code</w:t>
      </w:r>
    </w:p>
    <w:tbl>
      <w:tblPr>
        <w:tblW w:type="dxa" w:w="9360"/>
        <w:jc w:val="left"/>
        <w:tblLayout w:type="fixed"/>
        <w:tblLook w:firstColumn="1" w:firstRow="1" w:lastColumn="0" w:lastRow="0" w:noHBand="0" w:noVBand="1" w:val="04A0"/>
      </w:tblPr>
      <w:tblGrid>
        <w:gridCol w:w="2880"/>
        <w:gridCol w:w="6480"/>
      </w:tblGrid>
      <w:tr>
        <w:tc>
          <w:tcPr>
            <w:tcW w:type="dxa" w:w="288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Resource</w:t>
            </w:r>
          </w:p>
        </w:tc>
        <w:tc>
          <w:tcPr>
            <w:tcW w:type="dxa" w:w="648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Link</w:t>
            </w:r>
          </w:p>
        </w:tc>
      </w:tr>
      <w:tr>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Project repo</w:t>
            </w:r>
          </w:p>
        </w:tc>
        <w:tc>
          <w:tcPr>
            <w:tcW w:type="dxa" w:w="64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https://github.com/aksatyamtpe/tpe-novu</w:t>
            </w:r>
          </w:p>
        </w:tc>
      </w:tr>
      <w:tr>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Novu CE upstream</w:t>
            </w:r>
          </w:p>
        </w:tc>
        <w:tc>
          <w:tcPr>
            <w:tcW w:type="dxa" w:w="64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https://github.com/novuhq/novu</w:t>
            </w:r>
          </w:p>
        </w:tc>
      </w:tr>
      <w:tr>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Charter (PDF)</w:t>
            </w:r>
          </w:p>
        </w:tc>
        <w:tc>
          <w:tcPr>
            <w:tcW w:type="dxa" w:w="64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docs/TPE_Communication_System_Charter_v1.0.docx</w:t>
            </w:r>
          </w:p>
        </w:tc>
      </w:tr>
      <w:tr>
        <w:tc>
          <w:tcPr>
            <w:tcW w:type="dxa" w:w="28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Combined Deployment Guide</w:t>
            </w:r>
          </w:p>
        </w:tc>
        <w:tc>
          <w:tcPr>
            <w:tcW w:type="dxa" w:w="648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deployment/Novu-Combined-Deployment-Guide.docx</w:t>
            </w:r>
          </w:p>
        </w:tc>
      </w:tr>
      <w:tr>
        <w:tc>
          <w:tcPr>
            <w:tcW w:type="dxa" w:w="28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Operator Manual</w:t>
            </w:r>
          </w:p>
        </w:tc>
        <w:tc>
          <w:tcPr>
            <w:tcW w:type="dxa" w:w="648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docs/TPE_Communication_System_Operator_Manual_v1.0.docx</w:t>
            </w:r>
          </w:p>
        </w:tc>
      </w:tr>
    </w:tbl>
    <w:p>
      <w:pPr>
        <w:spacing w:before="80" w:after="40"/>
      </w:pPr>
      <w:r>
        <w:rPr>
          <w:rFonts w:ascii="Arial" w:hAnsi="Arial" w:cs="Arial"/>
          <w:b/>
          <w:i w:val="0"/>
          <w:color w:val="1B3A5C"/>
          <w:sz w:val="24"/>
        </w:rPr>
        <w:t>18.2  Operational docs (in repo)</w:t>
      </w:r>
    </w:p>
    <w:tbl>
      <w:tblPr>
        <w:tblW w:type="dxa" w:w="9360"/>
        <w:jc w:val="left"/>
        <w:tblLayout w:type="fixed"/>
        <w:tblLook w:firstColumn="1" w:firstRow="1" w:lastColumn="0" w:lastRow="0" w:noHBand="0" w:noVBand="1" w:val="04A0"/>
      </w:tblPr>
      <w:tblGrid>
        <w:gridCol w:w="3600"/>
        <w:gridCol w:w="5760"/>
      </w:tblGrid>
      <w:tr>
        <w:tc>
          <w:tcPr>
            <w:tcW w:type="dxa" w:w="360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Skill / Memory</w:t>
            </w:r>
          </w:p>
        </w:tc>
        <w:tc>
          <w:tcPr>
            <w:tcW w:type="dxa" w:w="576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Path</w:t>
            </w:r>
          </w:p>
        </w:tc>
      </w:tr>
      <w:tr>
        <w:tc>
          <w:tcPr>
            <w:tcW w:type="dxa" w:w="360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Skills index</w:t>
            </w:r>
          </w:p>
        </w:tc>
        <w:tc>
          <w:tcPr>
            <w:tcW w:type="dxa" w:w="57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.claude/skills/INDEX.md</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sandbox-bridge-recreate</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.claude/skills/novu-ce-sandbox-bridge-recreate/</w:t>
            </w:r>
          </w:p>
        </w:tc>
      </w:tr>
      <w:tr>
        <w:tc>
          <w:tcPr>
            <w:tcW w:type="dxa" w:w="360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pivot-rollback</w:t>
            </w:r>
          </w:p>
        </w:tc>
        <w:tc>
          <w:tcPr>
            <w:tcW w:type="dxa" w:w="57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.claude/skills/novu-ce-pivot-rollback/</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bridge-sync</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.claude/skills/novu-ce-bridge-sync/</w:t>
            </w:r>
          </w:p>
        </w:tc>
      </w:tr>
      <w:tr>
        <w:tc>
          <w:tcPr>
            <w:tcW w:type="dxa" w:w="360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smoke-test</w:t>
            </w:r>
          </w:p>
        </w:tc>
        <w:tc>
          <w:tcPr>
            <w:tcW w:type="dxa" w:w="57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.claude/skills/novu-ce-smoke-test/</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upgrade</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.claude/skills/novu-ce-upgrade/</w:t>
            </w:r>
          </w:p>
        </w:tc>
      </w:tr>
      <w:tr>
        <w:tc>
          <w:tcPr>
            <w:tcW w:type="dxa" w:w="360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troubleshoot</w:t>
            </w:r>
          </w:p>
        </w:tc>
        <w:tc>
          <w:tcPr>
            <w:tcW w:type="dxa" w:w="57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.claude/skills/novu-ce-troubleshoot/</w:t>
            </w:r>
          </w:p>
        </w:tc>
      </w:tr>
    </w:tbl>
    <w:p>
      <w:pPr>
        <w:spacing w:before="80" w:after="40"/>
      </w:pPr>
      <w:r>
        <w:rPr>
          <w:rFonts w:ascii="Arial" w:hAnsi="Arial" w:cs="Arial"/>
          <w:b/>
          <w:i w:val="0"/>
          <w:color w:val="1B3A5C"/>
          <w:sz w:val="24"/>
        </w:rPr>
        <w:t>18.3  Stakeholder dashboards</w:t>
      </w:r>
    </w:p>
    <w:tbl>
      <w:tblPr>
        <w:tblW w:type="dxa" w:w="9360"/>
        <w:jc w:val="left"/>
        <w:tblLayout w:type="fixed"/>
        <w:tblLook w:firstColumn="1" w:firstRow="1" w:lastColumn="0" w:lastRow="0" w:noHBand="0" w:noVBand="1" w:val="04A0"/>
      </w:tblPr>
      <w:tblGrid>
        <w:gridCol w:w="3600"/>
        <w:gridCol w:w="5760"/>
      </w:tblGrid>
      <w:tr>
        <w:tc>
          <w:tcPr>
            <w:tcW w:type="dxa" w:w="360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Resource</w:t>
            </w:r>
          </w:p>
        </w:tc>
        <w:tc>
          <w:tcPr>
            <w:tcW w:type="dxa" w:w="5760"/>
            <w:shd w:val="clear" w:color="auto" w:fill="FFFFFF"/>
            <w:tcBorders>
              <w:top w:val="single" w:sz="8" w:color="2C3E50"/>
              <w:left w:val="single" w:sz="8" w:color="2C3E50"/>
              <w:bottom w:val="single" w:sz="8" w:color="2C3E50"/>
              <w:right w:val="single" w:sz="8" w:color="2C3E50"/>
            </w:tcBorders>
            <w:vAlign w:val="center"/>
          </w:tcPr>
          <w:p>
            <w:pPr>
              <w:spacing w:after="0"/>
            </w:pPr>
            <w:r/>
            <w:r>
              <w:rPr>
                <w:rFonts w:ascii="Arial" w:hAnsi="Arial" w:cs="Arial"/>
                <w:b/>
                <w:i w:val="0"/>
                <w:color w:val="2C3E50"/>
                <w:sz w:val="18"/>
              </w:rPr>
              <w:t>URL</w:t>
            </w:r>
          </w:p>
        </w:tc>
      </w:tr>
      <w:tr>
        <w:tc>
          <w:tcPr>
            <w:tcW w:type="dxa" w:w="360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Sandbox Dashboard (operator UI)</w:t>
            </w:r>
          </w:p>
        </w:tc>
        <w:tc>
          <w:tcPr>
            <w:tcW w:type="dxa" w:w="57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http://103.138.96.180:8080</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Sandbox API</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http://103.138.96.180:8081</w:t>
            </w:r>
          </w:p>
        </w:tc>
      </w:tr>
      <w:tr>
        <w:tc>
          <w:tcPr>
            <w:tcW w:type="dxa" w:w="360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MSG91 portal (DLT + delivery)</w:t>
            </w:r>
          </w:p>
        </w:tc>
        <w:tc>
          <w:tcPr>
            <w:tcW w:type="dxa" w:w="57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https://control.msg91.com/</w:t>
            </w:r>
          </w:p>
        </w:tc>
      </w:tr>
      <w:tr>
        <w:tc>
          <w:tcPr>
            <w:tcW w:type="dxa" w:w="360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ICPaaS dashboard (WA delivery)</w:t>
            </w:r>
          </w:p>
        </w:tc>
        <w:tc>
          <w:tcPr>
            <w:tcW w:type="dxa" w:w="5760"/>
            <w:shd w:val="clear" w:color="auto" w:fill="FFFFFF"/>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http://www.icpaas.in/</w:t>
            </w:r>
          </w:p>
        </w:tc>
      </w:tr>
      <w:tr>
        <w:tc>
          <w:tcPr>
            <w:tcW w:type="dxa" w:w="360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GoDaddy (SSL cert mgmt)</w:t>
            </w:r>
          </w:p>
        </w:tc>
        <w:tc>
          <w:tcPr>
            <w:tcW w:type="dxa" w:w="5760"/>
            <w:shd w:val="clear" w:color="auto" w:fill="F8F9FA"/>
            <w:tcBorders>
              <w:top w:val="single" w:sz="4" w:color="BFBFBF"/>
              <w:left w:val="single" w:sz="4" w:color="BFBFBF"/>
              <w:bottom w:val="single" w:sz="4" w:color="BFBFBF"/>
              <w:right w:val="single" w:sz="4" w:color="BFBFBF"/>
            </w:tcBorders>
            <w:vAlign w:val="top"/>
          </w:tcPr>
          <w:p>
            <w:pPr>
              <w:spacing w:after="0"/>
            </w:pPr>
            <w:r/>
            <w:r>
              <w:rPr>
                <w:rFonts w:ascii="Arial" w:hAnsi="Arial" w:cs="Arial"/>
                <w:b w:val="0"/>
                <w:i w:val="0"/>
                <w:color w:val="2C3E50"/>
                <w:sz w:val="18"/>
              </w:rPr>
              <w:t>https://godaddy.com/ → My Products → SSL</w:t>
            </w:r>
          </w:p>
        </w:tc>
      </w:tr>
    </w:tbl>
    <w:p>
      <w:pPr>
        <w:spacing w:after="240" w:line="300" w:lineRule="auto"/>
        <w:jc w:val="left"/>
      </w:pPr>
    </w:p>
    <w:tbl>
      <w:tblPr>
        <w:tblW w:type="dxa" w:w="9360"/>
        <w:tblLayout w:type="fixed"/>
        <w:tblLook w:firstColumn="1" w:firstRow="1" w:lastColumn="0" w:lastRow="0" w:noHBand="0" w:noVBand="1" w:val="04A0"/>
      </w:tblPr>
      <w:tblGrid>
        <w:gridCol w:w="9360"/>
      </w:tblGrid>
      <w:tr>
        <w:tc>
          <w:tcPr>
            <w:tcW w:type="dxa" w:w="9360"/>
            <w:shd w:val="clear" w:color="auto" w:fill="1B3A5C"/>
            <w:tcBorders>
              <w:top w:val="single" w:sz="8" w:color="0D1B2A"/>
              <w:left w:val="single" w:sz="8" w:color="0D1B2A"/>
              <w:bottom w:val="single" w:sz="8" w:color="0D1B2A"/>
              <w:right w:val="single" w:sz="8" w:color="0D1B2A"/>
            </w:tcBorders>
          </w:tcPr>
          <w:p>
            <w:pPr>
              <w:spacing w:before="160"/>
              <w:jc w:val="left"/>
            </w:pPr>
            <w:r/>
            <w:r>
              <w:rPr>
                <w:rFonts w:ascii="Arial" w:hAnsi="Arial" w:cs="Arial"/>
                <w:b/>
                <w:i w:val="0"/>
                <w:color w:val="FFFFFF"/>
                <w:sz w:val="18"/>
              </w:rPr>
              <w:t>Prepared by</w:t>
            </w:r>
          </w:p>
          <w:p>
            <w:pPr>
              <w:jc w:val="left"/>
            </w:pPr>
            <w:r>
              <w:rPr>
                <w:rFonts w:ascii="Arial" w:hAnsi="Arial" w:cs="Arial"/>
                <w:b/>
                <w:i w:val="0"/>
                <w:color w:val="FFFFFF"/>
                <w:sz w:val="22"/>
              </w:rPr>
              <w:t>Ashish Kumar Satyam</w:t>
            </w:r>
          </w:p>
          <w:p>
            <w:pPr>
              <w:jc w:val="left"/>
            </w:pPr>
            <w:r>
              <w:rPr>
                <w:rFonts w:ascii="Arial" w:hAnsi="Arial" w:cs="Arial"/>
                <w:b w:val="0"/>
                <w:i w:val="0"/>
                <w:color w:val="FFFFFF"/>
                <w:sz w:val="18"/>
              </w:rPr>
              <w:t>TechDigital WishTree  ·  for The Policy Exchange</w:t>
            </w:r>
          </w:p>
          <w:p>
            <w:pPr>
              <w:spacing w:after="160"/>
              <w:jc w:val="left"/>
            </w:pPr>
            <w:r>
              <w:rPr>
                <w:rFonts w:ascii="Arial" w:hAnsi="Arial" w:cs="Arial"/>
                <w:b w:val="0"/>
                <w:i/>
                <w:color w:val="FFFFFF"/>
                <w:sz w:val="16"/>
              </w:rPr>
              <w:t>Internal / Confidential</w:t>
            </w:r>
          </w:p>
        </w:tc>
      </w:tr>
    </w:tbl>
    <w:sectPr w:rsidR="00FC693F" w:rsidRPr="0006063C" w:rsidSect="00034616">
      <w:headerReference w:type="default" r:id="rId9"/>
      <w:footerReference w:type="default" r:id="rId10"/>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color w:val="7F8C8D"/>
        <w:sz w:val="16"/>
      </w:rPr>
      <w:t xml:space="preserve">TPE-COMMS-STATUS-2026-002  |  Internal &amp; Confidential  |  Page </w:t>
    </w:r>
    <w:r>
      <w:rPr>
        <w:rFonts w:ascii="Arial" w:hAnsi="Arial" w:cs="Arial"/>
        <w:b/>
        <w:i w:val="0"/>
        <w:color w:val="7F8C8D"/>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b w:val="0"/>
        <w:i/>
        <w:color w:val="7F8C8D"/>
        <w:sz w:val="16"/>
      </w:rPr>
      <w:t>Project Status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3E5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