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F864E" w14:textId="77777777" w:rsidR="00BB1894" w:rsidRDefault="00000000">
      <w:pPr>
        <w:pStyle w:val="Title"/>
      </w:pPr>
      <w:r>
        <w:t>Edge AI Diagnostic Assistance for Low-Bandwidth Rural Clinics</w:t>
      </w:r>
    </w:p>
    <w:p w14:paraId="65F03374" w14:textId="7AD8B2AC" w:rsidR="00BB1894" w:rsidRDefault="00000000">
      <w:pPr>
        <w:pStyle w:val="Author"/>
      </w:pPr>
      <w:r>
        <w:t>A</w:t>
      </w:r>
      <w:r w:rsidR="007170A7">
        <w:t>ks Dhama</w:t>
      </w:r>
    </w:p>
    <w:p w14:paraId="4AF2D02B" w14:textId="77777777" w:rsidR="00BB1894" w:rsidRDefault="00000000">
      <w:pPr>
        <w:pStyle w:val="Date"/>
      </w:pPr>
      <w:r>
        <w:t>Affiliation</w:t>
      </w:r>
    </w:p>
    <w:p w14:paraId="6028D218" w14:textId="77777777" w:rsidR="00BB1894" w:rsidRDefault="00000000">
      <w:pPr>
        <w:pStyle w:val="AbstractTitle"/>
      </w:pPr>
      <w:r>
        <w:t>Abstract</w:t>
      </w:r>
    </w:p>
    <w:p w14:paraId="1910BFB5" w14:textId="77777777" w:rsidR="00BB1894" w:rsidRDefault="00000000">
      <w:pPr>
        <w:pStyle w:val="Abstract"/>
      </w:pPr>
      <w:r>
        <w:t>Most of the world’s rural population lives far from specialist physicians and relies on connectivity that is intermittent, expensive, or absent. Cloud-hosted diagnostic AI therefore fails at the point of care, however accurate it is in the laboratory. We propose an offline-first, multimodal triage-assistance system that runs entirely on low-cost edge hardware (Raspberry Pi 4 8 GB, Raspberry Pi 5, and Jetson Nano, with an optional Coral Edge TPU accelerator). It supports community health workers (CHWs) in prioritizing two common presentations: dermatological lesions and respiratory symptoms.</w:t>
      </w:r>
    </w:p>
    <w:p w14:paraId="32974631" w14:textId="77777777" w:rsidR="00BB1894" w:rsidRDefault="00000000">
      <w:pPr>
        <w:pStyle w:val="Abstract"/>
      </w:pPr>
      <w:r>
        <w:t>The architecture decouples a compressed convolutional lesion classifier (an EfficientNet-Lite/MobileNetV3 student distilled from a larger teacher) from a lightweight speech-and-text symptom module. A conservative late-fusion layer combines both with WHO IMCI/IMAI-style danger-sign rules and maps the result to a three-tier Red/Yellow/Green triage recommendation. Compression combines knowledge distillation, structured channel pruning, and INT8 post-training quantization (with quantization-aware training as a fallback), exported through ONNX Runtime, TFLite/XNNPACK, and TensorRT execution providers.</w:t>
      </w:r>
    </w:p>
    <w:p w14:paraId="706C8B8E" w14:textId="77777777" w:rsidR="00BB1894" w:rsidRDefault="00000000">
      <w:pPr>
        <w:pStyle w:val="Abstract"/>
      </w:pPr>
      <w:r>
        <w:t>We specify a benchmarking protocol covering p50/p95 latency, peak RAM, power draw, sustained-load thermal throttling, and sensitivity/specificity with subgroup analysis by Fitzpatrick skin type. We then describe a staged pilot with CHWs: co-design workshops, a silent “shadow mode” deployment, and an assisted mode. All code, model cards, and benchmarking harnesses will be released under permissive open-source terms so that local developers can audit, adapt, and retrain the system on their own populations.</w:t>
      </w:r>
    </w:p>
    <w:p w14:paraId="0F32CAEA" w14:textId="77777777" w:rsidR="00BB1894" w:rsidRDefault="00000000">
      <w:pPr>
        <w:pStyle w:val="Abstract"/>
      </w:pPr>
      <w:r>
        <w:rPr>
          <w:b/>
          <w:bCs/>
        </w:rPr>
        <w:t>Keywords:</w:t>
      </w:r>
      <w:r>
        <w:t xml:space="preserve"> edge AI, TinyML, post-training quantization, knowledge distillation, teledermatology, respiratory triage, community health workers, offline-first, digital health.</w:t>
      </w:r>
    </w:p>
    <w:p w14:paraId="2A9F1E18" w14:textId="77777777" w:rsidR="00BB1894" w:rsidRDefault="00000000">
      <w:pPr>
        <w:pStyle w:val="Heading1"/>
      </w:pPr>
      <w:bookmarkStart w:id="0" w:name="introduction-and-motivation"/>
      <w:r>
        <w:rPr>
          <w:rStyle w:val="SectionNumber"/>
        </w:rPr>
        <w:t>1</w:t>
      </w:r>
      <w:r>
        <w:tab/>
        <w:t>Introduction and Motivation</w:t>
      </w:r>
    </w:p>
    <w:p w14:paraId="35524334" w14:textId="77777777" w:rsidR="00BB1894" w:rsidRDefault="00000000">
      <w:pPr>
        <w:pStyle w:val="Heading2"/>
      </w:pPr>
      <w:bookmarkStart w:id="1" w:name="the-specialist-gap"/>
      <w:r>
        <w:rPr>
          <w:rStyle w:val="SectionNumber"/>
        </w:rPr>
        <w:t>1.1</w:t>
      </w:r>
      <w:r>
        <w:tab/>
        <w:t>The specialist gap</w:t>
      </w:r>
    </w:p>
    <w:p w14:paraId="2FE8FC7B" w14:textId="77777777" w:rsidR="00BB1894" w:rsidRDefault="00000000">
      <w:pPr>
        <w:pStyle w:val="FirstParagraph"/>
      </w:pPr>
      <w:r>
        <w:t>The distribution of clinical expertise is far more unequal than the distribution of disease. WHO and World Bank monitoring reports that roughly half of the world’s population is not fully covered by essential health services, and the shortfall is steepest in rural areas. Specialist scarcity is starker still. Dermatology is a typical example: several low-income countries report fewer than one dermatologist per million people, and those clinicians are concentrated in capital cities. A skin lesion that a specialist would triage in seconds can wait months for review in a district where the nearest dermatologist is a day’s travel away.</w:t>
      </w:r>
    </w:p>
    <w:p w14:paraId="182AC551" w14:textId="77777777" w:rsidR="00BB1894" w:rsidRDefault="00000000">
      <w:pPr>
        <w:pStyle w:val="BodyText"/>
      </w:pPr>
      <w:r>
        <w:t>Respiratory illness is the other major burden. Pneumonia, tuberculosis, asthma, and chronic obstructive disease account for a large share of primary-care visits in low-</w:t>
      </w:r>
      <w:r>
        <w:lastRenderedPageBreak/>
        <w:t>resource settings. Early recognition of danger signs is the main determinant of whether a patient reaches a referral facility in time.</w:t>
      </w:r>
    </w:p>
    <w:p w14:paraId="3BE0649B" w14:textId="77777777" w:rsidR="00BB1894" w:rsidRDefault="00000000">
      <w:pPr>
        <w:pStyle w:val="Heading2"/>
      </w:pPr>
      <w:bookmarkStart w:id="2" w:name="deep-learning-has-outrun-deployment"/>
      <w:bookmarkEnd w:id="1"/>
      <w:r>
        <w:rPr>
          <w:rStyle w:val="SectionNumber"/>
        </w:rPr>
        <w:t>1.2</w:t>
      </w:r>
      <w:r>
        <w:tab/>
        <w:t>Deep learning has outrun deployment</w:t>
      </w:r>
    </w:p>
    <w:p w14:paraId="2A806048" w14:textId="77777777" w:rsidR="00BB1894" w:rsidRDefault="00000000">
      <w:pPr>
        <w:pStyle w:val="FirstParagraph"/>
      </w:pPr>
      <w:r>
        <w:t>Deep learning systems have matched or exceeded clinician-level performance on curated dermatology benchmarks (Esteva et al., 2017; Liu et al., 2020). Yet almost all of this work assumes a networked server, a modern smartphone or workstation, and a user who is already a clinician. The most instructive deployment study we know of is Beede et al. (2020). It evaluated a diabetic retinopathy screening model in Thai clinics and found that poor network conditions, image-quality rejections, and workflow friction limited real-world benefit despite strong laboratory accuracy. The lesson is that a diagnostic model is only one component of a working health intervention, and often the easiest one.</w:t>
      </w:r>
    </w:p>
    <w:p w14:paraId="19FA790F" w14:textId="77777777" w:rsidR="00BB1894" w:rsidRDefault="00000000">
      <w:pPr>
        <w:pStyle w:val="Heading2"/>
      </w:pPr>
      <w:bookmarkStart w:id="3" w:name="edge-node-reality"/>
      <w:bookmarkEnd w:id="2"/>
      <w:r>
        <w:rPr>
          <w:rStyle w:val="SectionNumber"/>
        </w:rPr>
        <w:t>1.3</w:t>
      </w:r>
      <w:r>
        <w:tab/>
        <w:t>Edge-node reality</w:t>
      </w:r>
    </w:p>
    <w:p w14:paraId="3902F231" w14:textId="77777777" w:rsidR="00BB1894" w:rsidRDefault="00000000">
      <w:pPr>
        <w:pStyle w:val="FirstParagraph"/>
      </w:pPr>
      <w:r>
        <w:t>The clinics we target share a set of conditions that shape every design decision:</w:t>
      </w:r>
    </w:p>
    <w:p w14:paraId="41120F0D" w14:textId="77777777" w:rsidR="00BB1894" w:rsidRDefault="00000000">
      <w:pPr>
        <w:numPr>
          <w:ilvl w:val="0"/>
          <w:numId w:val="2"/>
        </w:numPr>
      </w:pPr>
      <w:r>
        <w:rPr>
          <w:b/>
          <w:bCs/>
        </w:rPr>
        <w:t>Connectivity</w:t>
      </w:r>
      <w:r>
        <w:t xml:space="preserve"> is intermittent or metered. Any dependency on a round trip to a cloud endpoint is a single point of failure.</w:t>
      </w:r>
    </w:p>
    <w:p w14:paraId="6CD849F9" w14:textId="77777777" w:rsidR="00BB1894" w:rsidRDefault="00000000">
      <w:pPr>
        <w:numPr>
          <w:ilvl w:val="0"/>
          <w:numId w:val="2"/>
        </w:numPr>
      </w:pPr>
      <w:r>
        <w:rPr>
          <w:b/>
          <w:bCs/>
        </w:rPr>
        <w:t>Power</w:t>
      </w:r>
      <w:r>
        <w:t xml:space="preserve"> is unreliable, so systems must tolerate brownouts and run on a modest power budget from a battery or solar-backed supply.</w:t>
      </w:r>
    </w:p>
    <w:p w14:paraId="409AD702" w14:textId="77777777" w:rsidR="00BB1894" w:rsidRDefault="00000000">
      <w:pPr>
        <w:numPr>
          <w:ilvl w:val="0"/>
          <w:numId w:val="2"/>
        </w:numPr>
      </w:pPr>
      <w:r>
        <w:rPr>
          <w:b/>
          <w:bCs/>
        </w:rPr>
        <w:t>Hardware</w:t>
      </w:r>
      <w:r>
        <w:t xml:space="preserve"> must be affordable and replaceable locally. A US$60–150 single-board computer fits that constraint, while a GPU workstation does not.</w:t>
      </w:r>
    </w:p>
    <w:p w14:paraId="0F3743D1" w14:textId="77777777" w:rsidR="00BB1894" w:rsidRDefault="00000000">
      <w:pPr>
        <w:numPr>
          <w:ilvl w:val="0"/>
          <w:numId w:val="2"/>
        </w:numPr>
      </w:pPr>
      <w:r>
        <w:rPr>
          <w:b/>
          <w:bCs/>
        </w:rPr>
        <w:t>Ambient conditions</w:t>
      </w:r>
      <w:r>
        <w:t xml:space="preserve"> (heat, dust, poor lighting) degrade both sensors and silicon. Sustained clock throttling on a passively cooled board in a tin-roofed room is a foreseeable failure mode, and it should be measured.</w:t>
      </w:r>
    </w:p>
    <w:p w14:paraId="56316578" w14:textId="77777777" w:rsidR="00BB1894" w:rsidRDefault="00000000">
      <w:pPr>
        <w:numPr>
          <w:ilvl w:val="0"/>
          <w:numId w:val="2"/>
        </w:numPr>
      </w:pPr>
      <w:r>
        <w:rPr>
          <w:b/>
          <w:bCs/>
        </w:rPr>
        <w:t>Users</w:t>
      </w:r>
      <w:r>
        <w:t xml:space="preserve"> are CHWs with limited formal clinical training, who may work in a language or dialect that commercial speech systems support poorly.</w:t>
      </w:r>
    </w:p>
    <w:p w14:paraId="400E7D71" w14:textId="77777777" w:rsidR="00BB1894" w:rsidRDefault="00000000">
      <w:pPr>
        <w:pStyle w:val="Heading2"/>
      </w:pPr>
      <w:bookmarkStart w:id="4" w:name="personal-motivation"/>
      <w:bookmarkEnd w:id="3"/>
      <w:r>
        <w:rPr>
          <w:rStyle w:val="SectionNumber"/>
        </w:rPr>
        <w:t>1.4</w:t>
      </w:r>
      <w:r>
        <w:tab/>
        <w:t>Personal motivation</w:t>
      </w:r>
    </w:p>
    <w:p w14:paraId="06EF3185" w14:textId="77777777" w:rsidR="00BB1894" w:rsidRDefault="00000000">
      <w:pPr>
        <w:pStyle w:val="FirstParagraph"/>
      </w:pPr>
      <w:r>
        <w:t>This project began during visits to my extended family in rural communities. I had spent years reading about how machine learning was transforming medical imaging. Those visits made me acutely aware of how rarely such innovations reach the people who most need them. The problem was not a lack of effort or goodwill among the health workers I met. It was the distance between the technology I studied and the conditions under which care was actually delivered: unreliable connectivity, few specialists, and long journeys to referral facilities.</w:t>
      </w:r>
    </w:p>
    <w:p w14:paraId="214B6A26" w14:textId="77777777" w:rsidR="00BB1894" w:rsidRDefault="00000000">
      <w:pPr>
        <w:pStyle w:val="BodyText"/>
      </w:pPr>
      <w:r>
        <w:t>That gap changed how I framed the engineering question. I stopped asking how accurate a model could be and started asking whether it could run at all, on hardware a rural clinic can afford, without a network, in the hands of the person who is actually there. This is why the paper treats memory, latency, power, and thermal behaviour as first-class results alongside sensitivity and specificity. A model that scores well on a benchmark but cannot run in the clinic has not improved anyone’s care.</w:t>
      </w:r>
    </w:p>
    <w:p w14:paraId="6533FB6F" w14:textId="77777777" w:rsidR="00BB1894" w:rsidRDefault="00000000">
      <w:pPr>
        <w:pStyle w:val="Heading2"/>
      </w:pPr>
      <w:bookmarkStart w:id="5" w:name="contributions"/>
      <w:bookmarkEnd w:id="4"/>
      <w:r>
        <w:rPr>
          <w:rStyle w:val="SectionNumber"/>
        </w:rPr>
        <w:lastRenderedPageBreak/>
        <w:t>1.5</w:t>
      </w:r>
      <w:r>
        <w:tab/>
        <w:t>Contributions</w:t>
      </w:r>
    </w:p>
    <w:p w14:paraId="1641C40B" w14:textId="77777777" w:rsidR="00BB1894" w:rsidRDefault="00000000">
      <w:pPr>
        <w:numPr>
          <w:ilvl w:val="0"/>
          <w:numId w:val="3"/>
        </w:numPr>
      </w:pPr>
      <w:r>
        <w:t>A decoupled, offline-first multimodal triage architecture with an explicit, auditable escalation policy.</w:t>
      </w:r>
    </w:p>
    <w:p w14:paraId="740A90FE" w14:textId="77777777" w:rsidR="00BB1894" w:rsidRDefault="00000000">
      <w:pPr>
        <w:numPr>
          <w:ilvl w:val="0"/>
          <w:numId w:val="3"/>
        </w:numPr>
      </w:pPr>
      <w:r>
        <w:t>A compression pipeline (distillation, structured pruning, INT8 quantization) with per-target export paths and documented hardware-specific constraints.</w:t>
      </w:r>
    </w:p>
    <w:p w14:paraId="5469468D" w14:textId="77777777" w:rsidR="00BB1894" w:rsidRDefault="00000000">
      <w:pPr>
        <w:numPr>
          <w:ilvl w:val="0"/>
          <w:numId w:val="3"/>
        </w:numPr>
      </w:pPr>
      <w:r>
        <w:t>A benchmarking protocol that reports efficiency and thermal behaviour under sustained load alongside subgroup-stratified diagnostic accuracy.</w:t>
      </w:r>
    </w:p>
    <w:p w14:paraId="65C466D0" w14:textId="77777777" w:rsidR="00BB1894" w:rsidRDefault="00000000">
      <w:pPr>
        <w:numPr>
          <w:ilvl w:val="0"/>
          <w:numId w:val="3"/>
        </w:numPr>
      </w:pPr>
      <w:r>
        <w:t>A CHW co-design and staged pilot protocol that includes shadow-mode evaluation before any clinical influence.</w:t>
      </w:r>
    </w:p>
    <w:p w14:paraId="3AA9205D" w14:textId="77777777" w:rsidR="00BB1894" w:rsidRDefault="00000000">
      <w:pPr>
        <w:numPr>
          <w:ilvl w:val="0"/>
          <w:numId w:val="3"/>
        </w:numPr>
      </w:pPr>
      <w:r>
        <w:t>An open-source release intended for local maintenance and retraining.</w:t>
      </w:r>
    </w:p>
    <w:p w14:paraId="054B71B8" w14:textId="77777777" w:rsidR="00BB1894" w:rsidRDefault="00000000">
      <w:pPr>
        <w:pStyle w:val="Heading1"/>
      </w:pPr>
      <w:bookmarkStart w:id="6" w:name="X7972e1fbe256c320a9680d1196e006f7ad2a614"/>
      <w:bookmarkEnd w:id="0"/>
      <w:bookmarkEnd w:id="5"/>
      <w:r>
        <w:rPr>
          <w:rStyle w:val="SectionNumber"/>
        </w:rPr>
        <w:t>2</w:t>
      </w:r>
      <w:r>
        <w:tab/>
        <w:t>System Architecture and Edge Optimization Pipeline</w:t>
      </w:r>
    </w:p>
    <w:p w14:paraId="3A5662D5" w14:textId="77777777" w:rsidR="00BB1894" w:rsidRDefault="00000000">
      <w:pPr>
        <w:pStyle w:val="Heading2"/>
      </w:pPr>
      <w:bookmarkStart w:id="7" w:name="design-principles"/>
      <w:r>
        <w:rPr>
          <w:rStyle w:val="SectionNumber"/>
        </w:rPr>
        <w:t>2.1</w:t>
      </w:r>
      <w:r>
        <w:tab/>
        <w:t>Design principles</w:t>
      </w:r>
    </w:p>
    <w:p w14:paraId="1F1A47B1" w14:textId="77777777" w:rsidR="00BB1894" w:rsidRDefault="00000000">
      <w:pPr>
        <w:pStyle w:val="FirstParagraph"/>
      </w:pPr>
      <w:r>
        <w:t xml:space="preserve">We adopt four principles. First, </w:t>
      </w:r>
      <w:r>
        <w:rPr>
          <w:b/>
          <w:bCs/>
        </w:rPr>
        <w:t>offline by default</w:t>
      </w:r>
      <w:r>
        <w:t xml:space="preserve">: no inference-time network dependency, with network use limited to opportunistic store-and-forward synchronization. Second, </w:t>
      </w:r>
      <w:r>
        <w:rPr>
          <w:b/>
          <w:bCs/>
        </w:rPr>
        <w:t>decoupled modalities</w:t>
      </w:r>
      <w:r>
        <w:t xml:space="preserve">: separate models for vision and symptom processing, so that each can be compressed, validated, and replaced independently. Third, </w:t>
      </w:r>
      <w:r>
        <w:rPr>
          <w:b/>
          <w:bCs/>
        </w:rPr>
        <w:t>conservative fusion</w:t>
      </w:r>
      <w:r>
        <w:t xml:space="preserve">: when the system is uncertain, it escalates. Fourth, </w:t>
      </w:r>
      <w:r>
        <w:rPr>
          <w:b/>
          <w:bCs/>
        </w:rPr>
        <w:t>auditability</w:t>
      </w:r>
      <w:r>
        <w:t>: every triage output carries the inputs, model version, and rule that produced it.</w:t>
      </w:r>
    </w:p>
    <w:p w14:paraId="4E3D21A0" w14:textId="77777777" w:rsidR="00BB1894" w:rsidRDefault="00000000">
      <w:pPr>
        <w:pStyle w:val="BodyText"/>
      </w:pPr>
      <w:r>
        <w:t>We chose decoupled CNN and text modules over a single vision-language model (VLM) for the primary system because of memory and latency budgets. Compact VLMs in the 256M–500M parameter range (e.g., SmolVLM-class models) can be quantized to fit within a Pi’s RAM. Autoregressive decoding of image tokens plus text on an ARM CPU is nonetheless likely to take seconds to tens of seconds per query, and the free-form text such models generate is harder to validate than a calibrated class posterior. We retain a quantized compact VLM as an ablation arm (Section 4.5) so this choice is tested rather than assumed.</w:t>
      </w:r>
    </w:p>
    <w:p w14:paraId="1A3FC62D" w14:textId="77777777" w:rsidR="00BB1894" w:rsidRDefault="00000000">
      <w:pPr>
        <w:pStyle w:val="Heading2"/>
      </w:pPr>
      <w:bookmarkStart w:id="8" w:name="multimodal-inputs"/>
      <w:bookmarkEnd w:id="7"/>
      <w:r>
        <w:rPr>
          <w:rStyle w:val="SectionNumber"/>
        </w:rPr>
        <w:t>2.2</w:t>
      </w:r>
      <w:r>
        <w:tab/>
        <w:t>Multimodal inputs</w:t>
      </w:r>
    </w:p>
    <w:p w14:paraId="1BA27807" w14:textId="77777777" w:rsidR="00BB1894" w:rsidRDefault="00000000">
      <w:pPr>
        <w:pStyle w:val="Heading4"/>
      </w:pPr>
      <w:bookmarkStart w:id="9" w:name="skin-lesion-photography."/>
      <w:r>
        <w:rPr>
          <w:rStyle w:val="SectionNumber"/>
        </w:rPr>
        <w:t>2.2.0.1</w:t>
      </w:r>
      <w:r>
        <w:tab/>
        <w:t>Skin lesion photography.</w:t>
      </w:r>
    </w:p>
    <w:p w14:paraId="42E3698D" w14:textId="77777777" w:rsidR="00BB1894" w:rsidRDefault="00000000">
      <w:pPr>
        <w:pStyle w:val="FirstParagraph"/>
      </w:pPr>
      <w:r>
        <w:t>The CHW captures an image with the board’s camera module or a connected USB or smartphone camera. An on-device quality gate runs before classification. It checks focus (variance of the Laplacian), exposure (histogram clipping), lesion presence and framing (a lightweight segmentation or saliency check), and colour-reference presence if a low-cost calibration card is used. Images failing the gate trigger a guided retake with audio and pictogram feedback, not a silent low-confidence prediction. This addresses one of the main failure modes reported by Beede et al. (2020).</w:t>
      </w:r>
    </w:p>
    <w:p w14:paraId="29552B3A" w14:textId="77777777" w:rsidR="00BB1894" w:rsidRDefault="00000000">
      <w:pPr>
        <w:pStyle w:val="Heading4"/>
      </w:pPr>
      <w:bookmarkStart w:id="10" w:name="symptom-entry."/>
      <w:bookmarkEnd w:id="9"/>
      <w:r>
        <w:rPr>
          <w:rStyle w:val="SectionNumber"/>
        </w:rPr>
        <w:lastRenderedPageBreak/>
        <w:t>2.2.0.2</w:t>
      </w:r>
      <w:r>
        <w:tab/>
        <w:t>Symptom entry.</w:t>
      </w:r>
    </w:p>
    <w:p w14:paraId="43682437" w14:textId="77777777" w:rsidR="00BB1894" w:rsidRDefault="00000000">
      <w:pPr>
        <w:pStyle w:val="FirstParagraph"/>
      </w:pPr>
      <w:r>
        <w:t>Symptoms are captured through three interchangeable channels. The first is a structured, pictogram-driven checklist (cough duration, fever, breathing difficulty, chest indrawing, blood in sputum, and so on). The second is local voice entry via an on-device speech recognizer. The third is short free text. The checklist is the reference path because it is deterministic and language-independent. Voice and text are convenience layers that populate the same structured schema.</w:t>
      </w:r>
    </w:p>
    <w:p w14:paraId="0D422B26" w14:textId="77777777" w:rsidR="00BB1894" w:rsidRDefault="00000000">
      <w:pPr>
        <w:pStyle w:val="BodyText"/>
      </w:pPr>
      <w:r>
        <w:t xml:space="preserve">For speech, Whisper-tiny/ base (39M/74M parameters; Radford et al., 2023) run through an INT8 CTranslate2 or </w:t>
      </w:r>
      <w:r>
        <w:rPr>
          <w:rStyle w:val="VerbatimChar"/>
        </w:rPr>
        <w:t>whisper.cpp</w:t>
      </w:r>
      <w:r>
        <w:t xml:space="preserve"> backend is the general-purpose option. Whisper’s accuracy degrades sharply on low-resource languages and dialects, so per-region fine-tuning or a smaller language-specific model (e.g., a Vosk-class small model or a wav2vec 2.0/ MMS-derived CTC model fine-tuned on local speech) is planned wherever a language pack exists. Where it does not, the system falls back to the checklist.</w:t>
      </w:r>
    </w:p>
    <w:p w14:paraId="3E7E0A20" w14:textId="77777777" w:rsidR="00BB1894" w:rsidRDefault="00000000">
      <w:pPr>
        <w:pStyle w:val="BodyText"/>
      </w:pPr>
      <w:r>
        <w:t>A small text encoder (a distilled multilingual MiniLM-class model, INT8-quantized) performs slot extraction, mapping utterances to structured features such as cough duration in days, reported respiratory rate, and the presence of hemoptysis. It is an information-extraction step, not a diagnostic classifier. Extracted slots are always shown to the CHW for confirmation before use.</w:t>
      </w:r>
    </w:p>
    <w:p w14:paraId="045745BF" w14:textId="77777777" w:rsidR="00BB1894" w:rsidRDefault="00000000">
      <w:pPr>
        <w:pStyle w:val="Heading4"/>
      </w:pPr>
      <w:bookmarkStart w:id="11" w:name="respiratory-audio-optional."/>
      <w:bookmarkEnd w:id="10"/>
      <w:r>
        <w:rPr>
          <w:rStyle w:val="SectionNumber"/>
        </w:rPr>
        <w:t>2.2.0.3</w:t>
      </w:r>
      <w:r>
        <w:tab/>
        <w:t>Respiratory audio (optional).</w:t>
      </w:r>
    </w:p>
    <w:p w14:paraId="231B54E1" w14:textId="77777777" w:rsidR="00BB1894" w:rsidRDefault="00000000">
      <w:pPr>
        <w:pStyle w:val="FirstParagraph"/>
      </w:pPr>
      <w:r>
        <w:t>A short cough or breath recording can be processed by a small log-mel spectrogram CNN. We treat this as an exploratory, low-weight input. Coppock et al. (2024) showed that audio-based COVID-19 classifiers offered no advantage over simple symptom checkers once confounders were controlled. Public cough datasets (COUGHVID, Coswara) carry recording-device and self-report label noise (Orlandic et al., 2021; Sharma et al., 2020). Audio therefore never overrides a rule-based danger sign, and its contribution is evaluated by ablation.</w:t>
      </w:r>
    </w:p>
    <w:p w14:paraId="6A9400D2" w14:textId="77777777" w:rsidR="00BB1894" w:rsidRDefault="00000000">
      <w:pPr>
        <w:pStyle w:val="Heading2"/>
      </w:pPr>
      <w:bookmarkStart w:id="12" w:name="model-architecture"/>
      <w:bookmarkEnd w:id="8"/>
      <w:bookmarkEnd w:id="11"/>
      <w:r>
        <w:rPr>
          <w:rStyle w:val="SectionNumber"/>
        </w:rPr>
        <w:t>2.3</w:t>
      </w:r>
      <w:r>
        <w:tab/>
        <w:t>Model architecture</w:t>
      </w:r>
    </w:p>
    <w:p w14:paraId="4AF06443" w14:textId="77777777" w:rsidR="00BB1894" w:rsidRDefault="00000000">
      <w:pPr>
        <w:pStyle w:val="Heading4"/>
      </w:pPr>
      <w:bookmarkStart w:id="13" w:name="dermatology-branch."/>
      <w:r>
        <w:rPr>
          <w:rStyle w:val="SectionNumber"/>
        </w:rPr>
        <w:t>2.3.0.1</w:t>
      </w:r>
      <w:r>
        <w:tab/>
        <w:t>Dermatology branch.</w:t>
      </w:r>
    </w:p>
    <w:p w14:paraId="03432E5E" w14:textId="77777777" w:rsidR="00BB1894" w:rsidRDefault="00000000">
      <w:pPr>
        <w:pStyle w:val="FirstParagraph"/>
      </w:pPr>
      <w:r>
        <w:t>The student is EfficientNet-Lite0 or MobileNetV3-Large at 224×224 input (approximately 4–5M parameters and 0.2–0.4 GFLOPs), building on Tan and Le (2019) and Howard et al. (2019). The teacher is a larger ImageNet-pretrained model, such as an EfficientNet-B4/B5, a ConvNeXt, or a ViT-B/16, fine-tuned on the training corpus. The head outputs a class posterior over lesion categories, and a separate mapping converts the posterior to triage tiers (Section 3.1).</w:t>
      </w:r>
    </w:p>
    <w:p w14:paraId="43567F53" w14:textId="77777777" w:rsidR="00BB1894" w:rsidRDefault="00000000">
      <w:pPr>
        <w:pStyle w:val="Heading4"/>
      </w:pPr>
      <w:bookmarkStart w:id="14" w:name="fusion-and-triage-layer."/>
      <w:bookmarkEnd w:id="13"/>
      <w:r>
        <w:rPr>
          <w:rStyle w:val="SectionNumber"/>
        </w:rPr>
        <w:t>2.3.0.2</w:t>
      </w:r>
      <w:r>
        <w:tab/>
        <w:t>Fusion and triage layer.</w:t>
      </w:r>
    </w:p>
    <w:p w14:paraId="685F6F50" w14:textId="77777777" w:rsidR="00BB1894" w:rsidRDefault="00000000">
      <w:pPr>
        <w:pStyle w:val="FirstParagraph"/>
      </w:pPr>
      <w:r>
        <w:t xml:space="preserve">The layer takes the dermatology posterior, extracted symptom slots, and an OOD/quality score as inputs. It produces a tier, a short reason string, and a confidence indicator. It is deliberately not a large learned network. It is a shallow gradient-boosted or logistic model on a small feature set, wrapped in a deterministic rule layer that encodes WHO IMCI/IMAI danger signs (WHO, 2014). Any danger sign sets the tier to </w:t>
      </w:r>
      <w:r>
        <w:lastRenderedPageBreak/>
        <w:t>Red irrespective of model output. This keeps the safety-critical logic legible to clinicians and independent of model retraining.</w:t>
      </w:r>
    </w:p>
    <w:p w14:paraId="303E50F1" w14:textId="77777777" w:rsidR="00BB1894" w:rsidRDefault="00000000">
      <w:pPr>
        <w:pStyle w:val="Heading2"/>
      </w:pPr>
      <w:bookmarkStart w:id="15" w:name="compression-pipeline"/>
      <w:bookmarkEnd w:id="12"/>
      <w:bookmarkEnd w:id="14"/>
      <w:r>
        <w:rPr>
          <w:rStyle w:val="SectionNumber"/>
        </w:rPr>
        <w:t>2.4</w:t>
      </w:r>
      <w:r>
        <w:tab/>
        <w:t>Compression pipeline</w:t>
      </w:r>
    </w:p>
    <w:p w14:paraId="61B3F136" w14:textId="77777777" w:rsidR="00BB1894" w:rsidRDefault="00000000">
      <w:pPr>
        <w:pStyle w:val="FirstParagraph"/>
      </w:pPr>
      <w:r>
        <w:t>We apply compression in a fixed order, since each step affects the next:</w:t>
      </w:r>
    </w:p>
    <w:p w14:paraId="4F397F48" w14:textId="77777777" w:rsidR="00BB1894" w:rsidRDefault="00000000">
      <w:pPr>
        <w:numPr>
          <w:ilvl w:val="0"/>
          <w:numId w:val="4"/>
        </w:numPr>
      </w:pPr>
      <w:r>
        <w:rPr>
          <w:b/>
          <w:bCs/>
        </w:rPr>
        <w:t>Knowledge distillation</w:t>
      </w:r>
      <w:r>
        <w:t xml:space="preserve"> (Hinton et al., 2015). The student is trained with a weighted sum of hard-label cross-entropy and a temperature-scaled KL divergence to the teacher’s soft targets (T = 2 or 4, α ∈ [0.5, 0.9] tuned on validation). Intermediate feature-matching losses are used where teacher and student feature maps can be aligned. Soft targets are particularly valuable here because dermatological classes are visually overlapping and severely imbalanced.</w:t>
      </w:r>
    </w:p>
    <w:p w14:paraId="6BD4BEC0" w14:textId="77777777" w:rsidR="00BB1894" w:rsidRDefault="00000000">
      <w:pPr>
        <w:numPr>
          <w:ilvl w:val="0"/>
          <w:numId w:val="4"/>
        </w:numPr>
      </w:pPr>
      <w:r>
        <w:rPr>
          <w:b/>
          <w:bCs/>
        </w:rPr>
        <w:t>Structured pruning.</w:t>
      </w:r>
      <w:r>
        <w:t xml:space="preserve"> We use dependency-graph-aware channel pruning (e.g., DepGraph; Fang et al., 2023) with L1-norm or first-order Taylor importance criteria, targeting 30–40% FLOPs reduction with fine-tuning after each pruning round. We deliberately avoid unstructured sparsity. Unless sparse kernels are available, ARM CPU runtimes and small GPUs realize almost none of its theoretical speedup (Han et al., 2015 remains the foundation for the accuracy side of this trade-off).</w:t>
      </w:r>
    </w:p>
    <w:p w14:paraId="5BA6C488" w14:textId="77777777" w:rsidR="00BB1894" w:rsidRDefault="00000000">
      <w:pPr>
        <w:numPr>
          <w:ilvl w:val="0"/>
          <w:numId w:val="4"/>
        </w:numPr>
      </w:pPr>
      <w:r>
        <w:rPr>
          <w:b/>
          <w:bCs/>
        </w:rPr>
        <w:t>INT8 post-training quantization (PTQ).</w:t>
      </w:r>
      <w:r>
        <w:t xml:space="preserve"> Weights are quantized per-channel and activations per-tensor, using a calibration set of about 300–1000 images representative of deployment conditions (including smartphone-quality images, not only dermoscopy). Calibration is sensitive to the domain, and calibrating on pristine dermoscopic images is a common source of silent degradation. If INT8 PTQ loses more than a pre-specified margin (we propose more than 1 percentage point of macro-AUROC, or any drop in Red-tier sensitivity), we switch to quantization-aware training following Jacob et al. (2018). We also run per-layer sensitivity analysis to keep the most sensitive layers (often the first convolution and the classifier head) at higher precision.</w:t>
      </w:r>
    </w:p>
    <w:p w14:paraId="27CE8E1E" w14:textId="77777777" w:rsidR="00BB1894" w:rsidRDefault="00000000">
      <w:pPr>
        <w:numPr>
          <w:ilvl w:val="0"/>
          <w:numId w:val="4"/>
        </w:numPr>
      </w:pPr>
      <w:r>
        <w:rPr>
          <w:b/>
          <w:bCs/>
        </w:rPr>
        <w:t>Calibration after compression.</w:t>
      </w:r>
      <w:r>
        <w:t xml:space="preserve"> Temperature scaling is refit on held-out data after every compression step, because quantization and pruning shift confidence distributions (Guo et al., 2017). Triage thresholds are meaningless if probabilities are miscalibrated.</w:t>
      </w:r>
    </w:p>
    <w:p w14:paraId="3A2EE047" w14:textId="77777777" w:rsidR="00BB1894" w:rsidRDefault="00000000">
      <w:pPr>
        <w:pStyle w:val="Heading2"/>
      </w:pPr>
      <w:bookmarkStart w:id="16" w:name="hardware-targets-and-runtime-paths"/>
      <w:bookmarkEnd w:id="15"/>
      <w:r>
        <w:rPr>
          <w:rStyle w:val="SectionNumber"/>
        </w:rPr>
        <w:t>2.5</w:t>
      </w:r>
      <w:r>
        <w:tab/>
        <w:t>Hardware targets and runtime paths</w:t>
      </w:r>
    </w:p>
    <w:p w14:paraId="335ED34B" w14:textId="77777777" w:rsidR="00BB1894" w:rsidRDefault="00000000">
      <w:pPr>
        <w:pStyle w:val="TableCaption"/>
      </w:pPr>
      <w:r>
        <w:t>Table 1. Hardware targets, runtime paths, and constraints.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93"/>
        <w:gridCol w:w="1571"/>
        <w:gridCol w:w="3235"/>
        <w:gridCol w:w="3143"/>
      </w:tblGrid>
      <w:tr w:rsidR="00BB1894" w14:paraId="55EE0AF7" w14:textId="77777777" w:rsidTr="00BB1894">
        <w:trPr>
          <w:cnfStyle w:val="100000000000" w:firstRow="1" w:lastRow="0" w:firstColumn="0" w:lastColumn="0" w:oddVBand="0" w:evenVBand="0" w:oddHBand="0" w:evenHBand="0" w:firstRowFirstColumn="0" w:firstRowLastColumn="0" w:lastRowFirstColumn="0" w:lastRowLastColumn="0"/>
          <w:tblHeader/>
        </w:trPr>
        <w:tc>
          <w:tcPr>
            <w:tcW w:w="1262" w:type="dxa"/>
            <w:shd w:val="clear" w:color="auto" w:fill="E8EDF5"/>
          </w:tcPr>
          <w:p w14:paraId="57DCB35F" w14:textId="77777777" w:rsidR="00BB1894" w:rsidRDefault="00000000">
            <w:pPr>
              <w:pStyle w:val="Compact"/>
            </w:pPr>
            <w:r>
              <w:rPr>
                <w:b/>
                <w:bCs/>
                <w:sz w:val="18"/>
              </w:rPr>
              <w:t>Target</w:t>
            </w:r>
          </w:p>
        </w:tc>
        <w:tc>
          <w:tcPr>
            <w:tcW w:w="1532" w:type="dxa"/>
            <w:shd w:val="clear" w:color="auto" w:fill="E8EDF5"/>
          </w:tcPr>
          <w:p w14:paraId="48DA1628" w14:textId="77777777" w:rsidR="00BB1894" w:rsidRDefault="00000000">
            <w:pPr>
              <w:pStyle w:val="Compact"/>
            </w:pPr>
            <w:r>
              <w:rPr>
                <w:b/>
                <w:bCs/>
                <w:sz w:val="18"/>
              </w:rPr>
              <w:t>Compute</w:t>
            </w:r>
          </w:p>
        </w:tc>
        <w:tc>
          <w:tcPr>
            <w:tcW w:w="3155" w:type="dxa"/>
            <w:shd w:val="clear" w:color="auto" w:fill="E8EDF5"/>
          </w:tcPr>
          <w:p w14:paraId="7190E3C8" w14:textId="77777777" w:rsidR="00BB1894" w:rsidRDefault="00000000">
            <w:pPr>
              <w:pStyle w:val="Compact"/>
            </w:pPr>
            <w:r>
              <w:rPr>
                <w:b/>
                <w:bCs/>
                <w:sz w:val="18"/>
              </w:rPr>
              <w:t>Runtime path</w:t>
            </w:r>
          </w:p>
        </w:tc>
        <w:tc>
          <w:tcPr>
            <w:tcW w:w="3065" w:type="dxa"/>
            <w:shd w:val="clear" w:color="auto" w:fill="E8EDF5"/>
          </w:tcPr>
          <w:p w14:paraId="5E7F5508" w14:textId="77777777" w:rsidR="00BB1894" w:rsidRDefault="00000000">
            <w:pPr>
              <w:pStyle w:val="Compact"/>
            </w:pPr>
            <w:r>
              <w:rPr>
                <w:b/>
                <w:bCs/>
                <w:sz w:val="18"/>
              </w:rPr>
              <w:t>Key constraints</w:t>
            </w:r>
          </w:p>
        </w:tc>
      </w:tr>
      <w:tr w:rsidR="00BB1894" w14:paraId="07D54058" w14:textId="77777777" w:rsidTr="00BB1894">
        <w:tc>
          <w:tcPr>
            <w:tcW w:w="1262" w:type="dxa"/>
          </w:tcPr>
          <w:p w14:paraId="282797A0" w14:textId="77777777" w:rsidR="00BB1894" w:rsidRDefault="00000000">
            <w:pPr>
              <w:pStyle w:val="Compact"/>
            </w:pPr>
            <w:r>
              <w:rPr>
                <w:sz w:val="18"/>
              </w:rPr>
              <w:t>Raspberry Pi 4 (8 GB)</w:t>
            </w:r>
          </w:p>
        </w:tc>
        <w:tc>
          <w:tcPr>
            <w:tcW w:w="1532" w:type="dxa"/>
          </w:tcPr>
          <w:p w14:paraId="11F08C33" w14:textId="77777777" w:rsidR="00BB1894" w:rsidRDefault="00000000">
            <w:pPr>
              <w:pStyle w:val="Compact"/>
            </w:pPr>
            <w:r>
              <w:rPr>
                <w:sz w:val="18"/>
              </w:rPr>
              <w:t>4× Cortex-A72 CPU</w:t>
            </w:r>
          </w:p>
        </w:tc>
        <w:tc>
          <w:tcPr>
            <w:tcW w:w="3155" w:type="dxa"/>
          </w:tcPr>
          <w:p w14:paraId="543F4769" w14:textId="77777777" w:rsidR="00BB1894" w:rsidRDefault="00000000">
            <w:pPr>
              <w:pStyle w:val="Compact"/>
            </w:pPr>
            <w:r>
              <w:rPr>
                <w:sz w:val="18"/>
              </w:rPr>
              <w:t>ONNX Runtime (CPU EP) or TFLite with XNNPACK delegate; INT8</w:t>
            </w:r>
          </w:p>
        </w:tc>
        <w:tc>
          <w:tcPr>
            <w:tcW w:w="3065" w:type="dxa"/>
          </w:tcPr>
          <w:p w14:paraId="1AA35A8B" w14:textId="77777777" w:rsidR="00BB1894" w:rsidRDefault="00000000">
            <w:pPr>
              <w:pStyle w:val="Compact"/>
            </w:pPr>
            <w:r>
              <w:rPr>
                <w:sz w:val="18"/>
              </w:rPr>
              <w:t>Throttles under sustained load without active cooling; RAM is ample, memory bandwidth is not</w:t>
            </w:r>
          </w:p>
        </w:tc>
      </w:tr>
      <w:tr w:rsidR="00BB1894" w14:paraId="5E87B392" w14:textId="77777777" w:rsidTr="00BB1894">
        <w:tc>
          <w:tcPr>
            <w:tcW w:w="1262" w:type="dxa"/>
          </w:tcPr>
          <w:p w14:paraId="1B122C24" w14:textId="77777777" w:rsidR="00BB1894" w:rsidRDefault="00000000">
            <w:pPr>
              <w:pStyle w:val="Compact"/>
            </w:pPr>
            <w:r>
              <w:rPr>
                <w:sz w:val="18"/>
              </w:rPr>
              <w:t>Raspberry Pi 4 + Coral USB Edge TPU</w:t>
            </w:r>
          </w:p>
        </w:tc>
        <w:tc>
          <w:tcPr>
            <w:tcW w:w="1532" w:type="dxa"/>
          </w:tcPr>
          <w:p w14:paraId="23340F16" w14:textId="77777777" w:rsidR="00BB1894" w:rsidRDefault="00000000">
            <w:pPr>
              <w:pStyle w:val="Compact"/>
            </w:pPr>
            <w:r>
              <w:rPr>
                <w:sz w:val="18"/>
              </w:rPr>
              <w:t>Adds  4 TOPS INT8 accelerator</w:t>
            </w:r>
          </w:p>
        </w:tc>
        <w:tc>
          <w:tcPr>
            <w:tcW w:w="3155" w:type="dxa"/>
          </w:tcPr>
          <w:p w14:paraId="1F3386B3" w14:textId="77777777" w:rsidR="00BB1894" w:rsidRDefault="00000000">
            <w:pPr>
              <w:pStyle w:val="Compact"/>
            </w:pPr>
            <w:r>
              <w:rPr>
                <w:sz w:val="18"/>
              </w:rPr>
              <w:t>Full-integer TFLite compiled with the Edge TPU compiler</w:t>
            </w:r>
          </w:p>
        </w:tc>
        <w:tc>
          <w:tcPr>
            <w:tcW w:w="3065" w:type="dxa"/>
          </w:tcPr>
          <w:p w14:paraId="16C3545A" w14:textId="77777777" w:rsidR="00BB1894" w:rsidRDefault="00000000">
            <w:pPr>
              <w:pStyle w:val="Compact"/>
            </w:pPr>
            <w:r>
              <w:rPr>
                <w:sz w:val="18"/>
              </w:rPr>
              <w:t>Requires a fully quantized graph; unsupported ops fall back to CPU and can erase the speedup; USB transfer overhead</w:t>
            </w:r>
          </w:p>
        </w:tc>
      </w:tr>
      <w:tr w:rsidR="00BB1894" w14:paraId="6803FA7C" w14:textId="77777777" w:rsidTr="00BB1894">
        <w:tc>
          <w:tcPr>
            <w:tcW w:w="1262" w:type="dxa"/>
          </w:tcPr>
          <w:p w14:paraId="1700CEB2" w14:textId="77777777" w:rsidR="00BB1894" w:rsidRDefault="00000000">
            <w:pPr>
              <w:pStyle w:val="Compact"/>
            </w:pPr>
            <w:r>
              <w:rPr>
                <w:sz w:val="18"/>
              </w:rPr>
              <w:t>Raspberry Pi 5</w:t>
            </w:r>
          </w:p>
        </w:tc>
        <w:tc>
          <w:tcPr>
            <w:tcW w:w="1532" w:type="dxa"/>
          </w:tcPr>
          <w:p w14:paraId="1506304C" w14:textId="77777777" w:rsidR="00BB1894" w:rsidRDefault="00000000">
            <w:pPr>
              <w:pStyle w:val="Compact"/>
            </w:pPr>
            <w:r>
              <w:rPr>
                <w:sz w:val="18"/>
              </w:rPr>
              <w:t>4× Cortex-A76 CPU</w:t>
            </w:r>
          </w:p>
        </w:tc>
        <w:tc>
          <w:tcPr>
            <w:tcW w:w="3155" w:type="dxa"/>
          </w:tcPr>
          <w:p w14:paraId="29779ED7" w14:textId="77777777" w:rsidR="00BB1894" w:rsidRDefault="00000000">
            <w:pPr>
              <w:pStyle w:val="Compact"/>
            </w:pPr>
            <w:r>
              <w:rPr>
                <w:sz w:val="18"/>
              </w:rPr>
              <w:t>ONNX Runtime / TFLite XNNPACK; INT8</w:t>
            </w:r>
          </w:p>
        </w:tc>
        <w:tc>
          <w:tcPr>
            <w:tcW w:w="3065" w:type="dxa"/>
          </w:tcPr>
          <w:p w14:paraId="6D155FAA" w14:textId="77777777" w:rsidR="00BB1894" w:rsidRDefault="00000000">
            <w:pPr>
              <w:pStyle w:val="Compact"/>
            </w:pPr>
            <w:r>
              <w:rPr>
                <w:sz w:val="18"/>
              </w:rPr>
              <w:t>Higher power draw and heat than Pi 4; active cooler recommended</w:t>
            </w:r>
          </w:p>
        </w:tc>
      </w:tr>
      <w:tr w:rsidR="00BB1894" w14:paraId="10A5AF82" w14:textId="77777777" w:rsidTr="00BB1894">
        <w:tc>
          <w:tcPr>
            <w:tcW w:w="1262" w:type="dxa"/>
          </w:tcPr>
          <w:p w14:paraId="7BAD5F74" w14:textId="77777777" w:rsidR="00BB1894" w:rsidRDefault="00000000">
            <w:pPr>
              <w:pStyle w:val="Compact"/>
            </w:pPr>
            <w:r>
              <w:rPr>
                <w:sz w:val="18"/>
              </w:rPr>
              <w:t xml:space="preserve">Jetson Nano </w:t>
            </w:r>
            <w:r>
              <w:rPr>
                <w:sz w:val="18"/>
              </w:rPr>
              <w:lastRenderedPageBreak/>
              <w:t>(4 GB)</w:t>
            </w:r>
          </w:p>
        </w:tc>
        <w:tc>
          <w:tcPr>
            <w:tcW w:w="1532" w:type="dxa"/>
          </w:tcPr>
          <w:p w14:paraId="4533E15F" w14:textId="77777777" w:rsidR="00BB1894" w:rsidRDefault="00000000">
            <w:pPr>
              <w:pStyle w:val="Compact"/>
            </w:pPr>
            <w:r>
              <w:rPr>
                <w:sz w:val="18"/>
              </w:rPr>
              <w:lastRenderedPageBreak/>
              <w:t xml:space="preserve">128-core </w:t>
            </w:r>
            <w:r>
              <w:rPr>
                <w:sz w:val="18"/>
              </w:rPr>
              <w:lastRenderedPageBreak/>
              <w:t>Maxwell GPU</w:t>
            </w:r>
          </w:p>
        </w:tc>
        <w:tc>
          <w:tcPr>
            <w:tcW w:w="3155" w:type="dxa"/>
          </w:tcPr>
          <w:p w14:paraId="7259D9A4" w14:textId="77777777" w:rsidR="00BB1894" w:rsidRDefault="00000000">
            <w:pPr>
              <w:pStyle w:val="Compact"/>
            </w:pPr>
            <w:r>
              <w:rPr>
                <w:sz w:val="18"/>
              </w:rPr>
              <w:lastRenderedPageBreak/>
              <w:t xml:space="preserve">TensorRT (FP16), or ONNX Runtime </w:t>
            </w:r>
            <w:r>
              <w:rPr>
                <w:sz w:val="18"/>
              </w:rPr>
              <w:lastRenderedPageBreak/>
              <w:t>with TensorRT/CUDA EP</w:t>
            </w:r>
          </w:p>
        </w:tc>
        <w:tc>
          <w:tcPr>
            <w:tcW w:w="3065" w:type="dxa"/>
          </w:tcPr>
          <w:p w14:paraId="7BFF6A80" w14:textId="77777777" w:rsidR="00BB1894" w:rsidRDefault="00000000">
            <w:pPr>
              <w:pStyle w:val="Compact"/>
            </w:pPr>
            <w:r>
              <w:rPr>
                <w:sz w:val="18"/>
              </w:rPr>
              <w:lastRenderedPageBreak/>
              <w:t xml:space="preserve">Maxwell has no fast INT8 path, so </w:t>
            </w:r>
            <w:r>
              <w:rPr>
                <w:sz w:val="18"/>
              </w:rPr>
              <w:lastRenderedPageBreak/>
              <w:t>FP16 is the realistic precision; legacy JetPack toolchain; 4 GB RAM shared between CPU and GPU</w:t>
            </w:r>
          </w:p>
        </w:tc>
      </w:tr>
    </w:tbl>
    <w:p w14:paraId="3F4ABD35" w14:textId="77777777" w:rsidR="00BB1894" w:rsidRDefault="00000000">
      <w:pPr>
        <w:pStyle w:val="BodyText"/>
      </w:pPr>
      <w:r>
        <w:lastRenderedPageBreak/>
        <w:t>Several architectural consequences follow from Table 1. Edge TPU compilation is much smoother for EfficientNet-Lite than for MobileNetV3, because EfficientNet-Lite removes squeeze-and-excitation blocks and replaces swish with ReLU6. The MobileNetV3 hard-swish and SE operations are poorly supported on the Edge TPU. On Jetson Nano, INT8 offers no meaningful acceleration, so the fair comparison is FP16 TensorRT against INT8 CPU/TPU paths, not INT8 across all targets. The Nano is also a legacy platform, and a Jetson Orin Nano is the practical migration path if Jetson-class hardware is preferred. We therefore treat Raspberry Pi 4/5 as the primary target and Jetson as a secondary one.</w:t>
      </w:r>
    </w:p>
    <w:p w14:paraId="31496FD3" w14:textId="77777777" w:rsidR="00BB1894" w:rsidRDefault="00000000">
      <w:pPr>
        <w:pStyle w:val="Heading2"/>
      </w:pPr>
      <w:bookmarkStart w:id="17" w:name="software-stack"/>
      <w:bookmarkEnd w:id="16"/>
      <w:r>
        <w:rPr>
          <w:rStyle w:val="SectionNumber"/>
        </w:rPr>
        <w:t>2.6</w:t>
      </w:r>
      <w:r>
        <w:tab/>
        <w:t>Software stack</w:t>
      </w:r>
    </w:p>
    <w:p w14:paraId="6953B5C3" w14:textId="77777777" w:rsidR="00BB1894" w:rsidRDefault="00000000">
      <w:pPr>
        <w:pStyle w:val="FirstParagraph"/>
      </w:pPr>
      <w:r>
        <w:t>The system is a single local service with a small web-based UI served on the device, so that any low-end tablet or phone on the clinic’s local network can act as the front end. The stack consists of a Python inference service, a SQLite (SQLCipher-encrypted) local store, a signed model-bundle loader, and a background sync agent. The sync agent uploads de-identified aggregates and queued cases opportunistically, whenever a connection is available, and never blocks the clinical workflow.</w:t>
      </w:r>
    </w:p>
    <w:p w14:paraId="4B70D7F3" w14:textId="77777777" w:rsidR="00BB1894" w:rsidRDefault="00000000">
      <w:pPr>
        <w:pStyle w:val="Heading1"/>
      </w:pPr>
      <w:bookmarkStart w:id="18" w:name="X3504bea22bc517413901df1e15e57720608453f"/>
      <w:bookmarkEnd w:id="6"/>
      <w:bookmarkEnd w:id="17"/>
      <w:r>
        <w:rPr>
          <w:rStyle w:val="SectionNumber"/>
        </w:rPr>
        <w:t>3</w:t>
      </w:r>
      <w:r>
        <w:tab/>
        <w:t>Triage Workflow and Community Health Worker Co-Design</w:t>
      </w:r>
    </w:p>
    <w:p w14:paraId="43196483" w14:textId="77777777" w:rsidR="00BB1894" w:rsidRDefault="00000000">
      <w:pPr>
        <w:pStyle w:val="Heading2"/>
      </w:pPr>
      <w:bookmarkStart w:id="19" w:name="human-in-the-loop-triage"/>
      <w:r>
        <w:rPr>
          <w:rStyle w:val="SectionNumber"/>
        </w:rPr>
        <w:t>3.1</w:t>
      </w:r>
      <w:r>
        <w:tab/>
        <w:t>Human-in-the-loop triage</w:t>
      </w:r>
    </w:p>
    <w:p w14:paraId="4031CA42" w14:textId="77777777" w:rsidR="00BB1894" w:rsidRDefault="00000000">
      <w:pPr>
        <w:pStyle w:val="FirstParagraph"/>
      </w:pPr>
      <w:r>
        <w:t>The system provides decision support for a CHW, not a diagnosis. The workflow is:</w:t>
      </w:r>
    </w:p>
    <w:p w14:paraId="5129298E" w14:textId="77777777" w:rsidR="00BB1894" w:rsidRDefault="00000000">
      <w:pPr>
        <w:numPr>
          <w:ilvl w:val="0"/>
          <w:numId w:val="5"/>
        </w:numPr>
      </w:pPr>
      <w:r>
        <w:t>The CHW registers the encounter and records consent.</w:t>
      </w:r>
    </w:p>
    <w:p w14:paraId="332C15C9" w14:textId="77777777" w:rsidR="00BB1894" w:rsidRDefault="00000000">
      <w:pPr>
        <w:numPr>
          <w:ilvl w:val="0"/>
          <w:numId w:val="5"/>
        </w:numPr>
      </w:pPr>
      <w:r>
        <w:t>The CHW enters symptoms via checklist, voice, or text, and confirms the extracted slots.</w:t>
      </w:r>
    </w:p>
    <w:p w14:paraId="3D4C9AC2" w14:textId="77777777" w:rsidR="00BB1894" w:rsidRDefault="00000000">
      <w:pPr>
        <w:numPr>
          <w:ilvl w:val="0"/>
          <w:numId w:val="5"/>
        </w:numPr>
      </w:pPr>
      <w:r>
        <w:t>The CHW photographs the lesion (if applicable). The quality gate accepts the image or prompts a retake.</w:t>
      </w:r>
    </w:p>
    <w:p w14:paraId="3ED9DD0B" w14:textId="77777777" w:rsidR="00BB1894" w:rsidRDefault="00000000">
      <w:pPr>
        <w:numPr>
          <w:ilvl w:val="0"/>
          <w:numId w:val="5"/>
        </w:numPr>
      </w:pPr>
      <w:r>
        <w:t>The system returns a tier, a plain-language reason, and a recommended action.</w:t>
      </w:r>
    </w:p>
    <w:p w14:paraId="4701BD4C" w14:textId="77777777" w:rsidR="00BB1894" w:rsidRDefault="00000000">
      <w:pPr>
        <w:numPr>
          <w:ilvl w:val="0"/>
          <w:numId w:val="5"/>
        </w:numPr>
      </w:pPr>
      <w:r>
        <w:t>The CHW accepts or overrides the recommendation and records the reason for any override. Overrides are logged for audit and retraining.</w:t>
      </w:r>
    </w:p>
    <w:p w14:paraId="28C7DF55" w14:textId="77777777" w:rsidR="00BB1894" w:rsidRDefault="00000000">
      <w:pPr>
        <w:pStyle w:val="FirstParagraph"/>
      </w:pPr>
      <w:r>
        <w:t>The three tiers are defined operationally:</w:t>
      </w:r>
    </w:p>
    <w:p w14:paraId="16CF87BD" w14:textId="77777777" w:rsidR="00BB1894" w:rsidRDefault="00000000">
      <w:pPr>
        <w:numPr>
          <w:ilvl w:val="0"/>
          <w:numId w:val="6"/>
        </w:numPr>
      </w:pPr>
      <w:r>
        <w:rPr>
          <w:b/>
          <w:bCs/>
        </w:rPr>
        <w:t>Red — refer urgently.</w:t>
      </w:r>
      <w:r>
        <w:t xml:space="preserve"> Any WHO-style danger sign, or a lesion/symptom pattern above the Red operating threshold (for example, features consistent with melanoma or another suspected malignancy, or signs of severe respiratory distress). The action is same-day referral or teleconsultation.</w:t>
      </w:r>
    </w:p>
    <w:p w14:paraId="3297188E" w14:textId="77777777" w:rsidR="00BB1894" w:rsidRDefault="00000000">
      <w:pPr>
        <w:numPr>
          <w:ilvl w:val="0"/>
          <w:numId w:val="6"/>
        </w:numPr>
      </w:pPr>
      <w:r>
        <w:rPr>
          <w:b/>
          <w:bCs/>
        </w:rPr>
        <w:t>Yellow — refer or review soon.</w:t>
      </w:r>
      <w:r>
        <w:t xml:space="preserve"> Elevated but non-emergent concern, or any case the system cannot assess confidently (poor image quality that persists after </w:t>
      </w:r>
      <w:r>
        <w:lastRenderedPageBreak/>
        <w:t>retake, out-of-distribution input, conflicting modalities). The action is specialist review within a defined window, with return precautions.</w:t>
      </w:r>
    </w:p>
    <w:p w14:paraId="6995D095" w14:textId="77777777" w:rsidR="00BB1894" w:rsidRDefault="00000000">
      <w:pPr>
        <w:numPr>
          <w:ilvl w:val="0"/>
          <w:numId w:val="6"/>
        </w:numPr>
      </w:pPr>
      <w:r>
        <w:rPr>
          <w:b/>
          <w:bCs/>
        </w:rPr>
        <w:t>Green — no danger signs identified.</w:t>
      </w:r>
      <w:r>
        <w:t xml:space="preserve"> Routine follow-up with explicit return precautions.</w:t>
      </w:r>
    </w:p>
    <w:p w14:paraId="336FCB88" w14:textId="77777777" w:rsidR="00BB1894" w:rsidRDefault="00000000">
      <w:pPr>
        <w:pStyle w:val="FirstParagraph"/>
      </w:pPr>
      <w:r>
        <w:rPr>
          <w:b/>
          <w:bCs/>
        </w:rPr>
        <w:t>Green does not mean healthy.</w:t>
      </w:r>
      <w:r>
        <w:t xml:space="preserve"> The interface states this in the local language and in pictograms. The word choice matters as much as the classifier, since users tend to read a “low-risk” label as reassurance; Tschandl et al. (2020) document this kind of human–AI interaction effect in skin cancer recognition.</w:t>
      </w:r>
    </w:p>
    <w:p w14:paraId="62DFED5B" w14:textId="77777777" w:rsidR="00BB1894" w:rsidRDefault="00000000">
      <w:pPr>
        <w:pStyle w:val="Heading4"/>
      </w:pPr>
      <w:bookmarkStart w:id="20" w:name="mapping-classes-to-tiers."/>
      <w:r>
        <w:rPr>
          <w:rStyle w:val="SectionNumber"/>
        </w:rPr>
        <w:t>3.1.0.1</w:t>
      </w:r>
      <w:r>
        <w:tab/>
        <w:t>Mapping classes to tiers.</w:t>
      </w:r>
    </w:p>
    <w:p w14:paraId="43A1AACD" w14:textId="77777777" w:rsidR="00BB1894" w:rsidRDefault="00000000">
      <w:pPr>
        <w:pStyle w:val="FirstParagraph"/>
      </w:pPr>
      <w:r>
        <w:t>The mapping from diagnostic classes to tiers is set by clinicians, not learned. For dermatology, HAM10000-style classes (melanoma, basal cell carcinoma, actinic keratosis/intraepithelial carcinoma, benign keratosis, dermatofibroma, melanocytic nevus, vascular lesion) map to tiers on a clinician-defined table, and the operating thresholds are set to prioritize Red-tier sensitivity at a stated cost in specificity. The escalation policy is the maximum of the tiers produced by each information source, so a benign-looking image cannot suppress a symptom-driven Red.</w:t>
      </w:r>
    </w:p>
    <w:p w14:paraId="2C226625" w14:textId="77777777" w:rsidR="00BB1894" w:rsidRDefault="00000000">
      <w:pPr>
        <w:pStyle w:val="Heading2"/>
      </w:pPr>
      <w:bookmarkStart w:id="21" w:name="co-design-with-chws"/>
      <w:bookmarkEnd w:id="19"/>
      <w:bookmarkEnd w:id="20"/>
      <w:r>
        <w:rPr>
          <w:rStyle w:val="SectionNumber"/>
        </w:rPr>
        <w:t>3.2</w:t>
      </w:r>
      <w:r>
        <w:tab/>
        <w:t>Co-design with CHWs</w:t>
      </w:r>
    </w:p>
    <w:p w14:paraId="3EB573F5" w14:textId="77777777" w:rsidR="00BB1894" w:rsidRDefault="00000000">
      <w:pPr>
        <w:pStyle w:val="FirstParagraph"/>
      </w:pPr>
      <w:r>
        <w:t>We adopt a participatory design approach and treat CHWs as co-designers rather than end-user testers. The plan has three iterations:</w:t>
      </w:r>
    </w:p>
    <w:p w14:paraId="522E41AA" w14:textId="77777777" w:rsidR="00BB1894" w:rsidRDefault="00000000">
      <w:pPr>
        <w:numPr>
          <w:ilvl w:val="0"/>
          <w:numId w:val="7"/>
        </w:numPr>
      </w:pPr>
      <w:r>
        <w:rPr>
          <w:b/>
          <w:bCs/>
        </w:rPr>
        <w:t>Contextual inquiry and workflow mapping.</w:t>
      </w:r>
      <w:r>
        <w:t xml:space="preserve"> Observing current triage practice, paper forms, referral pathways, and typical consultation duration, so that the system fits into the existing flow instead of adding steps.</w:t>
      </w:r>
    </w:p>
    <w:p w14:paraId="5399F16C" w14:textId="77777777" w:rsidR="00BB1894" w:rsidRDefault="00000000">
      <w:pPr>
        <w:numPr>
          <w:ilvl w:val="0"/>
          <w:numId w:val="7"/>
        </w:numPr>
      </w:pPr>
      <w:r>
        <w:rPr>
          <w:b/>
          <w:bCs/>
        </w:rPr>
        <w:t>Low-fidelity prototyping.</w:t>
      </w:r>
      <w:r>
        <w:t xml:space="preserve"> Paper and clickable prototypes to test iconography, tier presentation, and audio prompts before engineering effort is committed.</w:t>
      </w:r>
    </w:p>
    <w:p w14:paraId="53CF8DD5" w14:textId="77777777" w:rsidR="00BB1894" w:rsidRDefault="00000000">
      <w:pPr>
        <w:numPr>
          <w:ilvl w:val="0"/>
          <w:numId w:val="7"/>
        </w:numPr>
      </w:pPr>
      <w:r>
        <w:rPr>
          <w:b/>
          <w:bCs/>
        </w:rPr>
        <w:t>In-clinic think-aloud sessions.</w:t>
      </w:r>
      <w:r>
        <w:t xml:space="preserve"> With a working prototype, using standardized tasks and the System Usability Scale (Brooke, 1996), task completion time, error rates (mislabelled slots, unnecessary retakes), and qualitative interviews.</w:t>
      </w:r>
    </w:p>
    <w:p w14:paraId="5C80F6CC" w14:textId="77777777" w:rsidR="00BB1894" w:rsidRDefault="00000000">
      <w:pPr>
        <w:pStyle w:val="Heading2"/>
      </w:pPr>
      <w:bookmarkStart w:id="22" w:name="Xb2841bb6b5ee83741977135595ccd6e724ade65"/>
      <w:bookmarkEnd w:id="21"/>
      <w:r>
        <w:rPr>
          <w:rStyle w:val="SectionNumber"/>
        </w:rPr>
        <w:t>3.3</w:t>
      </w:r>
      <w:r>
        <w:tab/>
        <w:t>Interface design for constrained environments</w:t>
      </w:r>
    </w:p>
    <w:p w14:paraId="5A88E8D1" w14:textId="77777777" w:rsidR="00BB1894" w:rsidRDefault="00000000">
      <w:pPr>
        <w:numPr>
          <w:ilvl w:val="0"/>
          <w:numId w:val="8"/>
        </w:numPr>
      </w:pPr>
      <w:r>
        <w:rPr>
          <w:b/>
          <w:bCs/>
        </w:rPr>
        <w:t>Low literacy.</w:t>
      </w:r>
      <w:r>
        <w:t xml:space="preserve"> Icon-first design, spoken prompts in the local language, and minimal text. The checklist requires no reading of free text.</w:t>
      </w:r>
    </w:p>
    <w:p w14:paraId="51588BAB" w14:textId="77777777" w:rsidR="00BB1894" w:rsidRDefault="00000000">
      <w:pPr>
        <w:numPr>
          <w:ilvl w:val="0"/>
          <w:numId w:val="8"/>
        </w:numPr>
      </w:pPr>
      <w:r>
        <w:rPr>
          <w:b/>
          <w:bCs/>
        </w:rPr>
        <w:t>Multi-dialect environments.</w:t>
      </w:r>
      <w:r>
        <w:t xml:space="preserve"> Language packs are separable assets (UI strings, audio prompts, ASR model, slot lexicon), so that a local team can add a dialect without touching the core. Translations of clinical prompts are back-translated and reviewed by clinicians.</w:t>
      </w:r>
    </w:p>
    <w:p w14:paraId="4CF2EE9F" w14:textId="77777777" w:rsidR="00BB1894" w:rsidRDefault="00000000">
      <w:pPr>
        <w:numPr>
          <w:ilvl w:val="0"/>
          <w:numId w:val="8"/>
        </w:numPr>
      </w:pPr>
      <w:r>
        <w:rPr>
          <w:b/>
          <w:bCs/>
        </w:rPr>
        <w:t>Colour accessibility.</w:t>
      </w:r>
      <w:r>
        <w:t xml:space="preserve"> Tier is encoded redundantly by colour, shape, and position (e.g., a stop-sign shape for Red), so that colour-vision deficiency or poor screen quality does not change the meaning.</w:t>
      </w:r>
    </w:p>
    <w:p w14:paraId="1EB918E3" w14:textId="77777777" w:rsidR="00BB1894" w:rsidRDefault="00000000">
      <w:pPr>
        <w:numPr>
          <w:ilvl w:val="0"/>
          <w:numId w:val="8"/>
        </w:numPr>
      </w:pPr>
      <w:r>
        <w:rPr>
          <w:b/>
          <w:bCs/>
        </w:rPr>
        <w:t>Low bandwidth and low power.</w:t>
      </w:r>
      <w:r>
        <w:t xml:space="preserve"> The UI is a lightweight static web app served locally, with no external fonts, CDNs, or analytics. Cases are queued and synchronized opportunistically, and the device resumes cleanly after power loss.</w:t>
      </w:r>
    </w:p>
    <w:p w14:paraId="3DFC8F1C" w14:textId="77777777" w:rsidR="00BB1894" w:rsidRDefault="00000000">
      <w:pPr>
        <w:numPr>
          <w:ilvl w:val="0"/>
          <w:numId w:val="8"/>
        </w:numPr>
      </w:pPr>
      <w:r>
        <w:rPr>
          <w:b/>
          <w:bCs/>
        </w:rPr>
        <w:lastRenderedPageBreak/>
        <w:t>Explanation.</w:t>
      </w:r>
      <w:r>
        <w:t xml:space="preserve"> Each recommendation carries a short reason (for example, “breathing difficulty reported plus chest indrawing”), which supports both trust and error detection. For imaging we display the quality-gate outcome, but avoid saliency heatmaps as “explanations” unless they are validated, because they can mislead users into over-trusting the output.</w:t>
      </w:r>
    </w:p>
    <w:p w14:paraId="1D0B0C6D" w14:textId="77777777" w:rsidR="00BB1894" w:rsidRDefault="00000000">
      <w:pPr>
        <w:pStyle w:val="Heading1"/>
      </w:pPr>
      <w:bookmarkStart w:id="23" w:name="X33f8b26edef31a94dee4696a951058a1785e683"/>
      <w:bookmarkEnd w:id="18"/>
      <w:bookmarkEnd w:id="22"/>
      <w:r>
        <w:rPr>
          <w:rStyle w:val="SectionNumber"/>
        </w:rPr>
        <w:t>4</w:t>
      </w:r>
      <w:r>
        <w:tab/>
        <w:t>Experimental Setup and Benchmarking Strategy</w:t>
      </w:r>
    </w:p>
    <w:p w14:paraId="4BE8709D" w14:textId="77777777" w:rsidR="00BB1894" w:rsidRDefault="00000000">
      <w:pPr>
        <w:pStyle w:val="Heading2"/>
      </w:pPr>
      <w:bookmarkStart w:id="24" w:name="datasets"/>
      <w:r>
        <w:rPr>
          <w:rStyle w:val="SectionNumber"/>
        </w:rPr>
        <w:t>4.1</w:t>
      </w:r>
      <w:r>
        <w:tab/>
        <w:t>Datasets</w:t>
      </w:r>
    </w:p>
    <w:p w14:paraId="2F3507A9" w14:textId="77777777" w:rsidR="00BB1894" w:rsidRDefault="00000000">
      <w:pPr>
        <w:pStyle w:val="Heading4"/>
      </w:pPr>
      <w:bookmarkStart w:id="25" w:name="dermatology."/>
      <w:r>
        <w:rPr>
          <w:rStyle w:val="SectionNumber"/>
        </w:rPr>
        <w:t>4.1.0.1</w:t>
      </w:r>
      <w:r>
        <w:tab/>
        <w:t>Dermatology.</w:t>
      </w:r>
    </w:p>
    <w:p w14:paraId="2073A2F5" w14:textId="77777777" w:rsidR="00BB1894" w:rsidRDefault="00000000">
      <w:pPr>
        <w:numPr>
          <w:ilvl w:val="0"/>
          <w:numId w:val="9"/>
        </w:numPr>
      </w:pPr>
      <w:r>
        <w:rPr>
          <w:b/>
          <w:bCs/>
        </w:rPr>
        <w:t>HAM10000</w:t>
      </w:r>
      <w:r>
        <w:t xml:space="preserve"> (Tschandl et al., 2018): 10,015 dermatoscopic images across seven diagnostic categories. Multiple images derive from the same lesion, so all splits must be made by </w:t>
      </w:r>
      <w:r>
        <w:rPr>
          <w:rStyle w:val="VerbatimChar"/>
        </w:rPr>
        <w:t>lesion_id</w:t>
      </w:r>
      <w:r>
        <w:t>. Otherwise near-duplicates leak across train and test and inflate metrics.</w:t>
      </w:r>
    </w:p>
    <w:p w14:paraId="0F3F4C33" w14:textId="77777777" w:rsidR="00BB1894" w:rsidRDefault="00000000">
      <w:pPr>
        <w:numPr>
          <w:ilvl w:val="0"/>
          <w:numId w:val="9"/>
        </w:numPr>
      </w:pPr>
      <w:r>
        <w:rPr>
          <w:b/>
          <w:bCs/>
        </w:rPr>
        <w:t>ISIC 2018–2020 archives</w:t>
      </w:r>
      <w:r>
        <w:t xml:space="preserve"> (Codella et al., 2019) and successors: additional dermoscopic data. ISIC 2019 overlaps with HAM10000, and deduplication is required before combining.</w:t>
      </w:r>
    </w:p>
    <w:p w14:paraId="0A5B070A" w14:textId="77777777" w:rsidR="00BB1894" w:rsidRDefault="00000000">
      <w:pPr>
        <w:numPr>
          <w:ilvl w:val="0"/>
          <w:numId w:val="9"/>
        </w:numPr>
      </w:pPr>
      <w:r>
        <w:rPr>
          <w:b/>
          <w:bCs/>
        </w:rPr>
        <w:t>PAD-UFES-20</w:t>
      </w:r>
      <w:r>
        <w:t xml:space="preserve"> (Pacheco et al., 2020): smartphone clinical photographs with patient metadata, closer to the rural capture setting than dermoscopy.</w:t>
      </w:r>
    </w:p>
    <w:p w14:paraId="6129BB2F" w14:textId="77777777" w:rsidR="00BB1894" w:rsidRDefault="00000000">
      <w:pPr>
        <w:numPr>
          <w:ilvl w:val="0"/>
          <w:numId w:val="9"/>
        </w:numPr>
      </w:pPr>
      <w:r>
        <w:rPr>
          <w:b/>
          <w:bCs/>
        </w:rPr>
        <w:t>Fitzpatrick 17k</w:t>
      </w:r>
      <w:r>
        <w:t xml:space="preserve"> (Groh et al., 2021) and </w:t>
      </w:r>
      <w:r>
        <w:rPr>
          <w:b/>
          <w:bCs/>
        </w:rPr>
        <w:t>DDI</w:t>
      </w:r>
      <w:r>
        <w:t xml:space="preserve"> (Daneshjou et al., 2022): clinical images with skin-tone annotation, used primarily for subgroup analysis and for adding non-neoplastic conditions.</w:t>
      </w:r>
    </w:p>
    <w:p w14:paraId="18FEEEE4" w14:textId="77777777" w:rsidR="00BB1894" w:rsidRDefault="00000000">
      <w:pPr>
        <w:pStyle w:val="FirstParagraph"/>
      </w:pPr>
      <w:r>
        <w:t>There are two known limitations. HAM10000 and much of ISIC come from a limited set of populations and skew heavily toward lighter skin types, and they focus on pigmented neoplasms. Rural clinics see a very different case mix, dominated by infectious and inflammatory conditions (scabies, fungal infections, cellulitis, eczema). We therefore treat the public datasets as pretraining and calibration data, and plan a locally collected, clinician-labelled validation set as the true test of deployment performance.</w:t>
      </w:r>
    </w:p>
    <w:p w14:paraId="071F5B20" w14:textId="77777777" w:rsidR="00BB1894" w:rsidRDefault="00000000">
      <w:pPr>
        <w:pStyle w:val="Heading4"/>
      </w:pPr>
      <w:bookmarkStart w:id="26" w:name="respiratory."/>
      <w:bookmarkEnd w:id="25"/>
      <w:r>
        <w:rPr>
          <w:rStyle w:val="SectionNumber"/>
        </w:rPr>
        <w:t>4.1.0.2</w:t>
      </w:r>
      <w:r>
        <w:tab/>
        <w:t>Respiratory.</w:t>
      </w:r>
    </w:p>
    <w:p w14:paraId="58F79A3D" w14:textId="77777777" w:rsidR="00BB1894" w:rsidRDefault="00000000">
      <w:pPr>
        <w:numPr>
          <w:ilvl w:val="0"/>
          <w:numId w:val="10"/>
        </w:numPr>
      </w:pPr>
      <w:r>
        <w:rPr>
          <w:b/>
          <w:bCs/>
        </w:rPr>
        <w:t>ICBHI 2017 Respiratory Sound Database</w:t>
      </w:r>
      <w:r>
        <w:t xml:space="preserve"> (Rocha et al., 2019): 920 annotated recordings from 126 patients, labelled for crackles and wheezes.</w:t>
      </w:r>
    </w:p>
    <w:p w14:paraId="2DE4F82B" w14:textId="77777777" w:rsidR="00BB1894" w:rsidRDefault="00000000">
      <w:pPr>
        <w:numPr>
          <w:ilvl w:val="0"/>
          <w:numId w:val="10"/>
        </w:numPr>
      </w:pPr>
      <w:r>
        <w:rPr>
          <w:b/>
          <w:bCs/>
        </w:rPr>
        <w:t>COUGHVID</w:t>
      </w:r>
      <w:r>
        <w:t xml:space="preserve"> and </w:t>
      </w:r>
      <w:r>
        <w:rPr>
          <w:b/>
          <w:bCs/>
        </w:rPr>
        <w:t>Coswara</w:t>
      </w:r>
      <w:r>
        <w:t>: crowdsourced cough recordings, used only in exploratory audio experiments given the label-quality issues noted above.</w:t>
      </w:r>
    </w:p>
    <w:p w14:paraId="44115393" w14:textId="77777777" w:rsidR="00BB1894" w:rsidRDefault="00000000">
      <w:pPr>
        <w:numPr>
          <w:ilvl w:val="0"/>
          <w:numId w:val="10"/>
        </w:numPr>
      </w:pPr>
      <w:r>
        <w:rPr>
          <w:b/>
          <w:bCs/>
        </w:rPr>
        <w:t>Symptom text.</w:t>
      </w:r>
      <w:r>
        <w:t xml:space="preserve"> No large public corpus of clinical symptom narratives exists in the languages of interest. We construct a clinician-authored vignette set aligned to IMCI/IMAI danger signs, with paraphrases in target languages (including code-mixed speech), and validate extraction accuracy on it.</w:t>
      </w:r>
    </w:p>
    <w:p w14:paraId="67C012F4" w14:textId="77777777" w:rsidR="00BB1894" w:rsidRDefault="00000000">
      <w:pPr>
        <w:pStyle w:val="Heading2"/>
      </w:pPr>
      <w:bookmarkStart w:id="27" w:name="evaluation-design"/>
      <w:bookmarkEnd w:id="24"/>
      <w:bookmarkEnd w:id="26"/>
      <w:r>
        <w:rPr>
          <w:rStyle w:val="SectionNumber"/>
        </w:rPr>
        <w:t>4.2</w:t>
      </w:r>
      <w:r>
        <w:tab/>
        <w:t>Evaluation design</w:t>
      </w:r>
    </w:p>
    <w:p w14:paraId="4EA411B3" w14:textId="77777777" w:rsidR="00BB1894" w:rsidRDefault="00000000">
      <w:pPr>
        <w:numPr>
          <w:ilvl w:val="0"/>
          <w:numId w:val="11"/>
        </w:numPr>
      </w:pPr>
      <w:r>
        <w:rPr>
          <w:b/>
          <w:bCs/>
        </w:rPr>
        <w:t>Splits.</w:t>
      </w:r>
      <w:r>
        <w:t xml:space="preserve"> Patient- and lesion-level splits, with external validation on a dataset from a different source. Temporal or site-based splits are used for the local data.</w:t>
      </w:r>
    </w:p>
    <w:p w14:paraId="0747F1EC" w14:textId="77777777" w:rsidR="00BB1894" w:rsidRDefault="00000000">
      <w:pPr>
        <w:numPr>
          <w:ilvl w:val="0"/>
          <w:numId w:val="11"/>
        </w:numPr>
      </w:pPr>
      <w:r>
        <w:rPr>
          <w:b/>
          <w:bCs/>
        </w:rPr>
        <w:lastRenderedPageBreak/>
        <w:t>Operating points.</w:t>
      </w:r>
      <w:r>
        <w:t xml:space="preserve"> Thresholds are fixed on the validation set before touching the test set. We report sensitivity at a pre-specified specificity, and the reverse.</w:t>
      </w:r>
    </w:p>
    <w:p w14:paraId="6E18A1CE" w14:textId="77777777" w:rsidR="00BB1894" w:rsidRDefault="00000000">
      <w:pPr>
        <w:numPr>
          <w:ilvl w:val="0"/>
          <w:numId w:val="11"/>
        </w:numPr>
      </w:pPr>
      <w:r>
        <w:rPr>
          <w:b/>
          <w:bCs/>
        </w:rPr>
        <w:t>Primary diagnostic metrics.</w:t>
      </w:r>
      <w:r>
        <w:t xml:space="preserve"> Red-tier sensitivity (recall for urgent conditions), specificity, positive and negative predictive value at the local prevalence, and AUROC/AUPRC. Precision and recall are reported per tier. All metrics carry 95% confidence intervals (Clopper–Pearson for proportions, bootstrap for AUCs).</w:t>
      </w:r>
    </w:p>
    <w:p w14:paraId="42044915" w14:textId="77777777" w:rsidR="00BB1894" w:rsidRDefault="00000000">
      <w:pPr>
        <w:numPr>
          <w:ilvl w:val="0"/>
          <w:numId w:val="11"/>
        </w:numPr>
      </w:pPr>
      <w:r>
        <w:rPr>
          <w:b/>
          <w:bCs/>
        </w:rPr>
        <w:t>Calibration.</w:t>
      </w:r>
      <w:r>
        <w:t xml:space="preserve"> Expected calibration error and Brier score, before and after compression.</w:t>
      </w:r>
    </w:p>
    <w:p w14:paraId="39747E2D" w14:textId="77777777" w:rsidR="00BB1894" w:rsidRDefault="00000000">
      <w:pPr>
        <w:numPr>
          <w:ilvl w:val="0"/>
          <w:numId w:val="11"/>
        </w:numPr>
      </w:pPr>
      <w:r>
        <w:rPr>
          <w:b/>
          <w:bCs/>
        </w:rPr>
        <w:t>Subgroups.</w:t>
      </w:r>
      <w:r>
        <w:t xml:space="preserve"> Metrics stratified by Fitzpatrick skin type (or Monk Skin Tone scale where available), age group, sex, lesion site, and image source (dermoscopic vs. smartphone).</w:t>
      </w:r>
    </w:p>
    <w:p w14:paraId="45194C21" w14:textId="77777777" w:rsidR="00BB1894" w:rsidRDefault="00000000">
      <w:pPr>
        <w:numPr>
          <w:ilvl w:val="0"/>
          <w:numId w:val="11"/>
        </w:numPr>
      </w:pPr>
      <w:r>
        <w:rPr>
          <w:b/>
          <w:bCs/>
        </w:rPr>
        <w:t>Compression fidelity.</w:t>
      </w:r>
      <w:r>
        <w:t xml:space="preserve"> The FP32 teacher, the FP32 student, and each compressed variant are evaluated on the same splits, isolating the accuracy cost of each compression step.</w:t>
      </w:r>
    </w:p>
    <w:p w14:paraId="768A6846" w14:textId="77777777" w:rsidR="00BB1894" w:rsidRDefault="00000000">
      <w:pPr>
        <w:pStyle w:val="Heading2"/>
      </w:pPr>
      <w:bookmarkStart w:id="28" w:name="efficiency-and-system-metrics"/>
      <w:bookmarkEnd w:id="27"/>
      <w:r>
        <w:rPr>
          <w:rStyle w:val="SectionNumber"/>
        </w:rPr>
        <w:t>4.3</w:t>
      </w:r>
      <w:r>
        <w:tab/>
        <w:t>Efficiency and system metrics</w:t>
      </w:r>
    </w:p>
    <w:p w14:paraId="36CF40EA" w14:textId="77777777" w:rsidR="00BB1894" w:rsidRDefault="00000000">
      <w:pPr>
        <w:pStyle w:val="TableCaption"/>
      </w:pPr>
      <w:r>
        <w:t>Table 2. Efficiency and system metrics, measurement methods, and design targets.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64"/>
        <w:gridCol w:w="4159"/>
        <w:gridCol w:w="3419"/>
      </w:tblGrid>
      <w:tr w:rsidR="00BB1894" w14:paraId="583B55B5" w14:textId="77777777" w:rsidTr="00BB1894">
        <w:trPr>
          <w:cnfStyle w:val="100000000000" w:firstRow="1" w:lastRow="0" w:firstColumn="0" w:lastColumn="0" w:oddVBand="0" w:evenVBand="0" w:oddHBand="0" w:evenHBand="0" w:firstRowFirstColumn="0" w:firstRowLastColumn="0" w:lastRowFirstColumn="0" w:lastRowLastColumn="0"/>
          <w:tblHeader/>
        </w:trPr>
        <w:tc>
          <w:tcPr>
            <w:tcW w:w="1623" w:type="dxa"/>
            <w:shd w:val="clear" w:color="auto" w:fill="E8EDF5"/>
          </w:tcPr>
          <w:p w14:paraId="47FA11AC" w14:textId="77777777" w:rsidR="00BB1894" w:rsidRDefault="00000000">
            <w:pPr>
              <w:pStyle w:val="Compact"/>
            </w:pPr>
            <w:r>
              <w:rPr>
                <w:b/>
                <w:bCs/>
                <w:sz w:val="18"/>
              </w:rPr>
              <w:t>Metric</w:t>
            </w:r>
          </w:p>
        </w:tc>
        <w:tc>
          <w:tcPr>
            <w:tcW w:w="4056" w:type="dxa"/>
            <w:shd w:val="clear" w:color="auto" w:fill="E8EDF5"/>
          </w:tcPr>
          <w:p w14:paraId="5F84C3F5" w14:textId="77777777" w:rsidR="00BB1894" w:rsidRDefault="00000000">
            <w:pPr>
              <w:pStyle w:val="Compact"/>
            </w:pPr>
            <w:r>
              <w:rPr>
                <w:b/>
                <w:bCs/>
                <w:sz w:val="18"/>
              </w:rPr>
              <w:t>Method</w:t>
            </w:r>
          </w:p>
        </w:tc>
        <w:tc>
          <w:tcPr>
            <w:tcW w:w="3335" w:type="dxa"/>
            <w:shd w:val="clear" w:color="auto" w:fill="E8EDF5"/>
          </w:tcPr>
          <w:p w14:paraId="035E6AFE" w14:textId="77777777" w:rsidR="00BB1894" w:rsidRDefault="00000000">
            <w:pPr>
              <w:pStyle w:val="Compact"/>
            </w:pPr>
            <w:r>
              <w:rPr>
                <w:b/>
                <w:bCs/>
                <w:sz w:val="18"/>
              </w:rPr>
              <w:t>Design target (Pi 4, 8 GB)</w:t>
            </w:r>
          </w:p>
        </w:tc>
      </w:tr>
      <w:tr w:rsidR="00BB1894" w14:paraId="1DA171CA" w14:textId="77777777" w:rsidTr="00BB1894">
        <w:tc>
          <w:tcPr>
            <w:tcW w:w="1623" w:type="dxa"/>
          </w:tcPr>
          <w:p w14:paraId="7753ECDF" w14:textId="77777777" w:rsidR="00BB1894" w:rsidRDefault="00000000">
            <w:pPr>
              <w:pStyle w:val="Compact"/>
            </w:pPr>
            <w:r>
              <w:rPr>
                <w:sz w:val="18"/>
              </w:rPr>
              <w:t>Inference latency (ms)</w:t>
            </w:r>
          </w:p>
        </w:tc>
        <w:tc>
          <w:tcPr>
            <w:tcW w:w="4056" w:type="dxa"/>
          </w:tcPr>
          <w:p w14:paraId="69B32B55" w14:textId="77777777" w:rsidR="00BB1894" w:rsidRDefault="00000000">
            <w:pPr>
              <w:pStyle w:val="Compact"/>
            </w:pPr>
            <w:r>
              <w:rPr>
                <w:sz w:val="18"/>
              </w:rPr>
              <w:t>End-to-end and per-stage; warm-up excluded; report p50/p95/p99 over at least 1,000 runs</w:t>
            </w:r>
          </w:p>
        </w:tc>
        <w:tc>
          <w:tcPr>
            <w:tcW w:w="3335" w:type="dxa"/>
          </w:tcPr>
          <w:p w14:paraId="199253B1" w14:textId="77777777" w:rsidR="00BB1894" w:rsidRDefault="00000000">
            <w:pPr>
              <w:pStyle w:val="Compact"/>
            </w:pPr>
            <w:r>
              <w:rPr>
                <w:sz w:val="18"/>
              </w:rPr>
              <w:t>Vision branch p95 ≤ 300 ms; full pipeline (excluding ASR) ≤ 2 s</w:t>
            </w:r>
          </w:p>
        </w:tc>
      </w:tr>
      <w:tr w:rsidR="00BB1894" w14:paraId="44035AED" w14:textId="77777777" w:rsidTr="00BB1894">
        <w:tc>
          <w:tcPr>
            <w:tcW w:w="1623" w:type="dxa"/>
          </w:tcPr>
          <w:p w14:paraId="5597069B" w14:textId="77777777" w:rsidR="00BB1894" w:rsidRDefault="00000000">
            <w:pPr>
              <w:pStyle w:val="Compact"/>
            </w:pPr>
            <w:r>
              <w:rPr>
                <w:sz w:val="18"/>
              </w:rPr>
              <w:t>Peak RAM (MB)</w:t>
            </w:r>
          </w:p>
        </w:tc>
        <w:tc>
          <w:tcPr>
            <w:tcW w:w="4056" w:type="dxa"/>
          </w:tcPr>
          <w:p w14:paraId="1DE5594E" w14:textId="77777777" w:rsidR="00BB1894" w:rsidRDefault="00000000">
            <w:pPr>
              <w:pStyle w:val="Compact"/>
            </w:pPr>
            <w:r>
              <w:rPr>
                <w:sz w:val="18"/>
              </w:rPr>
              <w:t xml:space="preserve">Resident set size via </w:t>
            </w:r>
            <w:r>
              <w:rPr>
                <w:rStyle w:val="VerbatimChar"/>
                <w:sz w:val="18"/>
              </w:rPr>
              <w:t>/proc</w:t>
            </w:r>
            <w:r>
              <w:rPr>
                <w:sz w:val="18"/>
              </w:rPr>
              <w:t xml:space="preserve"> sampling, including runtime and models loaded together</w:t>
            </w:r>
          </w:p>
        </w:tc>
        <w:tc>
          <w:tcPr>
            <w:tcW w:w="3335" w:type="dxa"/>
          </w:tcPr>
          <w:p w14:paraId="029FB585" w14:textId="77777777" w:rsidR="00BB1894" w:rsidRDefault="00000000">
            <w:pPr>
              <w:pStyle w:val="Compact"/>
            </w:pPr>
            <w:r>
              <w:rPr>
                <w:sz w:val="18"/>
              </w:rPr>
              <w:t>≤ 1.5 GB for the full service</w:t>
            </w:r>
          </w:p>
        </w:tc>
      </w:tr>
      <w:tr w:rsidR="00BB1894" w14:paraId="51304A1E" w14:textId="77777777" w:rsidTr="00BB1894">
        <w:tc>
          <w:tcPr>
            <w:tcW w:w="1623" w:type="dxa"/>
          </w:tcPr>
          <w:p w14:paraId="4FC40500" w14:textId="77777777" w:rsidR="00BB1894" w:rsidRDefault="00000000">
            <w:pPr>
              <w:pStyle w:val="Compact"/>
            </w:pPr>
            <w:r>
              <w:rPr>
                <w:sz w:val="18"/>
              </w:rPr>
              <w:t>Power (W)</w:t>
            </w:r>
          </w:p>
        </w:tc>
        <w:tc>
          <w:tcPr>
            <w:tcW w:w="4056" w:type="dxa"/>
          </w:tcPr>
          <w:p w14:paraId="2E00A5BF" w14:textId="77777777" w:rsidR="00BB1894" w:rsidRDefault="00000000">
            <w:pPr>
              <w:pStyle w:val="Compact"/>
            </w:pPr>
            <w:r>
              <w:rPr>
                <w:sz w:val="18"/>
              </w:rPr>
              <w:t>Inline USB power meter or INA219 sensor; idle vs. inference vs. sustained</w:t>
            </w:r>
          </w:p>
        </w:tc>
        <w:tc>
          <w:tcPr>
            <w:tcW w:w="3335" w:type="dxa"/>
          </w:tcPr>
          <w:p w14:paraId="69E35492" w14:textId="77777777" w:rsidR="00BB1894" w:rsidRDefault="00000000">
            <w:pPr>
              <w:pStyle w:val="Compact"/>
            </w:pPr>
            <w:r>
              <w:rPr>
                <w:sz w:val="18"/>
              </w:rPr>
              <w:t>≤ 6 W average under load, so a small solar/battery supply is feasible</w:t>
            </w:r>
          </w:p>
        </w:tc>
      </w:tr>
      <w:tr w:rsidR="00BB1894" w14:paraId="18E25CBE" w14:textId="77777777" w:rsidTr="00BB1894">
        <w:tc>
          <w:tcPr>
            <w:tcW w:w="1623" w:type="dxa"/>
          </w:tcPr>
          <w:p w14:paraId="44983C03" w14:textId="77777777" w:rsidR="00BB1894" w:rsidRDefault="00000000">
            <w:pPr>
              <w:pStyle w:val="Compact"/>
            </w:pPr>
            <w:r>
              <w:rPr>
                <w:sz w:val="18"/>
              </w:rPr>
              <w:t>Energy per triage (mJ)</w:t>
            </w:r>
          </w:p>
        </w:tc>
        <w:tc>
          <w:tcPr>
            <w:tcW w:w="4056" w:type="dxa"/>
          </w:tcPr>
          <w:p w14:paraId="1F431423" w14:textId="77777777" w:rsidR="00BB1894" w:rsidRDefault="00000000">
            <w:pPr>
              <w:pStyle w:val="Compact"/>
            </w:pPr>
            <w:r>
              <w:rPr>
                <w:sz w:val="18"/>
              </w:rPr>
              <w:t>Integrated power over one encounter</w:t>
            </w:r>
          </w:p>
        </w:tc>
        <w:tc>
          <w:tcPr>
            <w:tcW w:w="3335" w:type="dxa"/>
          </w:tcPr>
          <w:p w14:paraId="6B683C68" w14:textId="77777777" w:rsidR="00BB1894" w:rsidRDefault="00000000">
            <w:pPr>
              <w:pStyle w:val="Compact"/>
            </w:pPr>
            <w:r>
              <w:rPr>
                <w:sz w:val="18"/>
              </w:rPr>
              <w:t>Report; no fixed target</w:t>
            </w:r>
          </w:p>
        </w:tc>
      </w:tr>
      <w:tr w:rsidR="00BB1894" w14:paraId="17641DCF" w14:textId="77777777" w:rsidTr="00BB1894">
        <w:tc>
          <w:tcPr>
            <w:tcW w:w="1623" w:type="dxa"/>
          </w:tcPr>
          <w:p w14:paraId="3F0C9B59" w14:textId="77777777" w:rsidR="00BB1894" w:rsidRDefault="00000000">
            <w:pPr>
              <w:pStyle w:val="Compact"/>
            </w:pPr>
            <w:r>
              <w:rPr>
                <w:sz w:val="18"/>
              </w:rPr>
              <w:t>Thermal behaviour</w:t>
            </w:r>
          </w:p>
        </w:tc>
        <w:tc>
          <w:tcPr>
            <w:tcW w:w="4056" w:type="dxa"/>
          </w:tcPr>
          <w:p w14:paraId="61B07341" w14:textId="77777777" w:rsidR="00BB1894" w:rsidRDefault="00000000">
            <w:pPr>
              <w:pStyle w:val="Compact"/>
            </w:pPr>
            <w:r>
              <w:rPr>
                <w:sz w:val="18"/>
              </w:rPr>
              <w:t>SoC temperature and effective clock frequency (</w:t>
            </w:r>
            <w:r>
              <w:rPr>
                <w:rStyle w:val="VerbatimChar"/>
                <w:sz w:val="18"/>
              </w:rPr>
              <w:t>vcgencmd measure_temp</w:t>
            </w:r>
            <w:r>
              <w:rPr>
                <w:sz w:val="18"/>
              </w:rPr>
              <w:t xml:space="preserve">, </w:t>
            </w:r>
            <w:r>
              <w:rPr>
                <w:rStyle w:val="VerbatimChar"/>
                <w:sz w:val="18"/>
              </w:rPr>
              <w:t>get_throttled</w:t>
            </w:r>
            <w:r>
              <w:rPr>
                <w:sz w:val="18"/>
              </w:rPr>
              <w:t>) during 60-minute continuous inference, with and without heatsink/fan; ambient temperature logged</w:t>
            </w:r>
          </w:p>
        </w:tc>
        <w:tc>
          <w:tcPr>
            <w:tcW w:w="3335" w:type="dxa"/>
          </w:tcPr>
          <w:p w14:paraId="49428138" w14:textId="77777777" w:rsidR="00BB1894" w:rsidRDefault="00000000">
            <w:pPr>
              <w:pStyle w:val="Compact"/>
            </w:pPr>
            <w:r>
              <w:rPr>
                <w:sz w:val="18"/>
              </w:rPr>
              <w:t>No throttle flag under a passive heatsink at 30 °C ambient; latency drift &lt; 15% over the run</w:t>
            </w:r>
          </w:p>
        </w:tc>
      </w:tr>
      <w:tr w:rsidR="00BB1894" w14:paraId="4D5BDAFC" w14:textId="77777777" w:rsidTr="00BB1894">
        <w:tc>
          <w:tcPr>
            <w:tcW w:w="1623" w:type="dxa"/>
          </w:tcPr>
          <w:p w14:paraId="76D84737" w14:textId="77777777" w:rsidR="00BB1894" w:rsidRDefault="00000000">
            <w:pPr>
              <w:pStyle w:val="Compact"/>
            </w:pPr>
            <w:r>
              <w:rPr>
                <w:sz w:val="18"/>
              </w:rPr>
              <w:t>Accuracy under sustained load</w:t>
            </w:r>
          </w:p>
        </w:tc>
        <w:tc>
          <w:tcPr>
            <w:tcW w:w="4056" w:type="dxa"/>
          </w:tcPr>
          <w:p w14:paraId="623111F3" w14:textId="77777777" w:rsidR="00BB1894" w:rsidRDefault="00000000">
            <w:pPr>
              <w:pStyle w:val="Compact"/>
            </w:pPr>
            <w:r>
              <w:rPr>
                <w:sz w:val="18"/>
              </w:rPr>
              <w:t>Repeat diagnostic evaluation at the end of the thermal run</w:t>
            </w:r>
          </w:p>
        </w:tc>
        <w:tc>
          <w:tcPr>
            <w:tcW w:w="3335" w:type="dxa"/>
          </w:tcPr>
          <w:p w14:paraId="0F8A729E" w14:textId="77777777" w:rsidR="00BB1894" w:rsidRDefault="00000000">
            <w:pPr>
              <w:pStyle w:val="Compact"/>
            </w:pPr>
            <w:r>
              <w:rPr>
                <w:sz w:val="18"/>
              </w:rPr>
              <w:t>No degradation (should be identical for deterministic models; verifies no runtime faults)</w:t>
            </w:r>
          </w:p>
        </w:tc>
      </w:tr>
      <w:tr w:rsidR="00BB1894" w14:paraId="13F9EFE9" w14:textId="77777777" w:rsidTr="00BB1894">
        <w:tc>
          <w:tcPr>
            <w:tcW w:w="1623" w:type="dxa"/>
          </w:tcPr>
          <w:p w14:paraId="57ECC93E" w14:textId="77777777" w:rsidR="00BB1894" w:rsidRDefault="00000000">
            <w:pPr>
              <w:pStyle w:val="Compact"/>
            </w:pPr>
            <w:r>
              <w:rPr>
                <w:sz w:val="18"/>
              </w:rPr>
              <w:t>Cold start time</w:t>
            </w:r>
          </w:p>
        </w:tc>
        <w:tc>
          <w:tcPr>
            <w:tcW w:w="4056" w:type="dxa"/>
          </w:tcPr>
          <w:p w14:paraId="31F1253E" w14:textId="77777777" w:rsidR="00BB1894" w:rsidRDefault="00000000">
            <w:pPr>
              <w:pStyle w:val="Compact"/>
            </w:pPr>
            <w:r>
              <w:rPr>
                <w:sz w:val="18"/>
              </w:rPr>
              <w:t>Power-on to first triage</w:t>
            </w:r>
          </w:p>
        </w:tc>
        <w:tc>
          <w:tcPr>
            <w:tcW w:w="3335" w:type="dxa"/>
          </w:tcPr>
          <w:p w14:paraId="0B2E8D93" w14:textId="77777777" w:rsidR="00BB1894" w:rsidRDefault="00000000">
            <w:pPr>
              <w:pStyle w:val="Compact"/>
            </w:pPr>
            <w:r>
              <w:rPr>
                <w:sz w:val="18"/>
              </w:rPr>
              <w:t>Report</w:t>
            </w:r>
          </w:p>
        </w:tc>
      </w:tr>
    </w:tbl>
    <w:p w14:paraId="76757743" w14:textId="77777777" w:rsidR="00BB1894" w:rsidRDefault="00000000">
      <w:pPr>
        <w:pStyle w:val="BodyText"/>
      </w:pPr>
      <w:r>
        <w:t>The values in Table 2 are design targets from which we will derive pass/fail criteria. We will report failures alongside successes, especially thermal throttling on Pi 4/5 in hot, enclosed conditions, where we expect throttling to occur without active cooling. An ambient temperature of at least 35–40 °C is included as a stress condition because it reflects real clinics.</w:t>
      </w:r>
    </w:p>
    <w:p w14:paraId="136D3955" w14:textId="77777777" w:rsidR="00BB1894" w:rsidRDefault="00000000">
      <w:pPr>
        <w:pStyle w:val="Heading2"/>
      </w:pPr>
      <w:bookmarkStart w:id="29" w:name="ablations"/>
      <w:bookmarkEnd w:id="28"/>
      <w:r>
        <w:rPr>
          <w:rStyle w:val="SectionNumber"/>
        </w:rPr>
        <w:t>4.4</w:t>
      </w:r>
      <w:r>
        <w:tab/>
        <w:t>Ablations</w:t>
      </w:r>
    </w:p>
    <w:p w14:paraId="603D2C3F" w14:textId="77777777" w:rsidR="00BB1894" w:rsidRDefault="00000000">
      <w:pPr>
        <w:numPr>
          <w:ilvl w:val="0"/>
          <w:numId w:val="12"/>
        </w:numPr>
      </w:pPr>
      <w:r>
        <w:t>Distillation vs. training the student directly on hard labels.</w:t>
      </w:r>
    </w:p>
    <w:p w14:paraId="25D759D6" w14:textId="77777777" w:rsidR="00BB1894" w:rsidRDefault="00000000">
      <w:pPr>
        <w:numPr>
          <w:ilvl w:val="0"/>
          <w:numId w:val="12"/>
        </w:numPr>
      </w:pPr>
      <w:r>
        <w:t>Pruning ratio (0%, 20%, 40%, 60%) versus accuracy and latency.</w:t>
      </w:r>
    </w:p>
    <w:p w14:paraId="519E1E43" w14:textId="77777777" w:rsidR="00BB1894" w:rsidRDefault="00000000">
      <w:pPr>
        <w:numPr>
          <w:ilvl w:val="0"/>
          <w:numId w:val="12"/>
        </w:numPr>
      </w:pPr>
      <w:r>
        <w:t>FP32 vs. FP16 vs. INT8 PTQ vs. INT8 QAT.</w:t>
      </w:r>
    </w:p>
    <w:p w14:paraId="39FBE108" w14:textId="77777777" w:rsidR="00BB1894" w:rsidRDefault="00000000">
      <w:pPr>
        <w:numPr>
          <w:ilvl w:val="0"/>
          <w:numId w:val="12"/>
        </w:numPr>
      </w:pPr>
      <w:r>
        <w:t>Calibration-set composition (dermoscopic only vs. mixed smartphone).</w:t>
      </w:r>
    </w:p>
    <w:p w14:paraId="0EF4D0F1" w14:textId="77777777" w:rsidR="00BB1894" w:rsidRDefault="00000000">
      <w:pPr>
        <w:numPr>
          <w:ilvl w:val="0"/>
          <w:numId w:val="12"/>
        </w:numPr>
      </w:pPr>
      <w:r>
        <w:lastRenderedPageBreak/>
        <w:t>ONNX Runtime CPU vs. TFLite/XNNPACK vs. Edge TPU vs. TensorRT FP16, per hardware target.</w:t>
      </w:r>
    </w:p>
    <w:p w14:paraId="610069A4" w14:textId="77777777" w:rsidR="00BB1894" w:rsidRDefault="00000000">
      <w:pPr>
        <w:numPr>
          <w:ilvl w:val="0"/>
          <w:numId w:val="12"/>
        </w:numPr>
      </w:pPr>
      <w:r>
        <w:t>With and without the OOD/quality gate.</w:t>
      </w:r>
    </w:p>
    <w:p w14:paraId="67E1AC57" w14:textId="77777777" w:rsidR="00BB1894" w:rsidRDefault="00000000">
      <w:pPr>
        <w:numPr>
          <w:ilvl w:val="0"/>
          <w:numId w:val="12"/>
        </w:numPr>
      </w:pPr>
      <w:r>
        <w:t>Audio branch on vs. off.</w:t>
      </w:r>
    </w:p>
    <w:p w14:paraId="579D77CC" w14:textId="77777777" w:rsidR="00BB1894" w:rsidRDefault="00000000">
      <w:pPr>
        <w:pStyle w:val="Heading2"/>
      </w:pPr>
      <w:bookmarkStart w:id="30" w:name="vlm-comparison-arm"/>
      <w:bookmarkEnd w:id="29"/>
      <w:r>
        <w:rPr>
          <w:rStyle w:val="SectionNumber"/>
        </w:rPr>
        <w:t>4.5</w:t>
      </w:r>
      <w:r>
        <w:tab/>
        <w:t>VLM comparison arm</w:t>
      </w:r>
    </w:p>
    <w:p w14:paraId="4F09A00E" w14:textId="77777777" w:rsidR="00BB1894" w:rsidRDefault="00000000">
      <w:pPr>
        <w:pStyle w:val="FirstParagraph"/>
      </w:pPr>
      <w:r>
        <w:t>A quantized compact VLM (INT4/INT8 GGUF or ONNX) is benchmarked on the same test set for triage-class agreement, latency, and memory. This tests our hypothesis that a decoupled CNN plus structured module dominates a VLM on the accuracy/latency/auditability frontier at this hardware tier. If the hypothesis fails on any axis, we report it.</w:t>
      </w:r>
    </w:p>
    <w:p w14:paraId="3F4E15D9" w14:textId="77777777" w:rsidR="00BB1894" w:rsidRDefault="00000000">
      <w:pPr>
        <w:pStyle w:val="Heading1"/>
      </w:pPr>
      <w:bookmarkStart w:id="31" w:name="Xe5c03bc978fc593b2e333e723ed6d37cb77b500"/>
      <w:bookmarkEnd w:id="23"/>
      <w:bookmarkEnd w:id="30"/>
      <w:r>
        <w:rPr>
          <w:rStyle w:val="SectionNumber"/>
        </w:rPr>
        <w:t>5</w:t>
      </w:r>
      <w:r>
        <w:tab/>
        <w:t>Deployment Roadmap and Open-Source Sustainability</w:t>
      </w:r>
    </w:p>
    <w:p w14:paraId="31A8FABA" w14:textId="77777777" w:rsidR="00BB1894" w:rsidRDefault="00000000">
      <w:pPr>
        <w:pStyle w:val="Heading2"/>
      </w:pPr>
      <w:bookmarkStart w:id="32" w:name="staged-pilot-protocol"/>
      <w:r>
        <w:rPr>
          <w:rStyle w:val="SectionNumber"/>
        </w:rPr>
        <w:t>5.1</w:t>
      </w:r>
      <w:r>
        <w:tab/>
        <w:t>Staged pilot protocol</w:t>
      </w:r>
    </w:p>
    <w:p w14:paraId="3AA783B1" w14:textId="77777777" w:rsidR="00BB1894" w:rsidRDefault="00000000">
      <w:pPr>
        <w:pStyle w:val="Heading4"/>
      </w:pPr>
      <w:bookmarkStart w:id="33" w:name="phase-0-bench-and-simulation-months-04."/>
      <w:r>
        <w:rPr>
          <w:rStyle w:val="SectionNumber"/>
        </w:rPr>
        <w:t>5.1.0.1</w:t>
      </w:r>
      <w:r>
        <w:tab/>
        <w:t>Phase 0 — Bench and simulation (months 0–4).</w:t>
      </w:r>
    </w:p>
    <w:p w14:paraId="4773FA23" w14:textId="77777777" w:rsidR="00BB1894" w:rsidRDefault="00000000">
      <w:pPr>
        <w:pStyle w:val="FirstParagraph"/>
      </w:pPr>
      <w:r>
        <w:t>Model development, compression, and hardware benchmarking as described above, ending with a frozen model and a released benchmark harness.</w:t>
      </w:r>
    </w:p>
    <w:p w14:paraId="474FEC94" w14:textId="77777777" w:rsidR="00BB1894" w:rsidRDefault="00000000">
      <w:pPr>
        <w:pStyle w:val="Heading4"/>
      </w:pPr>
      <w:bookmarkStart w:id="34" w:name="phase-1-usability-study-months-47."/>
      <w:bookmarkEnd w:id="33"/>
      <w:r>
        <w:rPr>
          <w:rStyle w:val="SectionNumber"/>
        </w:rPr>
        <w:t>5.1.0.2</w:t>
      </w:r>
      <w:r>
        <w:tab/>
        <w:t>Phase 1 — Usability study (months 4–7).</w:t>
      </w:r>
    </w:p>
    <w:p w14:paraId="6033B7C4" w14:textId="77777777" w:rsidR="00BB1894" w:rsidRDefault="00000000">
      <w:pPr>
        <w:pStyle w:val="FirstParagraph"/>
      </w:pPr>
      <w:r>
        <w:t>Co-design workshops and think-aloud studies with CHWs using synthetic and retrospective cases. No patient-facing use. Outputs are the SUS score, task error rates, and UI revisions.</w:t>
      </w:r>
    </w:p>
    <w:p w14:paraId="3B1DB76A" w14:textId="77777777" w:rsidR="00BB1894" w:rsidRDefault="00000000">
      <w:pPr>
        <w:pStyle w:val="Heading4"/>
      </w:pPr>
      <w:bookmarkStart w:id="35" w:name="phase-2-shadow-mode-months-712."/>
      <w:bookmarkEnd w:id="34"/>
      <w:r>
        <w:rPr>
          <w:rStyle w:val="SectionNumber"/>
        </w:rPr>
        <w:t>5.1.0.3</w:t>
      </w:r>
      <w:r>
        <w:tab/>
        <w:t>Phase 2 — Shadow mode (months 7–12).</w:t>
      </w:r>
    </w:p>
    <w:p w14:paraId="7E1235D8" w14:textId="77777777" w:rsidR="00BB1894" w:rsidRDefault="00000000">
      <w:pPr>
        <w:pStyle w:val="FirstParagraph"/>
      </w:pPr>
      <w:r>
        <w:t>The device runs in participating clinics, but its output is hidden from the CHW. The CHW follows usual practice. Each case is later adjudicated against a reference standard (a teledermatology panel of two dermatologists, with histopathology where biopsy was performed, and clinician follow-up for respiratory cases). Shadow mode provides an unbiased estimate of performance and a measure of clinic-level workload without any risk from model errors.</w:t>
      </w:r>
    </w:p>
    <w:p w14:paraId="1BA8A598" w14:textId="77777777" w:rsidR="00BB1894" w:rsidRDefault="00000000">
      <w:pPr>
        <w:pStyle w:val="Heading4"/>
      </w:pPr>
      <w:bookmarkStart w:id="36" w:name="phase-3-assisted-mode-months-1218."/>
      <w:bookmarkEnd w:id="35"/>
      <w:r>
        <w:rPr>
          <w:rStyle w:val="SectionNumber"/>
        </w:rPr>
        <w:t>5.1.0.4</w:t>
      </w:r>
      <w:r>
        <w:tab/>
        <w:t>Phase 3 — Assisted mode (months 12–18).</w:t>
      </w:r>
    </w:p>
    <w:p w14:paraId="2FE57117" w14:textId="77777777" w:rsidR="00BB1894" w:rsidRDefault="00000000">
      <w:pPr>
        <w:pStyle w:val="FirstParagraph"/>
      </w:pPr>
      <w:r>
        <w:t>After Phase 2 results meet pre-registered safety thresholds and ethics approval covers the change, tier recommendations are shown to CHWs. Outcomes are override rates, time to referral, referral appropriateness, and CHW-reported confidence. Because automation bias is a known risk, a subset of sessions randomizes display of the recommendation before or after the CHW’s own assessment.</w:t>
      </w:r>
    </w:p>
    <w:p w14:paraId="10305407" w14:textId="77777777" w:rsidR="00BB1894" w:rsidRDefault="00000000">
      <w:pPr>
        <w:pStyle w:val="Heading4"/>
      </w:pPr>
      <w:bookmarkStart w:id="37" w:name="sample-size."/>
      <w:bookmarkEnd w:id="36"/>
      <w:r>
        <w:rPr>
          <w:rStyle w:val="SectionNumber"/>
        </w:rPr>
        <w:t>5.1.0.5</w:t>
      </w:r>
      <w:r>
        <w:tab/>
        <w:t>Sample size.</w:t>
      </w:r>
    </w:p>
    <w:p w14:paraId="29144DC3" w14:textId="77777777" w:rsidR="00BB1894" w:rsidRDefault="00000000">
      <w:pPr>
        <w:pStyle w:val="FirstParagraph"/>
      </w:pPr>
      <w:r>
        <w:t>To estimate Red-tier sensitivity of about 90% with a 95% CI half-width of about 7 percentage points, roughly 71 reference-positive cases are needed:</w:t>
      </w:r>
    </w:p>
    <w:p w14:paraId="0AF7F4AE" w14:textId="77777777" w:rsidR="00BB1894" w:rsidRDefault="00000000">
      <w:pPr>
        <w:pStyle w:val="BodyText"/>
      </w:pPr>
      <w:r>
        <w:t>n ≈ (1.96² × 0.9 × 0.1) / 0.07² ≈ 71</w:t>
      </w:r>
    </w:p>
    <w:p w14:paraId="65726B95" w14:textId="77777777" w:rsidR="00BB1894" w:rsidRDefault="00000000">
      <w:pPr>
        <w:pStyle w:val="BodyText"/>
      </w:pPr>
      <w:r>
        <w:lastRenderedPageBreak/>
        <w:t>If Red-tier prevalence is around 10% of screened patients, that implies about 700 patients per modality. We treat this as the minimum and plan larger enrolment across sites to permit subgroup analysis.</w:t>
      </w:r>
    </w:p>
    <w:p w14:paraId="7196320E" w14:textId="77777777" w:rsidR="00BB1894" w:rsidRDefault="00000000">
      <w:pPr>
        <w:pStyle w:val="Heading4"/>
      </w:pPr>
      <w:bookmarkStart w:id="38" w:name="sites-and-governance."/>
      <w:bookmarkEnd w:id="37"/>
      <w:r>
        <w:rPr>
          <w:rStyle w:val="SectionNumber"/>
        </w:rPr>
        <w:t>5.1.0.6</w:t>
      </w:r>
      <w:r>
        <w:tab/>
        <w:t>Sites and governance.</w:t>
      </w:r>
    </w:p>
    <w:p w14:paraId="2A0B37C0" w14:textId="77777777" w:rsidR="00BB1894" w:rsidRDefault="00000000">
      <w:pPr>
        <w:pStyle w:val="FirstParagraph"/>
      </w:pPr>
      <w:r>
        <w:t>We plan 3–5 clinics, each with a named local clinical lead. Ethics approval is sought from the relevant institutional and national bodies before Phase 2, and the project team consults regulators early about the intended-use statement (triage decision support, not diagnosis), since software of this kind may fall under medical-device rules in some jurisdictions.</w:t>
      </w:r>
    </w:p>
    <w:p w14:paraId="0B66938D" w14:textId="77777777" w:rsidR="00BB1894" w:rsidRDefault="00000000">
      <w:pPr>
        <w:pStyle w:val="Heading2"/>
      </w:pPr>
      <w:bookmarkStart w:id="39" w:name="open-source-release"/>
      <w:bookmarkEnd w:id="32"/>
      <w:bookmarkEnd w:id="38"/>
      <w:r>
        <w:rPr>
          <w:rStyle w:val="SectionNumber"/>
        </w:rPr>
        <w:t>5.2</w:t>
      </w:r>
      <w:r>
        <w:tab/>
        <w:t>Open-source release</w:t>
      </w:r>
    </w:p>
    <w:p w14:paraId="793730AE" w14:textId="77777777" w:rsidR="00BB1894" w:rsidRDefault="00000000">
      <w:pPr>
        <w:numPr>
          <w:ilvl w:val="0"/>
          <w:numId w:val="13"/>
        </w:numPr>
      </w:pPr>
      <w:r>
        <w:rPr>
          <w:b/>
          <w:bCs/>
        </w:rPr>
        <w:t>Code</w:t>
      </w:r>
      <w:r>
        <w:t xml:space="preserve"> under a permissive licence (e.g., Apache-2.0) and </w:t>
      </w:r>
      <w:r>
        <w:rPr>
          <w:b/>
          <w:bCs/>
        </w:rPr>
        <w:t>documentation</w:t>
      </w:r>
      <w:r>
        <w:t xml:space="preserve"> including hardware build guides, a bill of materials, and reproducible benchmark scripts.</w:t>
      </w:r>
    </w:p>
    <w:p w14:paraId="555386B6" w14:textId="77777777" w:rsidR="00BB1894" w:rsidRDefault="00000000">
      <w:pPr>
        <w:numPr>
          <w:ilvl w:val="0"/>
          <w:numId w:val="13"/>
        </w:numPr>
      </w:pPr>
      <w:r>
        <w:rPr>
          <w:b/>
          <w:bCs/>
        </w:rPr>
        <w:t>Model cards and datasheets</w:t>
      </w:r>
      <w:r>
        <w:t xml:space="preserve"> documenting training data, intended use, known failure modes, subgroup performance, and the exact compression settings.</w:t>
      </w:r>
    </w:p>
    <w:p w14:paraId="0063C592" w14:textId="77777777" w:rsidR="00BB1894" w:rsidRDefault="00000000">
      <w:pPr>
        <w:numPr>
          <w:ilvl w:val="0"/>
          <w:numId w:val="13"/>
        </w:numPr>
      </w:pPr>
      <w:r>
        <w:rPr>
          <w:b/>
          <w:bCs/>
        </w:rPr>
        <w:t>Licensing of weights.</w:t>
      </w:r>
      <w:r>
        <w:t xml:space="preserve"> HAM10000 and several ISIC datasets carry non-commercial licences. The legal status of weights derived from such data is unsettled, so we will publish the training recipes and, where necessary, restrict the released weights’ licence accordingly. Locally collected data gets its own governance and is not released by default.</w:t>
      </w:r>
    </w:p>
    <w:p w14:paraId="0E9F102A" w14:textId="77777777" w:rsidR="00BB1894" w:rsidRDefault="00000000">
      <w:pPr>
        <w:numPr>
          <w:ilvl w:val="0"/>
          <w:numId w:val="13"/>
        </w:numPr>
      </w:pPr>
      <w:r>
        <w:rPr>
          <w:b/>
          <w:bCs/>
        </w:rPr>
        <w:t>Signed model bundles</w:t>
      </w:r>
      <w:r>
        <w:t xml:space="preserve"> with version pinning, so that a clinic can verify provenance and roll back a bad update.</w:t>
      </w:r>
    </w:p>
    <w:p w14:paraId="073BCF7D" w14:textId="77777777" w:rsidR="00BB1894" w:rsidRDefault="00000000">
      <w:pPr>
        <w:pStyle w:val="Heading2"/>
      </w:pPr>
      <w:bookmarkStart w:id="40" w:name="continuous-local-refinement"/>
      <w:bookmarkEnd w:id="39"/>
      <w:r>
        <w:rPr>
          <w:rStyle w:val="SectionNumber"/>
        </w:rPr>
        <w:t>5.3</w:t>
      </w:r>
      <w:r>
        <w:tab/>
        <w:t>Continuous local refinement</w:t>
      </w:r>
    </w:p>
    <w:p w14:paraId="1C93A10C" w14:textId="77777777" w:rsidR="00BB1894" w:rsidRDefault="00000000">
      <w:pPr>
        <w:pStyle w:val="FirstParagraph"/>
      </w:pPr>
      <w:r>
        <w:t>Local developers can retrain or recalibrate on local data. We support this in three ways. First, a documented pipeline for adding a local labelled set and re-running distillation, compression, and calibration. Second, a release gate: a model may replace the deployed version only if it passes the same benchmark and subgroup thresholds. Third, an update channel that works offline (signed bundles delivered by USB or opportunistic sync). Federated learning across sites is a possible extension, but on intermittently connected, low-compute hardware it adds substantial complexity, and we treat it as future work rather than a baseline assumption.</w:t>
      </w:r>
    </w:p>
    <w:p w14:paraId="6695FC97" w14:textId="77777777" w:rsidR="00BB1894" w:rsidRDefault="00000000">
      <w:pPr>
        <w:pStyle w:val="Heading2"/>
      </w:pPr>
      <w:bookmarkStart w:id="41" w:name="sustainability"/>
      <w:bookmarkEnd w:id="40"/>
      <w:r>
        <w:rPr>
          <w:rStyle w:val="SectionNumber"/>
        </w:rPr>
        <w:t>5.4</w:t>
      </w:r>
      <w:r>
        <w:tab/>
        <w:t>Sustainability</w:t>
      </w:r>
    </w:p>
    <w:p w14:paraId="230817DB" w14:textId="77777777" w:rsidR="00BB1894" w:rsidRDefault="00000000">
      <w:pPr>
        <w:pStyle w:val="FirstParagraph"/>
      </w:pPr>
      <w:r>
        <w:t>Long-term viability depends on people more than code: local maintainers trained during the pilot, a stated policy for hardware replacement and spare parts, and a governance model in which clinic staff and local developers, not the original research team, decide on changes. We will document maintenance burden (updates per year, support requests) as a pilot outcome.</w:t>
      </w:r>
    </w:p>
    <w:p w14:paraId="0887EEB9" w14:textId="77777777" w:rsidR="00BB1894" w:rsidRDefault="00000000">
      <w:pPr>
        <w:pStyle w:val="Heading1"/>
      </w:pPr>
      <w:bookmarkStart w:id="42" w:name="ethical-considerations-and-limitations"/>
      <w:bookmarkEnd w:id="31"/>
      <w:bookmarkEnd w:id="41"/>
      <w:r>
        <w:rPr>
          <w:rStyle w:val="SectionNumber"/>
        </w:rPr>
        <w:lastRenderedPageBreak/>
        <w:t>6</w:t>
      </w:r>
      <w:r>
        <w:tab/>
        <w:t>Ethical Considerations and Limitations</w:t>
      </w:r>
    </w:p>
    <w:p w14:paraId="61DDF197" w14:textId="77777777" w:rsidR="00BB1894" w:rsidRDefault="00000000">
      <w:pPr>
        <w:pStyle w:val="Heading2"/>
      </w:pPr>
      <w:bookmarkStart w:id="43" w:name="false-negatives-in-critical-triage"/>
      <w:r>
        <w:rPr>
          <w:rStyle w:val="SectionNumber"/>
        </w:rPr>
        <w:t>6.1</w:t>
      </w:r>
      <w:r>
        <w:tab/>
        <w:t>False negatives in critical triage</w:t>
      </w:r>
    </w:p>
    <w:p w14:paraId="1A8A2B83" w14:textId="77777777" w:rsidR="00BB1894" w:rsidRDefault="00000000">
      <w:pPr>
        <w:pStyle w:val="FirstParagraph"/>
      </w:pPr>
      <w:r>
        <w:t>The dominant risk is a missed urgent case that receives a reassuring Green. Mitigations are layered:</w:t>
      </w:r>
    </w:p>
    <w:p w14:paraId="41B40B85" w14:textId="77777777" w:rsidR="00BB1894" w:rsidRDefault="00000000">
      <w:pPr>
        <w:numPr>
          <w:ilvl w:val="0"/>
          <w:numId w:val="14"/>
        </w:numPr>
      </w:pPr>
      <w:r>
        <w:t>Operating points prioritize Red-tier sensitivity, and the specificity cost is reported openly.</w:t>
      </w:r>
    </w:p>
    <w:p w14:paraId="332AB95F" w14:textId="77777777" w:rsidR="00BB1894" w:rsidRDefault="00000000">
      <w:pPr>
        <w:numPr>
          <w:ilvl w:val="0"/>
          <w:numId w:val="14"/>
        </w:numPr>
      </w:pPr>
      <w:r>
        <w:t>Rule-based danger-sign escalation is independent of the learned models.</w:t>
      </w:r>
    </w:p>
    <w:p w14:paraId="09163301" w14:textId="77777777" w:rsidR="00BB1894" w:rsidRDefault="00000000">
      <w:pPr>
        <w:numPr>
          <w:ilvl w:val="0"/>
          <w:numId w:val="14"/>
        </w:numPr>
      </w:pPr>
      <w:r>
        <w:t>Out-of-distribution and image-quality checks push uncertain cases to Yellow rather than Green.</w:t>
      </w:r>
    </w:p>
    <w:p w14:paraId="33AF5766" w14:textId="77777777" w:rsidR="00BB1894" w:rsidRDefault="00000000">
      <w:pPr>
        <w:numPr>
          <w:ilvl w:val="0"/>
          <w:numId w:val="14"/>
        </w:numPr>
      </w:pPr>
      <w:r>
        <w:t>Interface language for Green is explicit about residual risk and includes return precautions.</w:t>
      </w:r>
    </w:p>
    <w:p w14:paraId="68B8BA12" w14:textId="77777777" w:rsidR="00BB1894" w:rsidRDefault="00000000">
      <w:pPr>
        <w:numPr>
          <w:ilvl w:val="0"/>
          <w:numId w:val="14"/>
        </w:numPr>
      </w:pPr>
      <w:r>
        <w:t>Shadow mode precedes any clinical influence, and post-deployment monitoring tracks tier-distribution drift and reviewed false negatives.</w:t>
      </w:r>
    </w:p>
    <w:p w14:paraId="11C73276" w14:textId="77777777" w:rsidR="00BB1894" w:rsidRDefault="00000000">
      <w:pPr>
        <w:pStyle w:val="FirstParagraph"/>
      </w:pPr>
      <w:r>
        <w:t>We also acknowledge that the reverse failure has real costs. Over-referral burdens patients who must travel far and health systems with scarce referral capacity, so the benefit of the system depends on referral pathways that work.</w:t>
      </w:r>
    </w:p>
    <w:p w14:paraId="21E79E41" w14:textId="77777777" w:rsidR="00BB1894" w:rsidRDefault="00000000">
      <w:pPr>
        <w:pStyle w:val="Heading2"/>
      </w:pPr>
      <w:bookmarkStart w:id="44" w:name="automation-bias-and-deskilling"/>
      <w:bookmarkEnd w:id="43"/>
      <w:r>
        <w:rPr>
          <w:rStyle w:val="SectionNumber"/>
        </w:rPr>
        <w:t>6.2</w:t>
      </w:r>
      <w:r>
        <w:tab/>
        <w:t>Automation bias and deskilling</w:t>
      </w:r>
    </w:p>
    <w:p w14:paraId="4DAEDEBB" w14:textId="77777777" w:rsidR="00BB1894" w:rsidRDefault="00000000">
      <w:pPr>
        <w:pStyle w:val="FirstParagraph"/>
      </w:pPr>
      <w:r>
        <w:t>CHWs may over-trust the tool, and under-trained users are more vulnerable. We mitigate this through override logging, randomized display order in the pilot, training that presents typical model failures, and interface design that does not present outputs as diagnoses.</w:t>
      </w:r>
    </w:p>
    <w:p w14:paraId="48A391D6" w14:textId="77777777" w:rsidR="00BB1894" w:rsidRDefault="00000000">
      <w:pPr>
        <w:pStyle w:val="Heading2"/>
      </w:pPr>
      <w:bookmarkStart w:id="45" w:name="data-privacy-under-local-storage"/>
      <w:bookmarkEnd w:id="44"/>
      <w:r>
        <w:rPr>
          <w:rStyle w:val="SectionNumber"/>
        </w:rPr>
        <w:t>6.3</w:t>
      </w:r>
      <w:r>
        <w:tab/>
        <w:t>Data privacy under local storage</w:t>
      </w:r>
    </w:p>
    <w:p w14:paraId="461E99C8" w14:textId="77777777" w:rsidR="00BB1894" w:rsidRDefault="00000000">
      <w:pPr>
        <w:pStyle w:val="FirstParagraph"/>
      </w:pPr>
      <w:r>
        <w:t>Storing data locally removes the exposure of transmission but introduces device-level risks: theft, loss, or shared access to a clinic device. Mitigations include full-disk or database encryption (LUKS/SQLCipher), role-based authentication, minimal data retention (images are deleted after the encounter unless the patient consents to retention for research), and de-identification before any sync. Consent must be genuinely understood, so it is obtained verbally in the local language with pictographic aids as well as in writing, and it is separate for care and for research use. Patient photographs of skin, especially of intimate areas, are sensitive, and the protocol specifies when capture is inappropriate.</w:t>
      </w:r>
    </w:p>
    <w:p w14:paraId="1EFE5BBC" w14:textId="77777777" w:rsidR="00BB1894" w:rsidRDefault="00000000">
      <w:pPr>
        <w:pStyle w:val="Heading2"/>
      </w:pPr>
      <w:bookmarkStart w:id="46" w:name="demographic-and-out-of-distribution-bias"/>
      <w:bookmarkEnd w:id="45"/>
      <w:r>
        <w:rPr>
          <w:rStyle w:val="SectionNumber"/>
        </w:rPr>
        <w:t>6.4</w:t>
      </w:r>
      <w:r>
        <w:tab/>
        <w:t>Demographic and out-of-distribution bias</w:t>
      </w:r>
    </w:p>
    <w:p w14:paraId="1F11F91D" w14:textId="77777777" w:rsidR="00BB1894" w:rsidRDefault="00000000">
      <w:pPr>
        <w:pStyle w:val="FirstParagraph"/>
      </w:pPr>
      <w:r>
        <w:t xml:space="preserve">Public dermatology datasets underrepresent darker skin tones and non-neoplastic conditions, and models trained on them are known to perform worse on underrepresented groups (Daneshjou et al., 2022; Groh et al., 2021). Smartphone captures under clinic lighting also differ from dermoscopy. Our response has four parts: subgroup reporting as a release requirement rather than an optional extra, local data collection and validation before trust is placed in any tier, OOD detection (e.g., </w:t>
      </w:r>
      <w:r>
        <w:lastRenderedPageBreak/>
        <w:t>Mahalanobis-distance or energy-based scores; Lee et al., 2018), and a stated refusal to deploy in a population where subgroup performance is untested. Respiratory audio and text are subject to similar language and device bias.</w:t>
      </w:r>
    </w:p>
    <w:p w14:paraId="0F8EA1C2" w14:textId="77777777" w:rsidR="00BB1894" w:rsidRDefault="00000000">
      <w:pPr>
        <w:pStyle w:val="Heading2"/>
      </w:pPr>
      <w:bookmarkStart w:id="47" w:name="limitations"/>
      <w:bookmarkEnd w:id="46"/>
      <w:r>
        <w:rPr>
          <w:rStyle w:val="SectionNumber"/>
        </w:rPr>
        <w:t>6.5</w:t>
      </w:r>
      <w:r>
        <w:tab/>
        <w:t>Limitations</w:t>
      </w:r>
    </w:p>
    <w:p w14:paraId="6DE0493E" w14:textId="77777777" w:rsidR="00BB1894" w:rsidRDefault="00000000">
      <w:pPr>
        <w:numPr>
          <w:ilvl w:val="0"/>
          <w:numId w:val="15"/>
        </w:numPr>
      </w:pPr>
      <w:r>
        <w:t>Triage from a photograph and a symptom list is a limited substitute for examination. The system cannot assess palpation, temperature, surrounding skin, or vital signs it is not given.</w:t>
      </w:r>
    </w:p>
    <w:p w14:paraId="5066D173" w14:textId="77777777" w:rsidR="00BB1894" w:rsidRDefault="00000000">
      <w:pPr>
        <w:numPr>
          <w:ilvl w:val="0"/>
          <w:numId w:val="15"/>
        </w:numPr>
      </w:pPr>
      <w:r>
        <w:t>The lesion taxonomy is narrow relative to what rural clinics see, and performance on unlisted conditions is undefined without local data.</w:t>
      </w:r>
    </w:p>
    <w:p w14:paraId="137E016C" w14:textId="77777777" w:rsidR="00BB1894" w:rsidRDefault="00000000">
      <w:pPr>
        <w:numPr>
          <w:ilvl w:val="0"/>
          <w:numId w:val="15"/>
        </w:numPr>
      </w:pPr>
      <w:r>
        <w:t>Respiratory audio is the weakest modality, and the roadmap keeps it advisory.</w:t>
      </w:r>
    </w:p>
    <w:p w14:paraId="64093B23" w14:textId="77777777" w:rsidR="00BB1894" w:rsidRDefault="00000000">
      <w:pPr>
        <w:numPr>
          <w:ilvl w:val="0"/>
          <w:numId w:val="15"/>
        </w:numPr>
      </w:pPr>
      <w:r>
        <w:t>Reference standards in resource-limited settings are themselves imperfect, and verification bias (histopathology only for suspicious cases) will affect estimates.</w:t>
      </w:r>
    </w:p>
    <w:p w14:paraId="512EA2AD" w14:textId="77777777" w:rsidR="00BB1894" w:rsidRDefault="00000000">
      <w:pPr>
        <w:numPr>
          <w:ilvl w:val="0"/>
          <w:numId w:val="15"/>
        </w:numPr>
      </w:pPr>
      <w:r>
        <w:t>Hardware benchmarks depend on the specific board revision, power supply, and cooling, and results will not transfer exactly across units.</w:t>
      </w:r>
    </w:p>
    <w:p w14:paraId="0523B572" w14:textId="77777777" w:rsidR="00BB1894" w:rsidRDefault="00000000">
      <w:pPr>
        <w:numPr>
          <w:ilvl w:val="0"/>
          <w:numId w:val="15"/>
        </w:numPr>
      </w:pPr>
      <w:r>
        <w:t>Regulatory, liability, and reimbursement questions differ by country and are only partly addressed here.</w:t>
      </w:r>
    </w:p>
    <w:p w14:paraId="45F48DC9" w14:textId="77777777" w:rsidR="00BB1894" w:rsidRDefault="00000000">
      <w:pPr>
        <w:numPr>
          <w:ilvl w:val="0"/>
          <w:numId w:val="15"/>
        </w:numPr>
      </w:pPr>
      <w:r>
        <w:t>The tool improves care only if referral, transport, and treatment exist downstream, and no model can supply them.</w:t>
      </w:r>
    </w:p>
    <w:p w14:paraId="51F03AC6" w14:textId="77777777" w:rsidR="00BB1894" w:rsidRDefault="00000000">
      <w:pPr>
        <w:pStyle w:val="Heading1"/>
      </w:pPr>
      <w:bookmarkStart w:id="48" w:name="conclusion"/>
      <w:bookmarkEnd w:id="42"/>
      <w:bookmarkEnd w:id="47"/>
      <w:r>
        <w:rPr>
          <w:rStyle w:val="SectionNumber"/>
        </w:rPr>
        <w:t>7</w:t>
      </w:r>
      <w:r>
        <w:tab/>
        <w:t>Conclusion</w:t>
      </w:r>
    </w:p>
    <w:p w14:paraId="080BA735" w14:textId="77777777" w:rsidR="00BB1894" w:rsidRDefault="00000000">
      <w:pPr>
        <w:pStyle w:val="FirstParagraph"/>
      </w:pPr>
      <w:r>
        <w:t>Specialist-level diagnostic AI has a deployment problem more than an accuracy problem. Its assumptions about connectivity, hardware, and users do not hold in the clinics that most need decision support. This paper proposes a system built around those constraints: a decoupled, compressed, offline-first pipeline on hardware that a rural clinic can afford, wrapped in a conservative, auditable triage policy and designed with the CHWs who will use it. We specify how it will be measured, including latency, memory, power, thermal throttling, and subgroup-stratified sensitivity and specificity. We also describe a pilot that establishes safety in shadow mode before it influences care, and an open release intended to pass ownership to local developers.</w:t>
      </w:r>
    </w:p>
    <w:p w14:paraId="421A5799" w14:textId="77777777" w:rsidR="00BB1894" w:rsidRDefault="00000000">
      <w:pPr>
        <w:pStyle w:val="BodyText"/>
      </w:pPr>
      <w:r>
        <w:t>The proposal deliberately treats its own risks as central content: false negatives, automation bias, dataset bias, and the limits of what a photograph and a symptom list can support. Whether the system succeeds will depend on the pilot results, on whether they meet pre-registered safety thresholds, and on whether the communities it serves choose to keep using it.</w:t>
      </w:r>
    </w:p>
    <w:p w14:paraId="079F5D08" w14:textId="77777777" w:rsidR="00BB1894" w:rsidRDefault="00000000">
      <w:pPr>
        <w:pStyle w:val="Heading1"/>
      </w:pPr>
      <w:bookmarkStart w:id="49" w:name="references"/>
      <w:bookmarkEnd w:id="48"/>
      <w:r>
        <w:t>References</w:t>
      </w:r>
    </w:p>
    <w:p w14:paraId="07C0A439" w14:textId="77777777" w:rsidR="00BB1894" w:rsidRDefault="00000000">
      <w:pPr>
        <w:pStyle w:val="FirstParagraph"/>
      </w:pPr>
      <w:r>
        <w:t xml:space="preserve">Beede, E. et al. (2020). A human-centered evaluation of a deep learning system deployed in clinics for the detection of diabetic retinopathy. </w:t>
      </w:r>
      <w:r>
        <w:rPr>
          <w:i/>
          <w:iCs/>
        </w:rPr>
        <w:t>Proc. CHI 2020</w:t>
      </w:r>
      <w:r>
        <w:t>.</w:t>
      </w:r>
    </w:p>
    <w:p w14:paraId="0468C78C" w14:textId="77777777" w:rsidR="00BB1894" w:rsidRDefault="00000000">
      <w:pPr>
        <w:pStyle w:val="BodyText"/>
      </w:pPr>
      <w:r>
        <w:lastRenderedPageBreak/>
        <w:t xml:space="preserve">Brooke, J. (1996). SUS: A “quick and dirty” usability scale. In </w:t>
      </w:r>
      <w:r>
        <w:rPr>
          <w:i/>
          <w:iCs/>
        </w:rPr>
        <w:t>Usability Evaluation in Industry</w:t>
      </w:r>
      <w:r>
        <w:t>. Taylor &amp; Francis.</w:t>
      </w:r>
    </w:p>
    <w:p w14:paraId="42BBF91C" w14:textId="77777777" w:rsidR="00BB1894" w:rsidRDefault="00000000">
      <w:pPr>
        <w:pStyle w:val="BodyText"/>
      </w:pPr>
      <w:r>
        <w:t xml:space="preserve">Codella, N. et al. (2019). Skin lesion analysis toward melanoma detection 2018: A challenge hosted by the International Skin Imaging Collaboration (ISIC). </w:t>
      </w:r>
      <w:r>
        <w:rPr>
          <w:i/>
          <w:iCs/>
        </w:rPr>
        <w:t>arXiv:1902.03368</w:t>
      </w:r>
      <w:r>
        <w:t>.</w:t>
      </w:r>
    </w:p>
    <w:p w14:paraId="40508A4D" w14:textId="77777777" w:rsidR="00BB1894" w:rsidRDefault="00000000">
      <w:pPr>
        <w:pStyle w:val="BodyText"/>
      </w:pPr>
      <w:r>
        <w:t xml:space="preserve">Coppock, H. et al. (2024). Audio-based AI classifiers show no evidence of improved COVID-19 screening over simple symptoms checkers. </w:t>
      </w:r>
      <w:r>
        <w:rPr>
          <w:i/>
          <w:iCs/>
        </w:rPr>
        <w:t>Nature Machine Intelligence</w:t>
      </w:r>
      <w:r>
        <w:t>.</w:t>
      </w:r>
    </w:p>
    <w:p w14:paraId="6CD691B9" w14:textId="77777777" w:rsidR="00BB1894" w:rsidRDefault="00000000">
      <w:pPr>
        <w:pStyle w:val="BodyText"/>
      </w:pPr>
      <w:r>
        <w:t xml:space="preserve">Daneshjou, R. et al. (2022). Disparities in dermatology AI performance on a diverse, curated clinical image set. </w:t>
      </w:r>
      <w:r>
        <w:rPr>
          <w:i/>
          <w:iCs/>
        </w:rPr>
        <w:t>Science Advances, 8</w:t>
      </w:r>
      <w:r>
        <w:t>, eabq6147.</w:t>
      </w:r>
    </w:p>
    <w:p w14:paraId="7EA159AB" w14:textId="77777777" w:rsidR="00BB1894" w:rsidRDefault="00000000">
      <w:pPr>
        <w:pStyle w:val="BodyText"/>
      </w:pPr>
      <w:r>
        <w:t xml:space="preserve">Esteva, A. et al. (2017). Dermatologist-level classification of skin cancer with deep neural networks. </w:t>
      </w:r>
      <w:r>
        <w:rPr>
          <w:i/>
          <w:iCs/>
        </w:rPr>
        <w:t>Nature, 542</w:t>
      </w:r>
      <w:r>
        <w:t>, 115–118.</w:t>
      </w:r>
    </w:p>
    <w:p w14:paraId="0EF9F1E1" w14:textId="77777777" w:rsidR="00BB1894" w:rsidRDefault="00000000">
      <w:pPr>
        <w:pStyle w:val="BodyText"/>
      </w:pPr>
      <w:r>
        <w:t xml:space="preserve">Fang, G. et al. (2023). DepGraph: Towards any structural pruning. </w:t>
      </w:r>
      <w:r>
        <w:rPr>
          <w:i/>
          <w:iCs/>
        </w:rPr>
        <w:t>CVPR 2023</w:t>
      </w:r>
      <w:r>
        <w:t>.</w:t>
      </w:r>
    </w:p>
    <w:p w14:paraId="25C108DA" w14:textId="77777777" w:rsidR="00BB1894" w:rsidRDefault="00000000">
      <w:pPr>
        <w:pStyle w:val="BodyText"/>
      </w:pPr>
      <w:r>
        <w:t xml:space="preserve">Groh, M. et al. (2021). Evaluating deep neural networks trained on clinical images in dermatology with the Fitzpatrick 17k dataset. </w:t>
      </w:r>
      <w:r>
        <w:rPr>
          <w:i/>
          <w:iCs/>
        </w:rPr>
        <w:t>CVPR Workshops 2021</w:t>
      </w:r>
      <w:r>
        <w:t>.</w:t>
      </w:r>
    </w:p>
    <w:p w14:paraId="797D4AF0" w14:textId="77777777" w:rsidR="00BB1894" w:rsidRDefault="00000000">
      <w:pPr>
        <w:pStyle w:val="BodyText"/>
      </w:pPr>
      <w:r>
        <w:t xml:space="preserve">Guo, C. et al. (2017). On calibration of modern neural networks. </w:t>
      </w:r>
      <w:r>
        <w:rPr>
          <w:i/>
          <w:iCs/>
        </w:rPr>
        <w:t>ICML 2017</w:t>
      </w:r>
      <w:r>
        <w:t>.</w:t>
      </w:r>
    </w:p>
    <w:p w14:paraId="56B0DEC9" w14:textId="77777777" w:rsidR="00BB1894" w:rsidRDefault="00000000">
      <w:pPr>
        <w:pStyle w:val="BodyText"/>
      </w:pPr>
      <w:r>
        <w:t xml:space="preserve">Han, S., Pool, J., Tran, J., Dally, W. (2015). Learning both weights and connections for efficient neural networks. </w:t>
      </w:r>
      <w:r>
        <w:rPr>
          <w:i/>
          <w:iCs/>
        </w:rPr>
        <w:t>NeurIPS 2015</w:t>
      </w:r>
      <w:r>
        <w:t>.</w:t>
      </w:r>
    </w:p>
    <w:p w14:paraId="5A5F99C3" w14:textId="77777777" w:rsidR="00BB1894" w:rsidRDefault="00000000">
      <w:pPr>
        <w:pStyle w:val="BodyText"/>
      </w:pPr>
      <w:r>
        <w:t xml:space="preserve">Hinton, G., Vinyals, O., Dean, J. (2015). Distilling the knowledge in a neural network. </w:t>
      </w:r>
      <w:r>
        <w:rPr>
          <w:i/>
          <w:iCs/>
        </w:rPr>
        <w:t>arXiv:1503.02531</w:t>
      </w:r>
      <w:r>
        <w:t>.</w:t>
      </w:r>
    </w:p>
    <w:p w14:paraId="209AB864" w14:textId="77777777" w:rsidR="00BB1894" w:rsidRDefault="00000000">
      <w:pPr>
        <w:pStyle w:val="BodyText"/>
      </w:pPr>
      <w:r>
        <w:t xml:space="preserve">Howard, A. et al. (2019). Searching for MobileNetV3. </w:t>
      </w:r>
      <w:r>
        <w:rPr>
          <w:i/>
          <w:iCs/>
        </w:rPr>
        <w:t>ICCV 2019</w:t>
      </w:r>
      <w:r>
        <w:t>.</w:t>
      </w:r>
    </w:p>
    <w:p w14:paraId="6AA0930A" w14:textId="77777777" w:rsidR="00BB1894" w:rsidRDefault="00000000">
      <w:pPr>
        <w:pStyle w:val="BodyText"/>
      </w:pPr>
      <w:r>
        <w:t xml:space="preserve">Jacob, B. et al. (2018). Quantization and training of neural networks for efficient integer-arithmetic-only inference. </w:t>
      </w:r>
      <w:r>
        <w:rPr>
          <w:i/>
          <w:iCs/>
        </w:rPr>
        <w:t>CVPR 2018</w:t>
      </w:r>
      <w:r>
        <w:t>.</w:t>
      </w:r>
    </w:p>
    <w:p w14:paraId="2D35E81C" w14:textId="77777777" w:rsidR="00BB1894" w:rsidRDefault="00000000">
      <w:pPr>
        <w:pStyle w:val="BodyText"/>
      </w:pPr>
      <w:r>
        <w:t xml:space="preserve">Lee, K. et al. (2018). A simple unified framework for detecting out-of-distribution samples and adversarial attacks. </w:t>
      </w:r>
      <w:r>
        <w:rPr>
          <w:i/>
          <w:iCs/>
        </w:rPr>
        <w:t>NeurIPS 2018</w:t>
      </w:r>
      <w:r>
        <w:t>.</w:t>
      </w:r>
    </w:p>
    <w:p w14:paraId="08164F38" w14:textId="77777777" w:rsidR="00BB1894" w:rsidRDefault="00000000">
      <w:pPr>
        <w:pStyle w:val="BodyText"/>
      </w:pPr>
      <w:r>
        <w:t xml:space="preserve">Liu, Y. et al. (2020). A deep learning system for differential diagnosis of skin diseases. </w:t>
      </w:r>
      <w:r>
        <w:rPr>
          <w:i/>
          <w:iCs/>
        </w:rPr>
        <w:t>Nature Medicine, 26</w:t>
      </w:r>
      <w:r>
        <w:t>, 900–908.</w:t>
      </w:r>
    </w:p>
    <w:p w14:paraId="5AE9D10A" w14:textId="77777777" w:rsidR="00BB1894" w:rsidRDefault="00000000">
      <w:pPr>
        <w:pStyle w:val="BodyText"/>
      </w:pPr>
      <w:r>
        <w:t xml:space="preserve">Orlandic, L., Teijeiro, T., Atienza, D. (2021). The COUGHVID crowdsourcing dataset. </w:t>
      </w:r>
      <w:r>
        <w:rPr>
          <w:i/>
          <w:iCs/>
        </w:rPr>
        <w:t>Scientific Data, 8</w:t>
      </w:r>
      <w:r>
        <w:t>, 156.</w:t>
      </w:r>
    </w:p>
    <w:p w14:paraId="5705413A" w14:textId="77777777" w:rsidR="00BB1894" w:rsidRDefault="00000000">
      <w:pPr>
        <w:pStyle w:val="BodyText"/>
      </w:pPr>
      <w:r>
        <w:t xml:space="preserve">Pacheco, A.G.C. et al. (2020). PAD-UFES-20: A skin lesion dataset composed of patient data and clinical images collected from smartphones. </w:t>
      </w:r>
      <w:r>
        <w:rPr>
          <w:i/>
          <w:iCs/>
        </w:rPr>
        <w:t>Data in Brief, 32</w:t>
      </w:r>
      <w:r>
        <w:t>, 106221.</w:t>
      </w:r>
    </w:p>
    <w:p w14:paraId="7FA42AAE" w14:textId="77777777" w:rsidR="00BB1894" w:rsidRDefault="00000000">
      <w:pPr>
        <w:pStyle w:val="BodyText"/>
      </w:pPr>
      <w:r>
        <w:t xml:space="preserve">Radford, A. et al. (2023). Robust speech recognition via large-scale weak supervision. </w:t>
      </w:r>
      <w:r>
        <w:rPr>
          <w:i/>
          <w:iCs/>
        </w:rPr>
        <w:t>ICML 2023</w:t>
      </w:r>
      <w:r>
        <w:t>.</w:t>
      </w:r>
    </w:p>
    <w:p w14:paraId="58064288" w14:textId="77777777" w:rsidR="00BB1894" w:rsidRDefault="00000000">
      <w:pPr>
        <w:pStyle w:val="BodyText"/>
      </w:pPr>
      <w:r>
        <w:t xml:space="preserve">Rocha, B.M. et al. (2019). An open access database for the evaluation of respiratory sound classification algorithms. </w:t>
      </w:r>
      <w:r>
        <w:rPr>
          <w:i/>
          <w:iCs/>
        </w:rPr>
        <w:t>Physiological Measurement, 40</w:t>
      </w:r>
      <w:r>
        <w:t>, 035001.</w:t>
      </w:r>
    </w:p>
    <w:p w14:paraId="033335D9" w14:textId="77777777" w:rsidR="00BB1894" w:rsidRDefault="00000000">
      <w:pPr>
        <w:pStyle w:val="BodyText"/>
      </w:pPr>
      <w:r>
        <w:t xml:space="preserve">Sharma, N. et al. (2020). Coswara: A database of breathing, cough, and voice sounds for COVID-19 diagnosis. </w:t>
      </w:r>
      <w:r>
        <w:rPr>
          <w:i/>
          <w:iCs/>
        </w:rPr>
        <w:t>Interspeech 2020</w:t>
      </w:r>
      <w:r>
        <w:t>.</w:t>
      </w:r>
    </w:p>
    <w:p w14:paraId="5EA58286" w14:textId="77777777" w:rsidR="00BB1894" w:rsidRDefault="00000000">
      <w:pPr>
        <w:pStyle w:val="BodyText"/>
      </w:pPr>
      <w:r>
        <w:lastRenderedPageBreak/>
        <w:t xml:space="preserve">Tan, M., Le, Q.V. (2019). EfficientNet: Rethinking model scaling for convolutional neural networks. </w:t>
      </w:r>
      <w:r>
        <w:rPr>
          <w:i/>
          <w:iCs/>
        </w:rPr>
        <w:t>ICML 2019</w:t>
      </w:r>
      <w:r>
        <w:t>.</w:t>
      </w:r>
    </w:p>
    <w:p w14:paraId="0E8D2D78" w14:textId="77777777" w:rsidR="00BB1894" w:rsidRDefault="00000000">
      <w:pPr>
        <w:pStyle w:val="BodyText"/>
      </w:pPr>
      <w:r>
        <w:t xml:space="preserve">Tschandl, P., Rosendahl, C., Kittler, H. (2018). The HAM10000 dataset. </w:t>
      </w:r>
      <w:r>
        <w:rPr>
          <w:i/>
          <w:iCs/>
        </w:rPr>
        <w:t>Scientific Data, 5</w:t>
      </w:r>
      <w:r>
        <w:t>, 180161.</w:t>
      </w:r>
    </w:p>
    <w:p w14:paraId="59161674" w14:textId="77777777" w:rsidR="00BB1894" w:rsidRDefault="00000000">
      <w:pPr>
        <w:pStyle w:val="BodyText"/>
      </w:pPr>
      <w:r>
        <w:t xml:space="preserve">Tschandl, P. et al. (2020). Human–computer collaboration for skin cancer recognition. </w:t>
      </w:r>
      <w:r>
        <w:rPr>
          <w:i/>
          <w:iCs/>
        </w:rPr>
        <w:t>Nature Medicine, 26</w:t>
      </w:r>
      <w:r>
        <w:t>, 1229–1234.</w:t>
      </w:r>
    </w:p>
    <w:p w14:paraId="3F685361" w14:textId="77777777" w:rsidR="00BB1894" w:rsidRDefault="00000000">
      <w:pPr>
        <w:pStyle w:val="BodyText"/>
      </w:pPr>
      <w:r>
        <w:t xml:space="preserve">World Health Organization (2014). </w:t>
      </w:r>
      <w:r>
        <w:rPr>
          <w:i/>
          <w:iCs/>
        </w:rPr>
        <w:t>Integrated Management of Childhood Illness: Chart Booklet</w:t>
      </w:r>
      <w:r>
        <w:t xml:space="preserve">, and </w:t>
      </w:r>
      <w:r>
        <w:rPr>
          <w:i/>
          <w:iCs/>
        </w:rPr>
        <w:t>Integrated Management of Adolescent and Adult Illness (IMAI) Acute Care Guidelines</w:t>
      </w:r>
      <w:r>
        <w:t>.</w:t>
      </w:r>
      <w:bookmarkEnd w:id="49"/>
    </w:p>
    <w:sectPr w:rsidR="00BB189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2E540" w14:textId="77777777" w:rsidR="001F097A" w:rsidRDefault="001F097A">
      <w:pPr>
        <w:spacing w:after="0"/>
      </w:pPr>
      <w:r>
        <w:separator/>
      </w:r>
    </w:p>
  </w:endnote>
  <w:endnote w:type="continuationSeparator" w:id="0">
    <w:p w14:paraId="7382626C" w14:textId="77777777" w:rsidR="001F097A" w:rsidRDefault="001F09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E86F" w14:textId="77777777" w:rsidR="001F097A" w:rsidRDefault="001F097A">
      <w:r>
        <w:separator/>
      </w:r>
    </w:p>
  </w:footnote>
  <w:footnote w:type="continuationSeparator" w:id="0">
    <w:p w14:paraId="61BE2242" w14:textId="77777777" w:rsidR="001F097A" w:rsidRDefault="001F09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90F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AA63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C578022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724528785">
    <w:abstractNumId w:val="0"/>
  </w:num>
  <w:num w:numId="2" w16cid:durableId="1963464438">
    <w:abstractNumId w:val="1"/>
  </w:num>
  <w:num w:numId="3" w16cid:durableId="1211961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046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5289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1512446">
    <w:abstractNumId w:val="1"/>
  </w:num>
  <w:num w:numId="7" w16cid:durableId="844436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0215945">
    <w:abstractNumId w:val="1"/>
  </w:num>
  <w:num w:numId="9" w16cid:durableId="662855517">
    <w:abstractNumId w:val="1"/>
  </w:num>
  <w:num w:numId="10" w16cid:durableId="132603470">
    <w:abstractNumId w:val="1"/>
  </w:num>
  <w:num w:numId="11" w16cid:durableId="527525118">
    <w:abstractNumId w:val="1"/>
  </w:num>
  <w:num w:numId="12" w16cid:durableId="1855025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0913207">
    <w:abstractNumId w:val="1"/>
  </w:num>
  <w:num w:numId="14" w16cid:durableId="480927657">
    <w:abstractNumId w:val="1"/>
  </w:num>
  <w:num w:numId="15" w16cid:durableId="6746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B1894"/>
    <w:rsid w:val="001F097A"/>
    <w:rsid w:val="005E6FC7"/>
    <w:rsid w:val="007170A7"/>
    <w:rsid w:val="00BA7DAB"/>
    <w:rsid w:val="00BB1894"/>
  </w:rsids>
  <m:mathPr>
    <m:mathFont m:val="Cambria Math"/>
    <m:brkBin m:val="before"/>
    <m:brkBinSub m:val="--"/>
    <m:smallFrac m:val="0"/>
    <m:dispDef/>
    <m:lMargin m:val="0"/>
    <m:rMargin m:val="0"/>
    <m:defJc m:val="centerGroup"/>
    <m:wrapRight/>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B4CE"/>
  <w15:docId w15:val="{E127B88B-88B1-41BE-8EEB-E6D43FB9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15</Pages>
  <Words>5498</Words>
  <Characters>31340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Edge AI Diagnostic Assistance for Low-Bandwidth Rural Clinics</vt:lpstr>
    </vt:vector>
  </TitlesOfParts>
  <Company/>
  <LinksUpToDate>false</LinksUpToDate>
  <CharactersWithSpaces>36765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AI Diagnostic Assistance for Low-Bandwidth Rural Clinics</dc:title>
  <dc:creator>Author Name</dc:creator>
  <cp:keywords/>
  <cp:lastModifiedBy>Aks dhama</cp:lastModifiedBy>
  <cp:revision>2</cp:revision>
  <dcterms:created xsi:type="dcterms:W3CDTF">2026-10-28T13:24:00Z</dcterms:created>
  <dcterms:modified xsi:type="dcterms:W3CDTF">2026-10-28T13:47:00Z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Most of the world’s rural population lives far from specialist physicians and relies on connectivity that is intermittent, expensive, or absent. Cloud-hosted diagnostic AI therefore fails at the point of care, however accurate it is in the laboratory. We propose an offline-first, multimodal triage-assistance system that runs entirely on low-cost edge hardware (Raspberry Pi 4 8 GB, Raspberry Pi 5, and Jetson Nano, with an optional Coral Edge TPU accelerator). It supports community health workers (CHWs) in prioritizing two common presentations: dermatological lesions and respiratory symptoms.The architecture decouples a compressed convolutional lesion classifier (an EfficientNet-Lite/MobileNetV3 student distilled from a larger teacher) from a lightweight speech-and-text symptom module. A conservative late-fusion layer combines both with WHO IMCI/IMAI-style danger-sign rules and maps the result to a three-tier Red/Yellow/Green triage recommendation. Compression combines knowledge distillation, structured channel pruning, and INT8 post-training quantization (with quantization-aware training as a fallback), exported through ONNX Runtime, TFLite/XNNPACK, and TensorRT execution providers.We specify a benchmarking protocol covering p50/p95 latency, peak RAM, power draw, sustained-load thermal throttling, and sensitivity/specificity with subgroup analysis by Fitzpatrick skin type. We then describe a staged pilot with CHWs: co-design workshops, a silent “shadow mode” deployment, and an assisted mode. All code, model cards, and benchmarking harnesses will be released under permissive open-source terms so that local developers can audit, adapt, and retrain the system on their own populations.Keywords: edge AI, TinyML, post-training quantization, knowledge distillation, teledermatology, respiratory triage, community health workers, offline-first, digital health.</vt:lpwstr>
  </property>
  <property fmtid="{D5CDD505-2E9C-101B-9397-08002B2CF9AE}" pid="3" name="date">
    <vt:lpwstr>Affiliation</vt:lpwstr>
  </property>
</Properties>
</file>