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92C" w:rsidRDefault="00D0092C" w:rsidP="00BF4F85">
      <w:pPr>
        <w:pStyle w:val="a3"/>
        <w:spacing w:before="0" w:beforeAutospacing="0" w:after="0" w:afterAutospacing="0" w:line="360" w:lineRule="auto"/>
        <w:ind w:firstLine="709"/>
        <w:jc w:val="both"/>
        <w:outlineLvl w:val="1"/>
        <w:rPr>
          <w:b/>
          <w:bCs/>
          <w:kern w:val="36"/>
        </w:rPr>
      </w:pPr>
      <w:bookmarkStart w:id="0" w:name="metkadoc7"/>
      <w:r w:rsidRPr="00BF4F85">
        <w:rPr>
          <w:b/>
          <w:bCs/>
          <w:kern w:val="36"/>
        </w:rPr>
        <w:t>Лекция 5. Формирование учебной мотивации, ее виды</w:t>
      </w:r>
    </w:p>
    <w:p w:rsidR="00BF4F85" w:rsidRPr="00BF4F85" w:rsidRDefault="00BF4F85" w:rsidP="00BF4F85">
      <w:pPr>
        <w:pStyle w:val="a3"/>
        <w:spacing w:before="0" w:beforeAutospacing="0" w:after="0" w:afterAutospacing="0" w:line="360" w:lineRule="auto"/>
        <w:ind w:firstLine="709"/>
        <w:jc w:val="both"/>
        <w:outlineLvl w:val="1"/>
        <w:rPr>
          <w:b/>
          <w:bCs/>
          <w:kern w:val="36"/>
        </w:rPr>
      </w:pPr>
    </w:p>
    <w:bookmarkEnd w:id="0"/>
    <w:p w:rsidR="00BF4F85" w:rsidRDefault="00D0092C" w:rsidP="00BF4F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4F85">
        <w:rPr>
          <w:rFonts w:ascii="Times New Roman" w:hAnsi="Times New Roman" w:cs="Times New Roman"/>
          <w:sz w:val="24"/>
          <w:szCs w:val="24"/>
        </w:rPr>
        <w:t xml:space="preserve">Учебная мотивация – частный вид мотивации, включенный в учебную деятельность и определяющий потребность учащегося в получении знаний. </w:t>
      </w:r>
    </w:p>
    <w:p w:rsidR="00BF4F85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Мотивация является одной из фундаментальных проблем как отечественной, так и зарубежной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психологии. Ее значимость для разработки современной психологии связана с анализом источников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активности человека, побудительных сил его деятельности, поведения. Ответ на вопрос, что побуждает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человека к деятельности, каков мотив, ради чего он ее осуществляет, есть основа ее адекватной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интерпретации. «Когда люди общаются друг с другом, то прежде всего возникает вопрос о мотивах,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побуждениях, которые толкнули их на такой контакт с другими людьми, а также о тех целях, которые с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большей или меньшей осознанностью они ста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вили перед собой»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самом общем плане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 — это то, что определяет, стимулирует, побуждает человека к совершению какого-либо действия,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включенного в определяемую этим мотивом деятельность.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F4F85" w:rsidRPr="00BF4F85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отечественной психологии мотивация рассматривается как сложный многоуровневый регулятор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жизнедеятельности человека — его поведения, деятельности. «Иерархическая структура мотивационной сферы определяет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направленность личности человека, которая имеет разный характер в зависимости от того, какие именно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мотивы по своему содержанию и строению стали доминирующими» [31, с. 52].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Мотив — мотивация — мотивационная сфера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Понимаемая как источник активности и одновременно как система побудителей любой деятельности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мотивация изучается в самых разных аспектах, в силу чего она трактуется авторами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по-разному. Исследователи определяют ее и как один конкретный мотив, и как единую систему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мотивов, и как особую сферу, включающую в себя потребности, мотивы, цели, интересы в их сложном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переплетении и взаимодействии.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Трактовка мотива соотносит это понятие либо с потребностью (драйвом) (Ж. 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Нютенн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А. 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Маслоу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либо с переживанием этой потребности и ее удовлетворением (С.Л. Рубинштейн), либо с предметом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потребности. Так, в контексте теории деятельности А.Н. Леонтьева термин «мотив» употребляется не для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«обозначения переживания потребности, но как означающий то объективное, в чем эта потребность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конкретизируется в данных условиях и на что направляется деятельность, как на побуждающее ее» [111,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с. 243]. Отметим, что понимание мотива как «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опредмеченной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потребности», по А.Н. Леонтьеву, позволяет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определять его как внутренний мотив, входящий в структуру самой деятельности.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Наиболее полным является определение мотива, предложенное одним из ведущих исследователей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этой проблемы — Л.И. 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Божович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Согласно Л.И. 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Божович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мотив — это то, ради чего осуществляется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деятельность, «в качестве мотива могут выступать предметы внешнего мира, представления, идеи,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чувства и переживания. Словом, все то, в чем нашла свое воплощение потребность». В общепсихологическом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контексте мотивация представляет собой сложное объединение, «сплав» движущих сил поведения,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открывающийся субъекту в виде потребностей, интересов, влечений, целей, идеалов, которые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непосредственно детерминируют человеческую деятельность. Мотивационная сфера или мотивация в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широком смысле слова с этой точки зрения понимается как стержень личности, к которому «стягиваются»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такие ее свойства, как направленность, ценностные ориентации, установки, социальные ожидания,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притязания, эмоции, волевые качества и другие социально-психологические характеристики. Таким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образом, можно утверждать, что, несмотря на разнообразие подходов, мотивация понимается большинством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авторов как совокупность, система психологически разнородных факторов, детерминирующих поведение и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деятельность человека.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F4F85" w:rsidRPr="00BF4F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 мотивации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Одним из ранних исследований личностной мотивации, была работа X. 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Мюррея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(1938). Из множества побудителей поведения им были выделены четыре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потребности: </w:t>
      </w:r>
      <w:r w:rsidRPr="00BF4F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достижении, в доминировании, в самостоятельности, в </w:t>
      </w:r>
      <w:proofErr w:type="spellStart"/>
      <w:r w:rsidRPr="00BF4F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аффилиации</w:t>
      </w:r>
      <w:proofErr w:type="spellEnd"/>
      <w:r w:rsidR="00BF4F85">
        <w:rPr>
          <w:rStyle w:val="a6"/>
          <w:rFonts w:ascii="Times New Roman" w:eastAsia="Times New Roman" w:hAnsi="Times New Roman" w:cs="Times New Roman"/>
          <w:b/>
          <w:sz w:val="24"/>
          <w:szCs w:val="24"/>
          <w:lang w:eastAsia="ru-RU"/>
        </w:rPr>
        <w:footnoteReference w:id="1"/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Эти потреб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ности, рассмотренные в более широком контексте, М. 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Аргайл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включил в общую структуру мотивации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(потребностей): 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1) несоциальные потребности, которые могут вызвать социальное взаимодействие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(биологические потребности в воде, еде, деньгах); </w:t>
      </w:r>
    </w:p>
    <w:p w:rsidR="00BF4F85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2) потребность в зависимости как принятие помощи,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защиты, принятие руководства, особенно от тех, кто авторитетен и имеет власть; </w:t>
      </w:r>
    </w:p>
    <w:p w:rsidR="00BF4F85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3) потребность в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аффилиации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 стремление быть в обществе других людей, в дружеском отклике, принятии группой,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сверстниками; </w:t>
      </w:r>
    </w:p>
    <w:p w:rsidR="00BF4F85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4) потребность в доминировании, т.е. принятии себя другими или группой других как лидера,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которому дозволено говорить большее время, принимать решения; 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5) сексуальная потребность —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физическая близость, дружеское и интимное социальное взаимодействие представителя одного пола с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привлекательным представителем другого; 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6) потребность в агрессии, т.е. в нанесении вреда, физически или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вербально; 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7) потребность в чувстве собственного достоинства (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self-esteem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), самоидентификации, т.е. в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принятии самого себя как значимого. 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Очевидно, что потребность в зависимости, в самоутверждении и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одновременно в агрессии может в значительной мере представлять интерес для анализа учебной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деятельности и поведения обучающихся.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плане рассмотрения структуры 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потребностной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сферы человека большой интерес представляет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потребностный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треугольник» А. 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Маслоу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котором, с одной стороны, очевиднее высвечивается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социальная, интерактивная зависимость человека, а с другой — его познавательная, когнитивная природа,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связанная с 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самоактуализацией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приведен треугольник потребностей А. 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Маслоу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его</w:t>
      </w:r>
      <w:r w:rsid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рассмотрении обращает на себя внимание, во-первых, место и значение, которое отводится собственно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когнитивным (познавательным) и коммуникативным потребностям человека, и, во-вторых, то, что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потребностная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сфера человека рассматривается вне структуры его деятельности — только применительно к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 личности, ее 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самоактуализации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развитию, комфортному существованию.</w:t>
      </w:r>
    </w:p>
    <w:p w:rsidR="006A6BDE" w:rsidRDefault="006A6BDE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6BDE" w:rsidRDefault="006A6BDE" w:rsidP="006A6BD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37283"/>
            <wp:effectExtent l="0" t="0" r="3175" b="0"/>
            <wp:docPr id="1" name="Рисунок 1" descr="http://praktiks.com/img/3538649_900/masl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aktiks.com/img/3538649_900/maslo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B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Основание классификации мотивации (мотивов)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системное представление мотивационной сферы человека позволяет исследователям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классифицировать мотивы. Как известно, в общей психологии виды мотивов (мотивации) поведения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(деятельности) разграничиваются по разным основаниям. В качестве таковых выступают: 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а) характер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участия в деятельности (понимаемые, знаемые и реально действующие мотивы, по А.Н. Леонтьеву);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б)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(протяженность) 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обусловливания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деятельности (далекая — короткая мотивация, по Б.Ф. Ломову); 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в)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социальная значимость (социальные — узколичные, по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П.М. Якобсону); 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г) факт их включенности в саму деятельность или нахождения вне ее (широкие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социальные мотивы и узколичные мотивы, по Л.И. 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Божович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д) определенный вид деятельности, например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учебная мотивация, и др.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Продолжая эту линию исследования, социальные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потребности, определяющие груп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повую интеграцию и общение, согласно А.А. Леонтьеву, можно грубо разделить на три основные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потребности, ориентированные на: 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объект или цель взаимодействия; 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б) интересы самого коммуникатора;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интересы другого человека или общества в целом. 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примера проявления первой группы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потребностей (мотивов) автор приводит выступление члена производственной группы перед товарищами,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направленное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изменение ее производственной деятельности. По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требности, мотивы собственно со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циального плана связаны «...с интересами и целями общества в целом...». Эта группа мотивов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обусловливает поведение человека как члена группы, интересы которой становятся интересами самой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личности. Очевидно, что эта группа мотивов, характеризуя, например, весь учебный процесс в целом, может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характеризовать также и его субъектов: педагога, учащихся в плане далеких, общих, понимаемых мотивов.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Говоря о мотивах (потребностях), ориентированных </w:t>
      </w:r>
      <w:proofErr w:type="gram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самого коммуникатора</w:t>
      </w:r>
      <w:proofErr w:type="gram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, А.А. Леонтьев имеет в виду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мотивы, «направленные либо непосредственно на удовлетворение желания узнать что-то интересное или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важное, либо на дальнейший выбор способа поведения, способа действия». Эта группа мотивов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 наибольший интерес для анализа доминирующей учебной мотивации в учебной деятельности.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К определению доминирующей мотивации деятельности целесообразно также подойти и с позиции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особенностей интеллектуально-эмоционально-волевой сферы самой личности как субъекта.</w:t>
      </w:r>
    </w:p>
    <w:p w:rsidR="006A6BDE" w:rsidRP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6B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Учебная мотивация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Учебная мотивация определяется как частный вид мотивации, включенной в деятельность учения,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учебную деятельность. Как и любой другой вид, учебная мотивация определяется целым рядом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специфических для этой деятельности факторов. 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Во-первых, она определяется самой образовательной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системой, образовательным учреждением, где осуществляется учебная деятельность; 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во-вторых, —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организацией образовательного процесса; 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в-третьих,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— субъектными особенностями обучающегося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(возраст, пол, интеллектуальное развитие, способности, уровень притязаний, самооценка, его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взаимодействие с другими учениками и т.д.); 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в-</w:t>
      </w:r>
      <w:proofErr w:type="gram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четвертых,—</w:t>
      </w:r>
      <w:proofErr w:type="gram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субъектными особенностями педагога и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прежде всего системой его отношений к ученику, к делу; 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в-пятых, — спецификой учебного предмета.</w:t>
      </w:r>
    </w:p>
    <w:p w:rsid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Учебная мотивация, как и любой другой ее вид, системна. Она характеризуется направленностью,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устойчивостью и динамичностью. Так, в работах Л.И. 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Божович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ее сотрудников, на материале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исследования учебной деятельности школьников отмечалось, что она побуждается иерархией мотивов, в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которой доминирующими могут быть либо внутренние мотивы, связанные с содержанием этой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деятельности и ее выполнением, либо широкие социальные мотивы, связанные с потребностью ребенка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занять определенную позицию в системе общественных отношений. При этом с возрастом происходит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развитие взаимодействующих потребностей и мотивов, изменение ведущих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доминирующих потребностей и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иерархизации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. «...Мотивация учения складывается из ряда постоянно изменяющихся и вступающих в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новые отношения друг с другом побуждений (потребности и смысл учения для школьника,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мотивы, це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ли, эмоции, интересы). Поэтому становление мотивации есть не простое возрастание положительного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усугубление отрицательного отношения к учению, а стоящее за ним усложнение структуры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мотивационной сферы, входящих в нее побуждений, появление новых, более зрелых, иногда противоречивых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отношении между ними». Соответственно при анализе мотивации учебной деятельности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не только определить доминирующий побудитель (мотив), но и учесть всю структуру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мотивационной сферы человека. </w:t>
      </w:r>
    </w:p>
    <w:p w:rsidR="006A6BDE" w:rsidRDefault="006A6BDE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ассматривая эту сферу применительно к учению, А.К. Маркова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подчеркивает иерархичность ее строения. Так, в нее входят: потребность в учении, смысл учения, мотив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учения, цель, эмоции, отношение и интерес.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A6BDE" w:rsidRPr="006A6BD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6B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Интерес в мотивационной сфере</w:t>
      </w:r>
      <w:r w:rsidR="006A6BDE" w:rsidRPr="006A6B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200D28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общепсихологическом определении интерес — это эмоциональное переживание познавательной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потребности. Характеризуя его как один из компонентов учебной мотивации, необходимо обратить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внимание на то, что в повседневном, бытовом, да и в профессиональном педагогическом общении термин</w:t>
      </w:r>
      <w:r w:rsidR="006A6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«интерес» часто используется как синоним учебной мотивации. Об этом могут свидетельствовать такие</w:t>
      </w:r>
      <w:r w:rsidR="005A5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высказывания, как «у него нет интереса к учебе», «необходимо развивать познавательный интерес» и т.д.</w:t>
      </w:r>
      <w:r w:rsidR="005A5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смещение понятий связано, во-первых, с тем, что в теории учения именно интерес был первым</w:t>
      </w:r>
      <w:r w:rsidR="005A5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="005A5789">
        <w:rPr>
          <w:rFonts w:ascii="Times New Roman" w:eastAsia="Times New Roman" w:hAnsi="Times New Roman" w:cs="Times New Roman"/>
          <w:sz w:val="24"/>
          <w:szCs w:val="24"/>
          <w:lang w:eastAsia="ru-RU"/>
        </w:rPr>
        <w:t>ом изучения в области мотивации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. Во-вторых, оно объясняется тем, что сам по себе</w:t>
      </w:r>
      <w:r w:rsidR="005A5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интерес — это сложное неоднородное явление. Интерес определяется «как следствие, как одно из</w:t>
      </w:r>
      <w:r w:rsidR="005A5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интегральных проявлений сложных процессов мотивационной сферы», и здесь важна дифференциация</w:t>
      </w:r>
      <w:r w:rsidR="005A5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видов интереса и отношения к учению. </w:t>
      </w:r>
      <w:r w:rsidR="005A578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нтерес к учению может быть широким,</w:t>
      </w:r>
      <w:r w:rsidR="005A57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планирующим, результативным, процессуально-содержательным, учебно</w:t>
      </w:r>
      <w:r w:rsidR="005A5789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-познавательным и его преобразующим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00D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7653E" w:rsidRDefault="00200D28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ажность создания условий возникновения интереса к учителю, к учению (как эмоционального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переживания удовлетворения познавательной потребности) и формирования самого интереса отмечалась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многими исследователями. На основе системного анализа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М. Бондаренко были названы основные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факторы, способствующие тому, чтобы учение было интересным для ученика. Согласно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этому анализу, важнейшей предпосылкой создания интереса к учению является воспитание широких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социальных мотивов деятельности, понимание ее смысла, осознание важности изучаемых процессов 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собственной деятельности.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Необходимое условие для создания у учащихся интереса к содержанию обучения и к самой учебной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деятельности — возможность проявить в учении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умственную самостоятельность и инициативность.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200D2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Чем</w:t>
      </w:r>
      <w:r w:rsidRPr="00200D2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="00D0092C" w:rsidRPr="00200D2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активнее методы обучения, тем легче заинтересовать ими учащихся.</w:t>
      </w:r>
      <w:r w:rsidR="00D0092C" w:rsidRPr="00200D2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Основное средство воспитания ус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тойчивого интереса к учению — использование таких вопросов и заданий, решение которых требует от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учащихся активной поисковой деятельности.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Большую роль в формировании интереса к учению играет </w:t>
      </w:r>
      <w:r w:rsidR="00D0092C" w:rsidRPr="00C765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создание проблемной ситуации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столкновение учащихся с трудностью, которую они не могут разрешить при помощи имеющегося у них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запаса знаний; сталкиваясь с трудностью, они убеждаются в необходимости получения новых знаний или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применения старых в новой ситуации. Интересна только та работа, которая требует постоянного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напряжения. Легкий материал, не требующий умственного напряжения, не вызывает интереса. </w:t>
      </w:r>
      <w:r w:rsidR="00D0092C" w:rsidRPr="00C765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Преодоление</w:t>
      </w:r>
      <w:r w:rsidR="00C7653E" w:rsidRPr="00C765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765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(успешное преодоление!!!) </w:t>
      </w:r>
      <w:r w:rsidR="00D0092C" w:rsidRPr="00C765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трудностей в учебной деятельности — важнейшее условие возникновения интереса к ней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Трудность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учебного материала и учебной задачи приводит к повышению интереса только тогда, когда эта трудность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посильна, преодолима, в противном случае интерес быстро падает.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Учебный материал и приемы учебной работы должны быть достаточно (но не чрезмерно)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разнообразны. Разнообразие обеспечивается не только столкновением учащихся с различными объектами в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ходе обучения, но и тем, что в одном и том же объекте можно открывать новые стороны. Один из приемов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возбуждения у учащихся познавательного интереса — отстранение, т.е. показ учащимся нового,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неожиданного, важного в привычном и обыденном. </w:t>
      </w:r>
      <w:r w:rsidR="00D0092C" w:rsidRPr="00C765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Новизна материала — важнейшая предпосылка</w:t>
      </w:r>
      <w:r w:rsidR="00C765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7653E" w:rsidRPr="00C765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возникновения интереса</w:t>
      </w:r>
      <w:r w:rsidR="00D0092C" w:rsidRPr="00C765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 нему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. Однако познание нового должно опираться на уже имеющиеся у школьника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знания. </w:t>
      </w:r>
      <w:r w:rsidR="00D0092C" w:rsidRPr="00C765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Использование прежде усвоенных знаний — одно из основных условий появления интереса.</w:t>
      </w:r>
      <w:r w:rsidR="00C7653E" w:rsidRPr="00C765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0092C" w:rsidRPr="00C765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Существенный фактор возникновения интереса к учебному материалу — его эмоциональная окраска, живое</w:t>
      </w:r>
      <w:r w:rsidR="00C765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0092C" w:rsidRPr="00C765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слово учителя.</w:t>
      </w:r>
      <w:r w:rsidR="00C765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положения могут служит определенной программой организации учебного процесса, специально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направленной на формирование интереса.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7653E" w:rsidRPr="00C7653E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7653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Мотивационные ориентации и успешность деятельности</w:t>
      </w:r>
    </w:p>
    <w:p w:rsidR="00490FF9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Различные виды интереса, например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результативный, познавательный, процессуальный, учебно-познавательный и др., могут быть соотнесены с мотивационными ориентациями. 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а ма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териале изучения мотивации в ов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ладении иностранным языком в вузе выявили четыре мотивационные ориентации (на процесс, результат,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оценку преподавателем и избегание неприятностей), которые наряду с другими компонентами учебной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мотивации определяют направление, содержание и результат учебной деятельности.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собенности связей между мотивационными ориентациями позволяют выделить две существенные их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характеристики: во-первых, стабильность связей между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ориентациями на процесс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и результат, с одной стороны, и ориентациями на «оценку преподавателем» и «избеганием неприятностей» с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другой, т.е. относительную независимость их от условий обучения; во-вторых, вариабельность связей (по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критерию доминирования и «удельному весу») в зависимости от условий обучения (например, тип вуза —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языковой, неязыковой), сетки часов, особенностей учебной программы, в частности ее целевых установок и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т.д. У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становлена положительная связь</w:t>
      </w:r>
      <w:r w:rsidR="00C7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мотивационных ориентации с успеваемостью студентов. Наиболее плотно связанными с успеваемостью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оказались ориентации на процесс и на результат, менее плотно — ориентация на оценку преподавателем.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90FF9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 ориентации на избегание неприятностей с успеваемостью слабая.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Учебная деятельность побуждается прежде всего внутренним мотивом, когда познавательная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потребность «встречается» с предметом деятельности — выработкой обобщенного способа действия — и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опредмечивается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» в нем, в то же время она побуждается самыми разными внешними мотивами, например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самоутверждения, престижности, долга, необходимости, достижения и др. На материале исследования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учебной деятельности студентов было показано, что среди социогенных потребностей наибольшее влияние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ее эффективность оказывает потребность в достижении, под которой понимается стремление человека к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улучшению результатов своей деятельности. Удовлетворенность учением зависит от степени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удовлетворения этой потребности. Эта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потребность заставляет студентов больше концентрироваться на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учебе и в то же время повышает их социальную активность. Существенное, но неоднозначное влияние на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оказывает потребность в общении и доминировании. Для учебной деятельности особенно важны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мотивы интеллектуально-познавательного плана. Мотивы интелле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>ктуального плана сознаваемы, по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нимаемы, реально действующие. Они осознаются человеком как жажда знаний, необходимость (нужда) в их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присвоении, стремление к расширению кругозора, углублению, систематизации знаний. Это именно та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мотивов, которая соотносится со специфически человеческой познавательной деятельностью, его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интеллектуальной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потребностью, характеризуемой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положительным эмоциональным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тоном и 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ненасыщаемостью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. Руководствуясь подобными мотивами, не считаясь с усталостью, временем,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противостоя другим побудителям и другим отвлекающим факторам, учащи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>йся настойчиво и увлеченно ра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ботает над учебным материалом, точнее, над решением учебной задачи. Здесь был получен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важный вывод: «наибольшее влияние на академические успехи оказывает познавательная потребность в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сочетании с высокой потребностью в достижениях».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90FF9" w:rsidRDefault="00490FF9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0FF9" w:rsidRPr="00490FF9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0F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Отношение к учению в мотивационной сфере</w:t>
      </w:r>
      <w:r w:rsidR="00490FF9" w:rsidRPr="00490F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490FF9" w:rsidRDefault="00D0092C" w:rsidP="00490F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анализа мотивационной сферы учения школьников важна характеристика их отношения к нему.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А.К. Маркова, определяя три типа отношения — отрицательное, нейтральное и положительное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90FF9" w:rsidRDefault="00490FF9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а материале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исследования младших школьников М.В. Матюхина отмечает, что в процессе их психического развития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развивается и мотивация. Это позволяет утверждать, что </w:t>
      </w:r>
      <w:r w:rsidR="00D0092C" w:rsidRPr="00490F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«высокий исходный уровень умственного развития</w:t>
      </w:r>
      <w:r w:rsidRPr="00490F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0092C" w:rsidRPr="00490F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выступает, с одной стороны, важнейшим условием реализации исходного уровня мотивации ребенка, с</w:t>
      </w:r>
      <w:r w:rsidRPr="00490F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0092C" w:rsidRPr="00490F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другой — условием формирования положительной мотивации в процессе учебной деятельности».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этом устанавливается прямая зависимость между высоким уровнем умственного развития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складывающимися положительными мотивационными тенденциями, и наоборот. В то же время выявлена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зависимость между мотивацией, которая представляет собой предпосылку учебной деятельности,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092C"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успешностью обучения детей с высокой и средней мотивацией.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90FF9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0F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Целеполагание и мотивация</w:t>
      </w:r>
    </w:p>
    <w:p w:rsidR="00490FF9" w:rsidRDefault="00D0092C" w:rsidP="00BF4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выполненных под руководством А.К. Марковой исследованиях Т.И. Лях и О.А. 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Чуваловой</w:t>
      </w:r>
      <w:proofErr w:type="spellEnd"/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подчеркнуто, что у подростков может быть сформирован личностно-значимый смыслообразующий мотив и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этот процесс реализуется в определенной последовательности становления его характеристик. Как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отмечают авторы, сначала учебно-познавательный мотив начинает действовать, затем становится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доминирующим и приобретает самостоятельность и лишь после осознается, т.е. первым условием является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организация, становление самой учебной деятельности. При этом сама действенность мотивации, как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показала О.А. 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Чувалова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, лучше формируется при направлении на способы, чем на результат деятельности. В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же время эта характеристика мотивации по-разному проявляется в разных возрастных группах в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зависимости от характера учебной ситуации и жесткости контроля учителя. Так, чем младше школьник, тем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теснее зависимость действенной мотивации от характера учебной ситуации и жесткости контроля учителя,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зависимость формирования действенности как первой ступени учебно-познавательного мотива от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обязательности ситуации и контроля присутствующего учителя. В целом исследования учебной мотивации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школьников показывают недостаточный уровень ее стихийной </w:t>
      </w:r>
      <w:proofErr w:type="spellStart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принципиальную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ее целенаправленного ступенчатого развития, учитывающего особенности возраста с</w:t>
      </w:r>
      <w:r w:rsidR="00490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4F8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преимущественной ориентацией на способы деятельности (не на результат).</w:t>
      </w:r>
    </w:p>
    <w:p w:rsidR="00490FF9" w:rsidRDefault="00490FF9" w:rsidP="00BF4F85">
      <w:pPr>
        <w:pStyle w:val="a3"/>
        <w:spacing w:before="0" w:beforeAutospacing="0" w:after="0" w:afterAutospacing="0" w:line="360" w:lineRule="auto"/>
        <w:ind w:firstLine="709"/>
        <w:jc w:val="both"/>
        <w:rPr>
          <w:b/>
        </w:rPr>
      </w:pPr>
    </w:p>
    <w:p w:rsidR="00490FF9" w:rsidRDefault="00490FF9" w:rsidP="00BF4F85">
      <w:pPr>
        <w:pStyle w:val="a3"/>
        <w:spacing w:before="0" w:beforeAutospacing="0" w:after="0" w:afterAutospacing="0" w:line="360" w:lineRule="auto"/>
        <w:ind w:firstLine="709"/>
        <w:jc w:val="both"/>
        <w:rPr>
          <w:b/>
        </w:rPr>
      </w:pPr>
    </w:p>
    <w:p w:rsidR="00490FF9" w:rsidRDefault="00D0092C" w:rsidP="00BF4F85">
      <w:pPr>
        <w:pStyle w:val="a3"/>
        <w:spacing w:before="0" w:beforeAutospacing="0" w:after="0" w:afterAutospacing="0" w:line="360" w:lineRule="auto"/>
        <w:ind w:firstLine="709"/>
        <w:jc w:val="both"/>
        <w:rPr>
          <w:b/>
        </w:rPr>
      </w:pPr>
      <w:r w:rsidRPr="00BF4F85">
        <w:lastRenderedPageBreak/>
        <w:br/>
      </w:r>
      <w:r w:rsidRPr="00490FF9">
        <w:rPr>
          <w:b/>
        </w:rPr>
        <w:t>Вопросы для самопроверки</w:t>
      </w:r>
    </w:p>
    <w:p w:rsidR="00490FF9" w:rsidRDefault="00D0092C" w:rsidP="00ED361A">
      <w:pPr>
        <w:pStyle w:val="a3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</w:pPr>
      <w:r w:rsidRPr="00BF4F85">
        <w:t xml:space="preserve">Какая </w:t>
      </w:r>
      <w:proofErr w:type="gramStart"/>
      <w:r w:rsidRPr="00BF4F85">
        <w:t>из мотивационных ориентации</w:t>
      </w:r>
      <w:proofErr w:type="gramEnd"/>
      <w:r w:rsidRPr="00BF4F85">
        <w:t xml:space="preserve"> (на процесс, результат, награду, избегание) выявляет</w:t>
      </w:r>
      <w:r w:rsidR="00490FF9">
        <w:t xml:space="preserve"> </w:t>
      </w:r>
      <w:r w:rsidRPr="00BF4F85">
        <w:t>большую устойчивость мотивации?</w:t>
      </w:r>
    </w:p>
    <w:p w:rsidR="00490FF9" w:rsidRDefault="00D0092C" w:rsidP="00ED361A">
      <w:pPr>
        <w:pStyle w:val="a3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</w:pPr>
      <w:r w:rsidRPr="00BF4F85">
        <w:t>Какие мотивы называются внутренними и внешними?</w:t>
      </w:r>
    </w:p>
    <w:p w:rsidR="008C1958" w:rsidRPr="00BF4F85" w:rsidRDefault="00D0092C" w:rsidP="00ED361A">
      <w:pPr>
        <w:pStyle w:val="a3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</w:pPr>
      <w:r w:rsidRPr="00BF4F85">
        <w:t>3. Какие потребности из мотивационного (</w:t>
      </w:r>
      <w:proofErr w:type="spellStart"/>
      <w:r w:rsidRPr="00BF4F85">
        <w:t>потребностного</w:t>
      </w:r>
      <w:proofErr w:type="spellEnd"/>
      <w:r w:rsidRPr="00BF4F85">
        <w:t xml:space="preserve">) </w:t>
      </w:r>
      <w:r w:rsidR="00ED361A">
        <w:t>треу</w:t>
      </w:r>
      <w:r w:rsidR="00235BDD">
        <w:t>гольника А. </w:t>
      </w:r>
      <w:bookmarkStart w:id="1" w:name="_GoBack"/>
      <w:bookmarkEnd w:id="1"/>
      <w:proofErr w:type="spellStart"/>
      <w:r w:rsidRPr="00BF4F85">
        <w:t>Маслоу</w:t>
      </w:r>
      <w:proofErr w:type="spellEnd"/>
      <w:r w:rsidRPr="00BF4F85">
        <w:t xml:space="preserve"> могут быть связаны с</w:t>
      </w:r>
      <w:r w:rsidR="00ED361A">
        <w:t xml:space="preserve"> </w:t>
      </w:r>
      <w:r w:rsidRPr="00BF4F85">
        <w:t>успешностью учебной деятельности?</w:t>
      </w:r>
    </w:p>
    <w:sectPr w:rsidR="008C1958" w:rsidRPr="00BF4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A7F" w:rsidRDefault="005F2A7F" w:rsidP="00BF4F85">
      <w:pPr>
        <w:spacing w:after="0" w:line="240" w:lineRule="auto"/>
      </w:pPr>
      <w:r>
        <w:separator/>
      </w:r>
    </w:p>
  </w:endnote>
  <w:endnote w:type="continuationSeparator" w:id="0">
    <w:p w:rsidR="005F2A7F" w:rsidRDefault="005F2A7F" w:rsidP="00BF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A7F" w:rsidRDefault="005F2A7F" w:rsidP="00BF4F85">
      <w:pPr>
        <w:spacing w:after="0" w:line="240" w:lineRule="auto"/>
      </w:pPr>
      <w:r>
        <w:separator/>
      </w:r>
    </w:p>
  </w:footnote>
  <w:footnote w:type="continuationSeparator" w:id="0">
    <w:p w:rsidR="005F2A7F" w:rsidRDefault="005F2A7F" w:rsidP="00BF4F85">
      <w:pPr>
        <w:spacing w:after="0" w:line="240" w:lineRule="auto"/>
      </w:pPr>
      <w:r>
        <w:continuationSeparator/>
      </w:r>
    </w:p>
  </w:footnote>
  <w:footnote w:id="1">
    <w:p w:rsidR="00BF4F85" w:rsidRDefault="00BF4F85">
      <w:pPr>
        <w:pStyle w:val="a4"/>
      </w:pPr>
      <w:r>
        <w:rPr>
          <w:rStyle w:val="a6"/>
        </w:rPr>
        <w:footnoteRef/>
      </w:r>
      <w:r>
        <w:t xml:space="preserve"> </w:t>
      </w:r>
      <w:r>
        <w:t>Стремление людей к объединению, пребыванию вместе, особенно в условиях грозящей опасности или тревожной неопределённости.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34DC8"/>
    <w:multiLevelType w:val="hybridMultilevel"/>
    <w:tmpl w:val="D23E2C14"/>
    <w:lvl w:ilvl="0" w:tplc="B16E5E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DB"/>
    <w:rsid w:val="001A4A4C"/>
    <w:rsid w:val="00200D28"/>
    <w:rsid w:val="00235BDD"/>
    <w:rsid w:val="00490FF9"/>
    <w:rsid w:val="005A5789"/>
    <w:rsid w:val="005E4761"/>
    <w:rsid w:val="005F2A7F"/>
    <w:rsid w:val="006A6BDE"/>
    <w:rsid w:val="009A14DB"/>
    <w:rsid w:val="00BF4F85"/>
    <w:rsid w:val="00C2608F"/>
    <w:rsid w:val="00C7653E"/>
    <w:rsid w:val="00D0092C"/>
    <w:rsid w:val="00ED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2F83D"/>
  <w15:chartTrackingRefBased/>
  <w15:docId w15:val="{634A871E-71C5-444B-ACFE-51B1566B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0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D00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BF4F85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BF4F85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BF4F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2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3005</Words>
  <Characters>17131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2022-02-12T18:32:00Z</dcterms:created>
  <dcterms:modified xsi:type="dcterms:W3CDTF">2022-02-14T08:05:00Z</dcterms:modified>
</cp:coreProperties>
</file>