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0D3AD4" w:rsidRDefault="0001521E" w:rsidP="004D1434">
      <w:pPr>
        <w:spacing w:after="0"/>
        <w:contextualSpacing/>
        <w:jc w:val="center"/>
        <w:rPr>
          <w:rFonts w:ascii="Lato Light" w:hAnsi="Lato Light"/>
          <w:b/>
          <w:sz w:val="28"/>
          <w:szCs w:val="28"/>
        </w:rPr>
      </w:pPr>
      <w:r w:rsidRPr="000D3AD4">
        <w:rPr>
          <w:rFonts w:ascii="Lato Light" w:hAnsi="Lato Light"/>
          <w:b/>
          <w:sz w:val="28"/>
          <w:szCs w:val="28"/>
        </w:rPr>
        <w:t>AN EXPLORATORY ANALYSIS OF PERDIZ ARROW POINT MORPHOLOGY</w:t>
      </w:r>
    </w:p>
    <w:p w:rsidR="0030055D" w:rsidRPr="000D3AD4" w:rsidRDefault="0030055D" w:rsidP="004D1434">
      <w:pPr>
        <w:spacing w:after="0"/>
        <w:contextualSpacing/>
        <w:jc w:val="center"/>
        <w:rPr>
          <w:rFonts w:ascii="Lato Light" w:hAnsi="Lato Light"/>
          <w:b/>
          <w:sz w:val="28"/>
          <w:szCs w:val="28"/>
        </w:rPr>
      </w:pPr>
    </w:p>
    <w:p w:rsidR="0030055D" w:rsidRPr="000D3AD4" w:rsidRDefault="0030055D" w:rsidP="004D1434">
      <w:pPr>
        <w:spacing w:after="0"/>
        <w:contextualSpacing/>
        <w:jc w:val="center"/>
        <w:rPr>
          <w:rFonts w:ascii="Lato Light" w:hAnsi="Lato Light"/>
          <w:b/>
          <w:sz w:val="28"/>
          <w:szCs w:val="28"/>
        </w:rPr>
      </w:pPr>
    </w:p>
    <w:p w:rsidR="002C0150" w:rsidRPr="000D3AD4" w:rsidRDefault="002C0150" w:rsidP="002C0150">
      <w:pPr>
        <w:jc w:val="center"/>
        <w:rPr>
          <w:rFonts w:ascii="Lato Light" w:hAnsi="Lato Light"/>
          <w:sz w:val="32"/>
          <w:szCs w:val="32"/>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F041EC" w:rsidRPr="000D3AD4" w:rsidRDefault="00F041EC"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rsidR="002C0150" w:rsidRPr="000D3AD4" w:rsidRDefault="002C0150" w:rsidP="002C0150">
      <w:pPr>
        <w:jc w:val="center"/>
        <w:rPr>
          <w:rFonts w:ascii="Lato Light" w:hAnsi="Lato Light"/>
          <w:sz w:val="20"/>
          <w:szCs w:val="20"/>
          <w:vertAlign w:val="superscript"/>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CB4FB9" w:rsidRPr="000D3AD4" w:rsidRDefault="00CB4FB9" w:rsidP="002C0150">
      <w:pPr>
        <w:jc w:val="center"/>
        <w:rPr>
          <w:rFonts w:ascii="Lato Light" w:hAnsi="Lato Light"/>
          <w:sz w:val="20"/>
          <w:szCs w:val="20"/>
        </w:rPr>
      </w:pPr>
    </w:p>
    <w:p w:rsidR="00F041EC" w:rsidRPr="000D3AD4" w:rsidRDefault="00F041EC"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p>
    <w:p w:rsidR="00294276" w:rsidRPr="000D3AD4" w:rsidRDefault="00294276" w:rsidP="0062241D">
      <w:pPr>
        <w:spacing w:after="0"/>
        <w:ind w:left="864" w:right="864"/>
        <w:contextualSpacing/>
        <w:jc w:val="both"/>
        <w:rPr>
          <w:rFonts w:ascii="Lato Light" w:hAnsi="Lato Light"/>
          <w:i/>
        </w:rPr>
      </w:pPr>
    </w:p>
    <w:p w:rsidR="00086621" w:rsidRPr="000D3AD4" w:rsidRDefault="00086621" w:rsidP="00122EA2">
      <w:pPr>
        <w:spacing w:after="0"/>
        <w:contextualSpacing/>
        <w:jc w:val="center"/>
        <w:rPr>
          <w:rFonts w:ascii="Lato Light" w:hAnsi="Lato Light"/>
          <w:sz w:val="20"/>
          <w:szCs w:val="20"/>
        </w:rPr>
      </w:pPr>
    </w:p>
    <w:p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rsidR="00DD275F" w:rsidRPr="000D3AD4" w:rsidRDefault="00DD275F" w:rsidP="00DD275F">
      <w:pPr>
        <w:spacing w:after="0"/>
        <w:ind w:left="864" w:right="864"/>
        <w:contextualSpacing/>
        <w:jc w:val="both"/>
        <w:rPr>
          <w:rFonts w:ascii="Lato Light" w:hAnsi="Lato Light"/>
        </w:rPr>
      </w:pPr>
      <w:r w:rsidRPr="000D3AD4">
        <w:rPr>
          <w:rFonts w:ascii="Lato Light" w:hAnsi="Lato Light"/>
        </w:rPr>
        <w:lastRenderedPageBreak/>
        <w:t xml:space="preserve">The assumption is that the ability to execute formal technological designs </w:t>
      </w:r>
      <w:proofErr w:type="gramStart"/>
      <w:r w:rsidRPr="000D3AD4">
        <w:rPr>
          <w:rFonts w:ascii="Lato Light" w:hAnsi="Lato Light"/>
        </w:rPr>
        <w:t>is severely limited</w:t>
      </w:r>
      <w:proofErr w:type="gramEnd"/>
      <w:r w:rsidRPr="000D3AD4">
        <w:rPr>
          <w:rFonts w:ascii="Lato Light" w:hAnsi="Lato Light"/>
        </w:rPr>
        <w:t xml:space="preserve"> by the quality of the raw material. Toolkits based on high quality raw materials are thought to be easier to design because fracture is easier to control</w:t>
      </w:r>
      <w:r w:rsidR="008B6751" w:rsidRPr="000D3AD4">
        <w:rPr>
          <w:rFonts w:ascii="Lato Light" w:hAnsi="Lato Light"/>
        </w:rPr>
        <w:t xml:space="preserve"> </w:t>
      </w:r>
      <w:r w:rsidR="008B6751" w:rsidRPr="000D3AD4">
        <w:rPr>
          <w:rFonts w:ascii="Lato Light" w:hAnsi="Lato Light"/>
        </w:rPr>
        <w:fldChar w:fldCharType="begin"/>
      </w:r>
      <w:r w:rsidR="00B4536A" w:rsidRPr="000D3AD4">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D3AD4">
        <w:rPr>
          <w:rFonts w:ascii="Lato Light" w:hAnsi="Lato Light"/>
        </w:rPr>
        <w:fldChar w:fldCharType="separate"/>
      </w:r>
      <w:r w:rsidR="008B6751" w:rsidRPr="000D3AD4">
        <w:rPr>
          <w:rFonts w:ascii="Lato Light" w:hAnsi="Lato Light"/>
          <w:noProof/>
        </w:rPr>
        <w:t>(</w:t>
      </w:r>
      <w:hyperlink w:anchor="_ENREF_11" w:tooltip="Goodyear, 1989 #9531" w:history="1">
        <w:r w:rsidR="000D3AD4" w:rsidRPr="000D3AD4">
          <w:rPr>
            <w:rStyle w:val="Hyperlink"/>
            <w:rFonts w:ascii="Lato Light" w:hAnsi="Lato Light"/>
          </w:rPr>
          <w:t>Goodyear 1989:3</w:t>
        </w:r>
      </w:hyperlink>
      <w:r w:rsidR="008B6751" w:rsidRPr="000D3AD4">
        <w:rPr>
          <w:rFonts w:ascii="Lato Light" w:hAnsi="Lato Light"/>
          <w:noProof/>
        </w:rPr>
        <w:t xml:space="preserve">; </w:t>
      </w:r>
      <w:hyperlink w:anchor="_ENREF_19" w:tooltip="Luedtke, 1992 #20899" w:history="1">
        <w:r w:rsidR="000D3AD4" w:rsidRPr="000D3AD4">
          <w:rPr>
            <w:rStyle w:val="Hyperlink"/>
            <w:rFonts w:ascii="Lato Light" w:hAnsi="Lato Light"/>
          </w:rPr>
          <w:t>Luedtke 1992</w:t>
        </w:r>
      </w:hyperlink>
      <w:r w:rsidR="008B6751" w:rsidRPr="000D3AD4">
        <w:rPr>
          <w:rFonts w:ascii="Lato Light" w:hAnsi="Lato Light"/>
          <w:noProof/>
        </w:rPr>
        <w:t>)</w:t>
      </w:r>
      <w:r w:rsidR="008B6751" w:rsidRPr="000D3AD4">
        <w:rPr>
          <w:rFonts w:ascii="Lato Light" w:hAnsi="Lato Light"/>
        </w:rPr>
        <w:fldChar w:fldCharType="end"/>
      </w:r>
      <w:r w:rsidRPr="000D3AD4">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D3AD4">
        <w:rPr>
          <w:rFonts w:ascii="Lato Light" w:hAnsi="Lato Light"/>
        </w:rPr>
        <w:fldChar w:fldCharType="begin"/>
      </w:r>
      <w:r w:rsidR="00F00C67" w:rsidRPr="000D3AD4">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D3AD4">
        <w:rPr>
          <w:rFonts w:ascii="Lato Light" w:hAnsi="Lato Light"/>
        </w:rPr>
        <w:fldChar w:fldCharType="separate"/>
      </w:r>
      <w:r w:rsidR="00F00C67" w:rsidRPr="000D3AD4">
        <w:rPr>
          <w:rFonts w:ascii="Lato Light" w:hAnsi="Lato Light"/>
          <w:noProof/>
        </w:rPr>
        <w:t>(</w:t>
      </w:r>
      <w:hyperlink w:anchor="_ENREF_3" w:tooltip="Brantingham, 2000 #3770" w:history="1">
        <w:r w:rsidR="000D3AD4" w:rsidRPr="000D3AD4">
          <w:rPr>
            <w:rStyle w:val="Hyperlink"/>
            <w:rFonts w:ascii="Lato Light" w:hAnsi="Lato Light"/>
          </w:rPr>
          <w:t>Brantingham, et al. 2000:257</w:t>
        </w:r>
      </w:hyperlink>
      <w:r w:rsidR="00F00C67" w:rsidRPr="000D3AD4">
        <w:rPr>
          <w:rFonts w:ascii="Lato Light" w:hAnsi="Lato Light"/>
          <w:noProof/>
        </w:rPr>
        <w:t>)</w:t>
      </w:r>
      <w:r w:rsidR="00B94019" w:rsidRPr="000D3AD4">
        <w:rPr>
          <w:rFonts w:ascii="Lato Light" w:hAnsi="Lato Light"/>
        </w:rPr>
        <w:fldChar w:fldCharType="end"/>
      </w:r>
      <w:r w:rsidRPr="000D3AD4">
        <w:rPr>
          <w:rFonts w:ascii="Lato Light" w:hAnsi="Lato Light"/>
        </w:rPr>
        <w:t>.</w:t>
      </w:r>
    </w:p>
    <w:p w:rsidR="00DD275F" w:rsidRPr="000D3AD4" w:rsidRDefault="00DD275F" w:rsidP="003E7707">
      <w:pPr>
        <w:spacing w:after="0"/>
        <w:contextualSpacing/>
        <w:rPr>
          <w:rFonts w:ascii="Lato Light" w:hAnsi="Lato Light"/>
        </w:rPr>
      </w:pPr>
    </w:p>
    <w:p w:rsidR="002F30B0" w:rsidRPr="000D3AD4" w:rsidRDefault="002F30B0" w:rsidP="004E339B">
      <w:pPr>
        <w:spacing w:after="0"/>
        <w:contextualSpacing/>
        <w:jc w:val="both"/>
        <w:rPr>
          <w:rFonts w:ascii="Lato Light" w:hAnsi="Lato Light"/>
          <w:sz w:val="24"/>
          <w:szCs w:val="24"/>
        </w:rPr>
      </w:pPr>
      <w:r w:rsidRPr="000D3AD4">
        <w:rPr>
          <w:rFonts w:ascii="Lato Light" w:hAnsi="Lato Light"/>
          <w:sz w:val="24"/>
          <w:szCs w:val="24"/>
        </w:rPr>
        <w:t xml:space="preserve">The ancestral Caddo lands </w:t>
      </w:r>
      <w:r w:rsidR="000D245A" w:rsidRPr="000D3AD4">
        <w:rPr>
          <w:rFonts w:ascii="Lato Light" w:hAnsi="Lato Light"/>
          <w:sz w:val="24"/>
          <w:szCs w:val="24"/>
        </w:rPr>
        <w:t>of</w:t>
      </w:r>
      <w:r w:rsidRPr="000D3AD4">
        <w:rPr>
          <w:rFonts w:ascii="Lato Light" w:hAnsi="Lato Light"/>
          <w:sz w:val="24"/>
          <w:szCs w:val="24"/>
        </w:rPr>
        <w:t xml:space="preserve"> northeast Texas </w:t>
      </w:r>
      <w:proofErr w:type="gramStart"/>
      <w:r w:rsidRPr="000D3AD4">
        <w:rPr>
          <w:rFonts w:ascii="Lato Light" w:hAnsi="Lato Light"/>
          <w:sz w:val="24"/>
          <w:szCs w:val="24"/>
        </w:rPr>
        <w:t>have long been touted</w:t>
      </w:r>
      <w:proofErr w:type="gramEnd"/>
      <w:r w:rsidRPr="000D3AD4">
        <w:rPr>
          <w:rFonts w:ascii="Lato Light" w:hAnsi="Lato Light"/>
          <w:sz w:val="24"/>
          <w:szCs w:val="24"/>
        </w:rPr>
        <w:t xml:space="preserve"> as </w:t>
      </w:r>
      <w:r w:rsidRPr="000D3AD4">
        <w:rPr>
          <w:rFonts w:ascii="Lato Light" w:hAnsi="Lato Light"/>
          <w:i/>
          <w:sz w:val="24"/>
          <w:szCs w:val="24"/>
        </w:rPr>
        <w:t>ceramic rich and lithic poor</w:t>
      </w:r>
      <w:r w:rsidRPr="000D3AD4">
        <w:rPr>
          <w:rFonts w:ascii="Lato Light" w:hAnsi="Lato Light"/>
          <w:sz w:val="24"/>
          <w:szCs w:val="24"/>
        </w:rPr>
        <w:t>, thus it comes as no surprise that the bulk of Caddo</w:t>
      </w:r>
      <w:r w:rsidR="000C5563" w:rsidRPr="000D3AD4">
        <w:rPr>
          <w:rFonts w:ascii="Lato Light" w:hAnsi="Lato Light"/>
          <w:sz w:val="24"/>
          <w:szCs w:val="24"/>
        </w:rPr>
        <w:t>-related</w:t>
      </w:r>
      <w:r w:rsidRPr="000D3AD4">
        <w:rPr>
          <w:rFonts w:ascii="Lato Light" w:hAnsi="Lato Light"/>
          <w:sz w:val="24"/>
          <w:szCs w:val="24"/>
        </w:rPr>
        <w:t xml:space="preserve"> research outputs remain</w:t>
      </w:r>
      <w:r w:rsidR="000D245A" w:rsidRPr="000D3AD4">
        <w:rPr>
          <w:rFonts w:ascii="Lato Light" w:hAnsi="Lato Light"/>
          <w:sz w:val="24"/>
          <w:szCs w:val="24"/>
        </w:rPr>
        <w:t xml:space="preserve"> focused </w:t>
      </w:r>
      <w:r w:rsidR="003B49C0" w:rsidRPr="000D3AD4">
        <w:rPr>
          <w:rFonts w:ascii="Lato Light" w:hAnsi="Lato Light"/>
          <w:sz w:val="24"/>
          <w:szCs w:val="24"/>
        </w:rPr>
        <w:t>up</w:t>
      </w:r>
      <w:r w:rsidRPr="000D3AD4">
        <w:rPr>
          <w:rFonts w:ascii="Lato Light" w:hAnsi="Lato Light"/>
          <w:sz w:val="24"/>
          <w:szCs w:val="24"/>
        </w:rPr>
        <w:t xml:space="preserve">on </w:t>
      </w:r>
      <w:r w:rsidR="000D245A" w:rsidRPr="000D3AD4">
        <w:rPr>
          <w:rFonts w:ascii="Lato Light" w:hAnsi="Lato Light"/>
          <w:sz w:val="24"/>
          <w:szCs w:val="24"/>
        </w:rPr>
        <w:t>ceramic studies</w:t>
      </w:r>
      <w:r w:rsidRPr="000D3AD4">
        <w:rPr>
          <w:rFonts w:ascii="Lato Light" w:hAnsi="Lato Light"/>
          <w:sz w:val="24"/>
          <w:szCs w:val="24"/>
        </w:rPr>
        <w:t>.</w:t>
      </w:r>
      <w:r w:rsidR="003B49C0" w:rsidRPr="000D3AD4">
        <w:rPr>
          <w:rFonts w:ascii="Lato Light" w:hAnsi="Lato Light"/>
          <w:sz w:val="24"/>
          <w:szCs w:val="24"/>
        </w:rPr>
        <w:t xml:space="preserve"> T</w:t>
      </w:r>
      <w:r w:rsidR="00956FDC" w:rsidRPr="000D3AD4">
        <w:rPr>
          <w:rFonts w:ascii="Lato Light" w:hAnsi="Lato Light"/>
          <w:sz w:val="24"/>
          <w:szCs w:val="24"/>
        </w:rPr>
        <w:t>here have</w:t>
      </w:r>
      <w:r w:rsidR="003B49C0" w:rsidRPr="000D3AD4">
        <w:rPr>
          <w:rFonts w:ascii="Lato Light" w:hAnsi="Lato Light"/>
          <w:sz w:val="24"/>
          <w:szCs w:val="24"/>
        </w:rPr>
        <w:t xml:space="preserve"> been no long-term basic research program</w:t>
      </w:r>
      <w:r w:rsidR="00956FDC" w:rsidRPr="000D3AD4">
        <w:rPr>
          <w:rFonts w:ascii="Lato Light" w:hAnsi="Lato Light"/>
          <w:sz w:val="24"/>
          <w:szCs w:val="24"/>
        </w:rPr>
        <w:t>s</w:t>
      </w:r>
      <w:r w:rsidR="003B49C0" w:rsidRPr="000D3AD4">
        <w:rPr>
          <w:rFonts w:ascii="Lato Light" w:hAnsi="Lato Light"/>
          <w:sz w:val="24"/>
          <w:szCs w:val="24"/>
        </w:rPr>
        <w:t xml:space="preserve"> related to developing and testing novel theories associated with Caddo stone tools outside the sphere of cultural resources management</w:t>
      </w:r>
      <w:r w:rsidR="003E61B1" w:rsidRPr="000D3AD4">
        <w:rPr>
          <w:rFonts w:ascii="Lato Light" w:hAnsi="Lato Light"/>
          <w:sz w:val="24"/>
          <w:szCs w:val="24"/>
        </w:rPr>
        <w:t xml:space="preserve"> (CRM)</w:t>
      </w:r>
      <w:r w:rsidR="003B49C0" w:rsidRPr="000D3AD4">
        <w:rPr>
          <w:rFonts w:ascii="Lato Light" w:hAnsi="Lato Light"/>
          <w:sz w:val="24"/>
          <w:szCs w:val="24"/>
        </w:rPr>
        <w:t>.</w:t>
      </w:r>
      <w:r w:rsidR="003E61B1" w:rsidRPr="000D3AD4">
        <w:rPr>
          <w:rFonts w:ascii="Lato Light" w:hAnsi="Lato Light"/>
          <w:sz w:val="24"/>
          <w:szCs w:val="24"/>
        </w:rPr>
        <w:t xml:space="preserve"> However, the applied research endeavors of the various CRM undertakings, and the push to make the corpus of that literature available digitally through the Index of Texas Archaeology (ITA), have provided a veritable wealth of descriptive data</w:t>
      </w:r>
      <w:r w:rsidR="004C6995" w:rsidRPr="000D3AD4">
        <w:rPr>
          <w:rFonts w:ascii="Lato Light" w:hAnsi="Lato Light"/>
          <w:sz w:val="24"/>
          <w:szCs w:val="24"/>
        </w:rPr>
        <w:t xml:space="preserve"> and metadata</w:t>
      </w:r>
      <w:r w:rsidR="003E61B1" w:rsidRPr="000D3AD4">
        <w:rPr>
          <w:rFonts w:ascii="Lato Light" w:hAnsi="Lato Light"/>
          <w:sz w:val="24"/>
          <w:szCs w:val="24"/>
        </w:rPr>
        <w:t xml:space="preserve">, which </w:t>
      </w:r>
      <w:proofErr w:type="gramStart"/>
      <w:r w:rsidR="003E61B1" w:rsidRPr="000D3AD4">
        <w:rPr>
          <w:rFonts w:ascii="Lato Light" w:hAnsi="Lato Light"/>
          <w:sz w:val="24"/>
          <w:szCs w:val="24"/>
        </w:rPr>
        <w:t>can be expeditiously harvested, aggregated, and integrated into large-scale meta-analyses</w:t>
      </w:r>
      <w:proofErr w:type="gramEnd"/>
      <w:r w:rsidR="00381E33" w:rsidRPr="000D3AD4">
        <w:rPr>
          <w:rFonts w:ascii="Lato Light" w:hAnsi="Lato Light"/>
          <w:sz w:val="24"/>
          <w:szCs w:val="24"/>
        </w:rPr>
        <w:t xml:space="preserve">. </w:t>
      </w:r>
    </w:p>
    <w:p w:rsidR="000C5563" w:rsidRPr="000D3AD4" w:rsidRDefault="000C5563" w:rsidP="004E339B">
      <w:pPr>
        <w:spacing w:after="0"/>
        <w:contextualSpacing/>
        <w:jc w:val="both"/>
        <w:rPr>
          <w:rFonts w:ascii="Lato Light" w:hAnsi="Lato Light"/>
          <w:sz w:val="24"/>
          <w:szCs w:val="24"/>
        </w:rPr>
      </w:pPr>
    </w:p>
    <w:p w:rsidR="000C5563" w:rsidRPr="000D3AD4" w:rsidRDefault="000C5563" w:rsidP="004E339B">
      <w:pPr>
        <w:spacing w:after="0"/>
        <w:contextualSpacing/>
        <w:jc w:val="both"/>
        <w:rPr>
          <w:rFonts w:ascii="Lato Light" w:hAnsi="Lato Light"/>
          <w:sz w:val="24"/>
          <w:szCs w:val="24"/>
        </w:rPr>
      </w:pPr>
      <w:r w:rsidRPr="000D3AD4">
        <w:rPr>
          <w:rFonts w:ascii="Lato Light" w:hAnsi="Lato Light"/>
          <w:sz w:val="24"/>
          <w:szCs w:val="24"/>
        </w:rPr>
        <w:t xml:space="preserve">As a means of capturing </w:t>
      </w:r>
      <w:r w:rsidR="0048389A" w:rsidRPr="000D3AD4">
        <w:rPr>
          <w:rFonts w:ascii="Lato Light" w:hAnsi="Lato Light"/>
          <w:sz w:val="24"/>
          <w:szCs w:val="24"/>
        </w:rPr>
        <w:t>the general</w:t>
      </w:r>
      <w:r w:rsidRPr="000D3AD4">
        <w:rPr>
          <w:rFonts w:ascii="Lato Light" w:hAnsi="Lato Light"/>
          <w:sz w:val="24"/>
          <w:szCs w:val="24"/>
        </w:rPr>
        <w:t xml:space="preserve"> range of raw materials and shapes, this initial study focused upon the</w:t>
      </w:r>
      <w:r w:rsidR="007F54E8" w:rsidRPr="000D3AD4">
        <w:rPr>
          <w:rFonts w:ascii="Lato Light" w:hAnsi="Lato Light"/>
          <w:sz w:val="24"/>
          <w:szCs w:val="24"/>
        </w:rPr>
        <w:t xml:space="preserve"> raw material, </w:t>
      </w:r>
      <w:r w:rsidR="005067C6" w:rsidRPr="000D3AD4">
        <w:rPr>
          <w:rFonts w:ascii="Lato Light" w:hAnsi="Lato Light"/>
          <w:sz w:val="24"/>
          <w:szCs w:val="24"/>
        </w:rPr>
        <w:t xml:space="preserve">burial </w:t>
      </w:r>
      <w:r w:rsidR="007F54E8" w:rsidRPr="000D3AD4">
        <w:rPr>
          <w:rFonts w:ascii="Lato Light" w:hAnsi="Lato Light"/>
          <w:sz w:val="24"/>
          <w:szCs w:val="24"/>
        </w:rPr>
        <w:t>context, time, geography, and</w:t>
      </w:r>
      <w:r w:rsidRPr="000D3AD4">
        <w:rPr>
          <w:rFonts w:ascii="Lato Light" w:hAnsi="Lato Light"/>
          <w:sz w:val="24"/>
          <w:szCs w:val="24"/>
        </w:rPr>
        <w:t xml:space="preserve"> morphology of Perdiz arrow points</w:t>
      </w:r>
      <w:r w:rsidR="0048389A" w:rsidRPr="000D3AD4">
        <w:rPr>
          <w:rFonts w:ascii="Lato Light" w:hAnsi="Lato Light"/>
          <w:sz w:val="24"/>
          <w:szCs w:val="24"/>
        </w:rPr>
        <w:t xml:space="preserve">, which are ubiquitous across the </w:t>
      </w:r>
      <w:r w:rsidR="00870339" w:rsidRPr="000D3AD4">
        <w:rPr>
          <w:rFonts w:ascii="Lato Light" w:hAnsi="Lato Light"/>
          <w:sz w:val="24"/>
          <w:szCs w:val="24"/>
        </w:rPr>
        <w:t>ancestral Caddo territory in northeast Texas</w:t>
      </w:r>
      <w:r w:rsidR="00956FDC" w:rsidRPr="000D3AD4">
        <w:rPr>
          <w:rFonts w:ascii="Lato Light" w:hAnsi="Lato Light"/>
          <w:sz w:val="24"/>
          <w:szCs w:val="24"/>
        </w:rPr>
        <w:t xml:space="preserve">. </w:t>
      </w:r>
      <w:r w:rsidR="00F20734" w:rsidRPr="000D3AD4">
        <w:rPr>
          <w:rFonts w:ascii="Lato Light" w:hAnsi="Lato Light"/>
          <w:sz w:val="24"/>
          <w:szCs w:val="24"/>
        </w:rPr>
        <w:t xml:space="preserve">The aim of this study is to evaluate whether there are appreciable in shape for Perdiz points manufactured from different raw materials, recovered in or out of </w:t>
      </w:r>
      <w:r w:rsidR="00F34BD2" w:rsidRPr="000D3AD4">
        <w:rPr>
          <w:rFonts w:ascii="Lato Light" w:hAnsi="Lato Light"/>
          <w:sz w:val="24"/>
          <w:szCs w:val="24"/>
        </w:rPr>
        <w:t xml:space="preserve">Caddo </w:t>
      </w:r>
      <w:r w:rsidR="00F20734" w:rsidRPr="000D3AD4">
        <w:rPr>
          <w:rFonts w:ascii="Lato Light" w:hAnsi="Lato Light"/>
          <w:sz w:val="24"/>
          <w:szCs w:val="24"/>
        </w:rPr>
        <w:t xml:space="preserve">burial contexts, </w:t>
      </w:r>
      <w:r w:rsidR="00F61C3B" w:rsidRPr="000D3AD4">
        <w:rPr>
          <w:rFonts w:ascii="Lato Light" w:hAnsi="Lato Light"/>
          <w:sz w:val="24"/>
          <w:szCs w:val="24"/>
        </w:rPr>
        <w:t>and among</w:t>
      </w:r>
      <w:r w:rsidR="00F34BD2" w:rsidRPr="000D3AD4">
        <w:rPr>
          <w:rFonts w:ascii="Lato Light" w:hAnsi="Lato Light"/>
          <w:sz w:val="24"/>
          <w:szCs w:val="24"/>
        </w:rPr>
        <w:t xml:space="preserve"> the temporal periods. </w:t>
      </w:r>
    </w:p>
    <w:p w:rsidR="00F36884" w:rsidRPr="000D3AD4" w:rsidRDefault="00F36884" w:rsidP="004E339B">
      <w:pPr>
        <w:spacing w:after="0"/>
        <w:contextualSpacing/>
        <w:jc w:val="both"/>
        <w:rPr>
          <w:rFonts w:ascii="Lato Light" w:hAnsi="Lato Light"/>
          <w:sz w:val="24"/>
          <w:szCs w:val="24"/>
        </w:rPr>
      </w:pPr>
    </w:p>
    <w:p w:rsidR="001D164A" w:rsidRPr="000D3AD4" w:rsidRDefault="001D164A" w:rsidP="004E339B">
      <w:pPr>
        <w:spacing w:after="0"/>
        <w:contextualSpacing/>
        <w:jc w:val="both"/>
        <w:rPr>
          <w:rFonts w:ascii="Lato Light" w:hAnsi="Lato Light"/>
          <w:sz w:val="24"/>
          <w:szCs w:val="24"/>
        </w:rPr>
      </w:pPr>
      <w:r w:rsidRPr="000D3AD4">
        <w:rPr>
          <w:rFonts w:ascii="Lato Light" w:hAnsi="Lato Light"/>
          <w:sz w:val="24"/>
          <w:szCs w:val="24"/>
        </w:rPr>
        <w:t>Reading:</w:t>
      </w:r>
    </w:p>
    <w:p w:rsidR="00F36884" w:rsidRPr="000D3AD4" w:rsidRDefault="0030055D"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Discussion of what attributes influence lithic artefact form </w:t>
      </w:r>
      <w:r w:rsidR="001D164A" w:rsidRPr="000D3AD4">
        <w:rPr>
          <w:rFonts w:ascii="Lato Light" w:hAnsi="Lato Light"/>
          <w:sz w:val="24"/>
          <w:szCs w:val="24"/>
        </w:rPr>
        <w:fldChar w:fldCharType="begin"/>
      </w:r>
      <w:r w:rsidR="001D164A" w:rsidRPr="000D3AD4">
        <w:rPr>
          <w:rFonts w:ascii="Lato Light" w:hAnsi="Lato Light"/>
          <w:sz w:val="24"/>
          <w:szCs w:val="24"/>
        </w:rPr>
        <w:instrText xml:space="preserve"> ADDIN EN.CITE &lt;EndNote&gt;&lt;Cite&gt;&lt;Author&gt;Eren&lt;/Author&gt;&lt;Year&gt;2011&lt;/Year&gt;&lt;RecNum&gt;21014&lt;/RecNum&gt;&lt;DisplayText&gt;(Eren, et al. 2011)&lt;/DisplayText&gt;&lt;record&gt;&lt;rec-number&gt;21014&lt;/rec-number&gt;&lt;foreign-keys&gt;&lt;key app="EN" db-id="wttdfprdqd5vsae0rw9xwts5zvpwxs5t05fw" timestamp="1602378424" guid="6995ddda-7a5f-4cad-a165-8f6556aa326a"&gt;21014&lt;/key&gt;&lt;key app="ENWeb" db-id=""&gt;0&lt;/key&gt;&lt;/foreign-keys&gt;&lt;ref-type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001D164A" w:rsidRPr="000D3AD4">
        <w:rPr>
          <w:rFonts w:ascii="Lato Light" w:hAnsi="Lato Light"/>
          <w:sz w:val="24"/>
          <w:szCs w:val="24"/>
        </w:rPr>
        <w:fldChar w:fldCharType="separate"/>
      </w:r>
      <w:r w:rsidR="001D164A" w:rsidRPr="000D3AD4">
        <w:rPr>
          <w:rFonts w:ascii="Lato Light" w:hAnsi="Lato Light"/>
          <w:noProof/>
          <w:sz w:val="24"/>
          <w:szCs w:val="24"/>
        </w:rPr>
        <w:t>(</w:t>
      </w:r>
      <w:hyperlink w:anchor="_ENREF_6" w:tooltip="Eren, 2011 #21014" w:history="1">
        <w:r w:rsidR="000D3AD4" w:rsidRPr="000D3AD4">
          <w:rPr>
            <w:rStyle w:val="Hyperlink"/>
            <w:rFonts w:ascii="Lato Light" w:hAnsi="Lato Light"/>
          </w:rPr>
          <w:t>Eren, et al. 2011</w:t>
        </w:r>
      </w:hyperlink>
      <w:r w:rsidR="001D164A" w:rsidRPr="000D3AD4">
        <w:rPr>
          <w:rFonts w:ascii="Lato Light" w:hAnsi="Lato Light"/>
          <w:noProof/>
          <w:sz w:val="24"/>
          <w:szCs w:val="24"/>
        </w:rPr>
        <w:t>)</w:t>
      </w:r>
      <w:r w:rsidR="001D164A" w:rsidRPr="000D3AD4">
        <w:rPr>
          <w:rFonts w:ascii="Lato Light" w:hAnsi="Lato Light"/>
          <w:sz w:val="24"/>
          <w:szCs w:val="24"/>
        </w:rPr>
        <w:fldChar w:fldCharType="end"/>
      </w:r>
    </w:p>
    <w:p w:rsidR="00F36884"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Fracture predictability and durability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&lt;EndNote&gt;&lt;Cite&gt;&lt;Author&gt;Braun&lt;/Author&gt;&lt;Year&gt;2009&lt;/Year&gt;&lt;RecNum&gt;21015&lt;/RecNum&gt;&lt;DisplayText&gt;(Braun, et al. 2009)&lt;/DisplayText&gt;&lt;record&gt;&lt;rec-number&gt;21015&lt;/rec-number&gt;&lt;foreign-keys&gt;&lt;key app="EN" db-id="wttdfprdqd5vsae0rw9xwts5zvpwxs5t05fw" timestamp="1602378424" guid="11f6f579-fbfe-481e-93fd-298691c5cbea"&gt;21015&lt;/key&gt;&lt;key app="ENWeb" db-id=""&gt;0&lt;/key&gt;&lt;/foreign-keys&gt;&lt;ref-type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 w:tooltip="Braun, 2009 #21015" w:history="1">
        <w:r w:rsidR="000D3AD4" w:rsidRPr="000D3AD4">
          <w:rPr>
            <w:rStyle w:val="Hyperlink"/>
            <w:rFonts w:ascii="Lato Light" w:hAnsi="Lato Light"/>
          </w:rPr>
          <w:t>Braun, et al. 2009</w:t>
        </w:r>
      </w:hyperlink>
      <w:r w:rsidRPr="000D3AD4">
        <w:rPr>
          <w:rFonts w:ascii="Lato Light" w:hAnsi="Lato Light"/>
          <w:noProof/>
          <w:sz w:val="24"/>
          <w:szCs w:val="24"/>
        </w:rPr>
        <w:t>)</w:t>
      </w:r>
      <w:r w:rsidRPr="000D3AD4">
        <w:rPr>
          <w:rFonts w:ascii="Lato Light" w:hAnsi="Lato Light"/>
          <w:sz w:val="24"/>
          <w:szCs w:val="24"/>
        </w:rPr>
        <w:fldChar w:fldCharType="end"/>
      </w:r>
    </w:p>
    <w:p w:rsidR="000C5563"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quality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&lt;EndNote&gt;&lt;Cite&gt;&lt;Author&gt;Brantingham&lt;/Author&gt;&lt;Year&gt;2000&lt;/Year&gt;&lt;RecNum&gt;3770&lt;/RecNum&gt;&lt;DisplayText&gt;(Brantingham, et al. 2000)&lt;/DisplayText&gt;&lt;record&gt;&lt;rec-number&gt;3770&lt;/rec-number&gt;&lt;foreign-keys&gt;&lt;key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 w:tooltip="Brantingham, 2000 #3770" w:history="1">
        <w:r w:rsidR="000D3AD4" w:rsidRPr="000D3AD4">
          <w:rPr>
            <w:rStyle w:val="Hyperlink"/>
            <w:rFonts w:ascii="Lato Light" w:hAnsi="Lato Light"/>
          </w:rPr>
          <w:t>Brantingham, et al. 2000</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Role of raw material differences in shape variation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&lt;EndNote&gt;&lt;Cite&gt;&lt;Author&gt;Eren&lt;/Author&gt;&lt;Year&gt;2014&lt;/Year&gt;&lt;RecNum&gt;1779&lt;/RecNum&gt;&lt;DisplayText&gt;(Eren, et al. 2014)&lt;/DisplayText&gt;&lt;record&gt;&lt;rec-number&gt;1779&lt;/rec-number&gt;&lt;foreign-keys&gt;&lt;key app="EN" db-id="wttdfprdqd5vsae0rw9xwts5zvpwxs5t05fw" timestamp="1495460824" guid="ee157904-1706-4f01-b5c0-d21e24e4eb16"&gt;1779&lt;/key&gt;&lt;key app="ENWeb" db-id=""&gt;0&lt;/key&gt;&lt;/foreign-keys&gt;&lt;ref-type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7" w:tooltip="Eren, 2014 #1779" w:history="1">
        <w:r w:rsidR="000D3AD4" w:rsidRPr="000D3AD4">
          <w:rPr>
            <w:rStyle w:val="Hyperlink"/>
            <w:rFonts w:ascii="Lato Light" w:hAnsi="Lato Light"/>
          </w:rPr>
          <w:t>Eren, et al. 2014</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selectivity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&lt;EndNote&gt;&lt;Cite&gt;&lt;Author&gt;Goldman-Neuman&lt;/Author&gt;&lt;Year&gt;2012&lt;/Year&gt;&lt;RecNum&gt;21021&lt;/RecNum&gt;&lt;DisplayText&gt;(Goldman-Neuman and Hovers 2012)&lt;/DisplayText&gt;&lt;record&gt;&lt;rec-number&gt;21021&lt;/rec-number&gt;&lt;foreign-keys&gt;&lt;key app="EN" db-id="wttdfprdqd5vsae0rw9xwts5zvpwxs5t05fw" timestamp="1602378446" guid="499e875b-92d6-448e-9a27-ee16ae52f788"&gt;21021&lt;/key&gt;&lt;key app="ENWeb" db-id=""&gt;0&lt;/key&gt;&lt;/foreign-keys&gt;&lt;ref-type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Evol&lt;/full-title&gt;&lt;abbr-1&gt;Journal of human evolution&lt;/abbr-1&gt;&lt;/periodical&gt;&lt;pages&gt;353-66&lt;/pages&gt;&lt;volume&gt;62&lt;/volume&gt;&lt;number&gt;3&lt;/number&gt;&lt;edition&gt;2011/07/12&lt;/edition&gt;&lt;keywords&gt;&lt;keyword&gt;Animals&lt;/keyword&gt;&lt;keyword&gt;Anthropology,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0" w:tooltip="Goldman-Neuman, 2012 #21021" w:history="1">
        <w:r w:rsidR="000D3AD4" w:rsidRPr="000D3AD4">
          <w:rPr>
            <w:rStyle w:val="Hyperlink"/>
            <w:rFonts w:ascii="Lato Light" w:hAnsi="Lato Light"/>
          </w:rPr>
          <w:t>Goldman-Neuman and Hovers 2012</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Flake shape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&lt;EndNote&gt;&lt;Cite&gt;&lt;Author&gt;Gurtov&lt;/Author&gt;&lt;Year&gt;2015&lt;/Year&gt;&lt;RecNum&gt;11520&lt;/RecNum&gt;&lt;DisplayText&gt;(Gurtov, et al. 2015)&lt;/DisplayText&gt;&lt;record&gt;&lt;rec-number&gt;11520&lt;/rec-number&gt;&lt;foreign-keys&gt;&lt;key app="EN" db-id="wttdfprdqd5vsae0rw9xwts5zvpwxs5t05fw" timestamp="1509717337" guid="25b843ca-a39d-4a81-8e2d-7c2987e15c7c"&gt;11520&lt;/key&gt;&lt;key app="ENWeb" db-id=""&gt;0&lt;/key&gt;&lt;/foreign-keys&gt;&lt;ref-type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2" w:tooltip="Gurtov, 2015 #11520" w:history="1">
        <w:r w:rsidR="000D3AD4" w:rsidRPr="000D3AD4">
          <w:rPr>
            <w:rStyle w:val="Hyperlink"/>
            <w:rFonts w:ascii="Lato Light" w:hAnsi="Lato Light"/>
          </w:rPr>
          <w:t>Gurtov, et al. 2015</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Reduction continuums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&lt;EndNote&gt;&lt;Cite&gt;&lt;Author&gt;Hiscock&lt;/Author&gt;&lt;Year&gt;2005&lt;/Year&gt;&lt;RecNum&gt;4219&lt;/RecNum&gt;&lt;DisplayText&gt;(Hiscock and Attenbrow 2005)&lt;/DisplayText&gt;&lt;record&gt;&lt;rec-number&gt;4219&lt;/rec-number&gt;&lt;foreign-keys&gt;&lt;key app="EN" db-id="wttdfprdqd5vsae0rw9xwts5zvpwxs5t05fw" timestamp="1495462254" guid="d2727252-ad6b-4e88-a35a-9da16a93a6f4"&gt;4219&lt;/key&gt;&lt;key app="ENWeb" db-id=""&gt;0&lt;/key&gt;&lt;/foreign-keys&gt;&lt;ref-type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3" w:tooltip="Hiscock, 2005 #4219" w:history="1">
        <w:r w:rsidR="000D3AD4" w:rsidRPr="000D3AD4">
          <w:rPr>
            <w:rStyle w:val="Hyperlink"/>
            <w:rFonts w:ascii="Lato Light" w:hAnsi="Lato Light"/>
          </w:rPr>
          <w:t>Hiscock and Attenbrow 2005</w:t>
        </w:r>
      </w:hyperlink>
      <w:r w:rsidRPr="000D3AD4">
        <w:rPr>
          <w:rFonts w:ascii="Lato Light" w:hAnsi="Lato Light"/>
          <w:noProof/>
          <w:sz w:val="24"/>
          <w:szCs w:val="24"/>
        </w:rPr>
        <w:t>)</w:t>
      </w:r>
      <w:r w:rsidRPr="000D3AD4">
        <w:rPr>
          <w:rFonts w:ascii="Lato Light" w:hAnsi="Lato Light"/>
          <w:sz w:val="24"/>
          <w:szCs w:val="24"/>
        </w:rPr>
        <w:fldChar w:fldCharType="end"/>
      </w:r>
    </w:p>
    <w:p w:rsidR="00B61D9C" w:rsidRPr="000D3AD4" w:rsidRDefault="00B61D9C"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Mental templates/mechanics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&lt;EndNote&gt;&lt;Cite&gt;&lt;Author&gt;Monnier&lt;/Author&gt;&lt;Year&gt;2007&lt;/Year&gt;&lt;RecNum&gt;21033&lt;/RecNum&gt;&lt;DisplayText&gt;(Monnier 2007)&lt;/DisplayText&gt;&lt;record&gt;&lt;rec-number&gt;21033&lt;/rec-number&gt;&lt;foreign-keys&gt;&lt;key app="EN" db-id="wttdfprdqd5vsae0rw9xwts5zvpwxs5t05fw" timestamp="1602378528" guid="57b7b470-ac9b-4978-97b6-25141c3d8f17"&gt;21033&lt;/key&gt;&lt;key app="ENWeb" db-id=""&gt;0&lt;/key&gt;&lt;/foreign-keys&gt;&lt;ref-type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21" w:tooltip="Monnier, 2007 #21033" w:history="1">
        <w:r w:rsidR="000D3AD4" w:rsidRPr="000D3AD4">
          <w:rPr>
            <w:rStyle w:val="Hyperlink"/>
            <w:rFonts w:ascii="Lato Light" w:hAnsi="Lato Light"/>
          </w:rPr>
          <w:t>Monnier 2007</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Style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&lt;EndNote&gt;&lt;Cite&gt;&lt;Author&gt;Sackett&lt;/Author&gt;&lt;Year&gt;1982&lt;/Year&gt;&lt;RecNum&gt;4196&lt;/RecNum&gt;&lt;DisplayText&gt;(Sackett 1982)&lt;/DisplayText&gt;&lt;record&gt;&lt;rec-number&gt;4196&lt;/rec-number&gt;&lt;foreign-keys&gt;&lt;key app="EN" db-id="wttdfprdqd5vsae0rw9xwts5zvpwxs5t05fw" timestamp="1495462090" guid="3a2283f4-5954-480b-aa69-47e4579cecd5"&gt;4196&lt;/key&gt;&lt;key app="ENWeb" db-id=""&gt;0&lt;/key&gt;&lt;/foreign-keys&gt;&lt;ref-type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1" w:tooltip="Sackett, 1982 #4196" w:history="1">
        <w:r w:rsidR="000D3AD4" w:rsidRPr="000D3AD4">
          <w:rPr>
            <w:rStyle w:val="Hyperlink"/>
            <w:rFonts w:ascii="Lato Light" w:hAnsi="Lato Light"/>
          </w:rPr>
          <w:t>Sackett 1982</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Manufacturing traditions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&lt;EndNote&gt;&lt;Cite&gt;&lt;Author&gt;Schillinger&lt;/Author&gt;&lt;Year&gt;2016&lt;/Year&gt;&lt;RecNum&gt;20787&lt;/RecNum&gt;&lt;DisplayText&gt;(Schillinger, et al. 2016)&lt;/DisplayText&gt;&lt;record&gt;&lt;rec-number&gt;20787&lt;/rec-number&gt;&lt;foreign-keys&gt;&lt;key app="EN" db-id="wttdfprdqd5vsae0rw9xwts5zvpwxs5t05fw" timestamp="1556030372" guid="40b1ea21-4278-4ea8-bb41-e3378499bff0"&gt;20787&lt;/key&gt;&lt;key app="ENWeb" db-id=""&gt;0&lt;/key&gt;&lt;/foreign-keys&gt;&lt;ref-type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3" w:tooltip="Schillinger, 2016 #20787" w:history="1">
        <w:r w:rsidR="000D3AD4" w:rsidRPr="000D3AD4">
          <w:rPr>
            <w:rStyle w:val="Hyperlink"/>
            <w:rFonts w:ascii="Lato Light" w:hAnsi="Lato Light"/>
          </w:rPr>
          <w:t>Schillinger, et al. 2016</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Expedient behavior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&lt;EndNote&gt;&lt;Cite&gt;&lt;Author&gt;Vaquero&lt;/Author&gt;&lt;Year&gt;2017&lt;/Year&gt;&lt;RecNum&gt;20783&lt;/RecNum&gt;&lt;DisplayText&gt;(Vaquero and Romagnoli 2017)&lt;/DisplayText&gt;&lt;record&gt;&lt;rec-number&gt;20783&lt;/rec-number&gt;&lt;foreign-keys&gt;&lt;key app="EN" db-id="wttdfprdqd5vsae0rw9xwts5zvpwxs5t05fw" timestamp="1556030368" guid="956b0d48-6719-480b-af0a-4499b7a71965"&gt;20783&lt;/key&gt;&lt;key app="ENWeb" db-id=""&gt;0&lt;/key&gt;&lt;/foreign-keys&gt;&lt;ref-type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7" w:tooltip="Vaquero, 2017 #20783" w:history="1">
        <w:r w:rsidRPr="000D3AD4">
          <w:rPr>
            <w:rStyle w:val="Hyperlink"/>
            <w:rFonts w:ascii="Lato Light" w:hAnsi="Lato Light"/>
          </w:rPr>
          <w:t>Vaquero and Romagnoli 2017</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selection + gravity model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&lt;EndNote&gt;&lt;Cite&gt;&lt;Author&gt;Wilson&lt;/Author&gt;&lt;Year&gt;2007&lt;/Year&gt;&lt;RecNum&gt;3795&lt;/RecNum&gt;&lt;DisplayText&gt;(Wilson 2007)&lt;/DisplayText&gt;&lt;record&gt;&lt;rec-number&gt;3795&lt;/rec-number&gt;&lt;foreign-keys&gt;&lt;key app="EN" db-id="wttdfprdqd5vsae0rw9xwts5zvpwxs5t05fw" timestamp="1495461242" guid="0135fea9-d942-45d0-9c18-a67bca4fc2b9"&gt;3795&lt;/key&gt;&lt;key app="ENWeb" db-id=""&gt;0&lt;/key&gt;&lt;/foreign-keys&gt;&lt;ref-type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9" w:tooltip="Wilson, 2007 #3795" w:history="1">
        <w:r w:rsidRPr="000D3AD4">
          <w:rPr>
            <w:rStyle w:val="Hyperlink"/>
            <w:rFonts w:ascii="Lato Light" w:hAnsi="Lato Light"/>
          </w:rPr>
          <w:t>Wilson 2007</w:t>
        </w:r>
      </w:hyperlink>
      <w:r w:rsidRPr="000D3AD4">
        <w:rPr>
          <w:rFonts w:ascii="Lato Light" w:hAnsi="Lato Light"/>
          <w:noProof/>
          <w:sz w:val="24"/>
          <w:szCs w:val="24"/>
        </w:rPr>
        <w:t>)</w:t>
      </w:r>
      <w:r w:rsidRPr="000D3AD4">
        <w:rPr>
          <w:rFonts w:ascii="Lato Light" w:hAnsi="Lato Light"/>
          <w:sz w:val="24"/>
          <w:szCs w:val="24"/>
        </w:rPr>
        <w:fldChar w:fldCharType="end"/>
      </w:r>
    </w:p>
    <w:bookmarkStart w:id="0" w:name="_GoBack"/>
    <w:p w:rsidR="00F36884" w:rsidRPr="000D3AD4" w:rsidRDefault="00F36884" w:rsidP="00F36884">
      <w:pPr>
        <w:spacing w:after="0"/>
        <w:contextualSpacing/>
        <w:jc w:val="center"/>
        <w:rPr>
          <w:rFonts w:ascii="Lato Light" w:hAnsi="Lato Light"/>
          <w:sz w:val="24"/>
          <w:szCs w:val="24"/>
        </w:rPr>
      </w:pPr>
      <w:r w:rsidRPr="000D3AD4">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45pt;height:277.15pt" o:ole="">
            <v:imagedata r:id="rId5" o:title=""/>
          </v:shape>
          <o:OLEObject Type="Embed" ProgID="Acrobat.Document.DC" ShapeID="_x0000_i1025" DrawAspect="Content" ObjectID="_1664345718" r:id="rId6"/>
        </w:object>
      </w:r>
      <w:bookmarkEnd w:id="0"/>
    </w:p>
    <w:p w:rsidR="00F36884" w:rsidRPr="000D3AD4" w:rsidRDefault="00F36884" w:rsidP="00F36884">
      <w:pPr>
        <w:spacing w:after="0"/>
        <w:contextualSpacing/>
        <w:jc w:val="center"/>
        <w:rPr>
          <w:rFonts w:ascii="Lato Light" w:hAnsi="Lato Light"/>
          <w:sz w:val="20"/>
          <w:szCs w:val="20"/>
        </w:rPr>
      </w:pPr>
      <w:r w:rsidRPr="000D3AD4">
        <w:rPr>
          <w:rFonts w:ascii="Lato Light" w:hAnsi="Lato Light"/>
          <w:sz w:val="20"/>
          <w:szCs w:val="20"/>
        </w:rPr>
        <w:t xml:space="preserve">Figure map. Location of Texas counties (centroids) where sites are located. </w:t>
      </w:r>
      <w:r w:rsidRPr="000D3AD4">
        <w:rPr>
          <w:rFonts w:ascii="Lato Light" w:hAnsi="Lato Light"/>
          <w:i/>
          <w:sz w:val="20"/>
          <w:szCs w:val="20"/>
        </w:rPr>
        <w:t>Double click image to view in full resolution.</w:t>
      </w:r>
    </w:p>
    <w:p w:rsidR="003E7707" w:rsidRPr="000D3AD4" w:rsidRDefault="003E7707" w:rsidP="00122EA2">
      <w:pPr>
        <w:spacing w:after="0"/>
        <w:contextualSpacing/>
        <w:jc w:val="center"/>
        <w:rPr>
          <w:rFonts w:ascii="Lato Light" w:hAnsi="Lato Light"/>
        </w:rPr>
      </w:pPr>
    </w:p>
    <w:p w:rsidR="0084208E" w:rsidRPr="000D3AD4" w:rsidRDefault="00122EA2" w:rsidP="00122EA2">
      <w:pPr>
        <w:spacing w:after="0"/>
        <w:contextualSpacing/>
        <w:jc w:val="center"/>
        <w:rPr>
          <w:rFonts w:ascii="Lato Light" w:hAnsi="Lato Light"/>
          <w:sz w:val="24"/>
          <w:szCs w:val="24"/>
        </w:rPr>
      </w:pPr>
      <w:r w:rsidRPr="000D3AD4">
        <w:rPr>
          <w:rFonts w:ascii="Lato Light" w:hAnsi="Lato Light"/>
          <w:sz w:val="24"/>
          <w:szCs w:val="24"/>
        </w:rPr>
        <w:t xml:space="preserve">PERDIZ </w:t>
      </w:r>
      <w:r w:rsidR="009F484E" w:rsidRPr="000D3AD4">
        <w:rPr>
          <w:rFonts w:ascii="Lato Light" w:hAnsi="Lato Light"/>
          <w:sz w:val="24"/>
          <w:szCs w:val="24"/>
        </w:rPr>
        <w:t xml:space="preserve">ARROW POINT </w:t>
      </w:r>
      <w:r w:rsidRPr="000D3AD4">
        <w:rPr>
          <w:rFonts w:ascii="Lato Light" w:hAnsi="Lato Light"/>
          <w:sz w:val="24"/>
          <w:szCs w:val="24"/>
        </w:rPr>
        <w:t>SAMPLE</w:t>
      </w:r>
    </w:p>
    <w:p w:rsidR="00E1192C" w:rsidRPr="000D3AD4" w:rsidRDefault="00E1192C" w:rsidP="00E1192C">
      <w:pPr>
        <w:spacing w:after="0"/>
        <w:contextualSpacing/>
        <w:rPr>
          <w:rFonts w:ascii="Lato Light" w:hAnsi="Lato Light"/>
          <w:sz w:val="24"/>
          <w:szCs w:val="24"/>
        </w:rPr>
      </w:pPr>
    </w:p>
    <w:p w:rsidR="00B64964" w:rsidRPr="000D3AD4" w:rsidRDefault="001D78CD" w:rsidP="00B64964">
      <w:pPr>
        <w:spacing w:after="0"/>
        <w:contextualSpacing/>
        <w:jc w:val="both"/>
        <w:rPr>
          <w:rFonts w:ascii="Lato Light" w:hAnsi="Lato Light"/>
          <w:sz w:val="24"/>
          <w:szCs w:val="24"/>
        </w:rPr>
      </w:pPr>
      <w:r w:rsidRPr="000D3AD4">
        <w:rPr>
          <w:rFonts w:ascii="Lato Light" w:hAnsi="Lato Light"/>
          <w:sz w:val="24"/>
          <w:szCs w:val="24"/>
        </w:rPr>
        <w:t>The Perdiz sample used in this analysis comes from Camp, Harrison, Nacogdoches, San Augustine, Smith, and Shelby counties</w:t>
      </w:r>
      <w:r w:rsidR="00B64964" w:rsidRPr="000D3AD4">
        <w:rPr>
          <w:rFonts w:ascii="Lato Light" w:hAnsi="Lato Light"/>
          <w:sz w:val="24"/>
          <w:szCs w:val="24"/>
        </w:rPr>
        <w:t xml:space="preserve">, and consists of whole/intact Perdiz arrow points from 10 sites across the southern Caddo area, </w:t>
      </w:r>
      <w:r w:rsidR="00022489" w:rsidRPr="000D3AD4">
        <w:rPr>
          <w:rFonts w:ascii="Lato Light" w:hAnsi="Lato Light"/>
          <w:sz w:val="24"/>
          <w:szCs w:val="24"/>
        </w:rPr>
        <w:t xml:space="preserve">which were </w:t>
      </w:r>
      <w:r w:rsidR="00B64964" w:rsidRPr="000D3AD4">
        <w:rPr>
          <w:rFonts w:ascii="Lato Light" w:hAnsi="Lato Light"/>
          <w:sz w:val="24"/>
          <w:szCs w:val="24"/>
        </w:rPr>
        <w:t xml:space="preserve">manufactured using chert, jasper, quartzite, and silicified wood (Figure int1:a). </w:t>
      </w:r>
      <w:r w:rsidR="00022489" w:rsidRPr="000D3AD4">
        <w:rPr>
          <w:rFonts w:ascii="Lato Light" w:hAnsi="Lato Light"/>
          <w:sz w:val="24"/>
          <w:szCs w:val="24"/>
        </w:rPr>
        <w:t>Raw material</w:t>
      </w:r>
      <w:r w:rsidR="00652FD3" w:rsidRPr="000D3AD4">
        <w:rPr>
          <w:rFonts w:ascii="Lato Light" w:hAnsi="Lato Light"/>
          <w:sz w:val="24"/>
          <w:szCs w:val="24"/>
        </w:rPr>
        <w:t xml:space="preserve"> distributions differ among the sites where chert occurs across the greatest geography</w:t>
      </w:r>
      <w:r w:rsidR="006E6CB6" w:rsidRPr="000D3AD4">
        <w:rPr>
          <w:rFonts w:ascii="Lato Light" w:hAnsi="Lato Light"/>
          <w:sz w:val="24"/>
          <w:szCs w:val="24"/>
        </w:rPr>
        <w:t xml:space="preserve"> (Figure int1</w:t>
      </w:r>
      <w:proofErr w:type="gramStart"/>
      <w:r w:rsidR="006E6CB6" w:rsidRPr="000D3AD4">
        <w:rPr>
          <w:rFonts w:ascii="Lato Light" w:hAnsi="Lato Light"/>
          <w:sz w:val="24"/>
          <w:szCs w:val="24"/>
        </w:rPr>
        <w:t>:a</w:t>
      </w:r>
      <w:proofErr w:type="gramEnd"/>
      <w:r w:rsidR="006E6CB6" w:rsidRPr="000D3AD4">
        <w:rPr>
          <w:rFonts w:ascii="Lato Light" w:hAnsi="Lato Light"/>
          <w:sz w:val="24"/>
          <w:szCs w:val="24"/>
        </w:rPr>
        <w:t>)</w:t>
      </w:r>
      <w:r w:rsidR="00652FD3" w:rsidRPr="000D3AD4">
        <w:rPr>
          <w:rFonts w:ascii="Lato Light" w:hAnsi="Lato Light"/>
          <w:sz w:val="24"/>
          <w:szCs w:val="24"/>
        </w:rPr>
        <w:t>. Use of quartzite and jasper w</w:t>
      </w:r>
      <w:r w:rsidR="006E6CB6" w:rsidRPr="000D3AD4">
        <w:rPr>
          <w:rFonts w:ascii="Lato Light" w:hAnsi="Lato Light"/>
          <w:sz w:val="24"/>
          <w:szCs w:val="24"/>
        </w:rPr>
        <w:t xml:space="preserve">ere limited to Camp County, where jasper Perdiz </w:t>
      </w:r>
      <w:r w:rsidR="00D610A4" w:rsidRPr="000D3AD4">
        <w:rPr>
          <w:rFonts w:ascii="Lato Light" w:hAnsi="Lato Light"/>
          <w:sz w:val="24"/>
          <w:szCs w:val="24"/>
        </w:rPr>
        <w:t xml:space="preserve">arrow </w:t>
      </w:r>
      <w:r w:rsidR="006E6CB6" w:rsidRPr="000D3AD4">
        <w:rPr>
          <w:rFonts w:ascii="Lato Light" w:hAnsi="Lato Light"/>
          <w:sz w:val="24"/>
          <w:szCs w:val="24"/>
        </w:rPr>
        <w:t xml:space="preserve">points were recovered only </w:t>
      </w:r>
      <w:r w:rsidR="00945B10" w:rsidRPr="000D3AD4">
        <w:rPr>
          <w:rFonts w:ascii="Lato Light" w:hAnsi="Lato Light"/>
          <w:sz w:val="24"/>
          <w:szCs w:val="24"/>
        </w:rPr>
        <w:t>at</w:t>
      </w:r>
      <w:r w:rsidR="006E6CB6" w:rsidRPr="000D3AD4">
        <w:rPr>
          <w:rFonts w:ascii="Lato Light" w:hAnsi="Lato Light"/>
          <w:sz w:val="24"/>
          <w:szCs w:val="24"/>
        </w:rPr>
        <w:t xml:space="preserve"> </w:t>
      </w:r>
      <w:r w:rsidR="00022489" w:rsidRPr="000D3AD4">
        <w:rPr>
          <w:rFonts w:ascii="Lato Light" w:hAnsi="Lato Light"/>
          <w:sz w:val="24"/>
          <w:szCs w:val="24"/>
        </w:rPr>
        <w:t xml:space="preserve">the </w:t>
      </w:r>
      <w:r w:rsidR="006E6CB6" w:rsidRPr="000D3AD4">
        <w:rPr>
          <w:rFonts w:ascii="Lato Light" w:hAnsi="Lato Light"/>
          <w:sz w:val="24"/>
          <w:szCs w:val="24"/>
        </w:rPr>
        <w:t>Tuck Carpenter</w:t>
      </w:r>
      <w:r w:rsidR="00022489" w:rsidRPr="000D3AD4">
        <w:rPr>
          <w:rFonts w:ascii="Lato Light" w:hAnsi="Lato Light"/>
          <w:sz w:val="24"/>
          <w:szCs w:val="24"/>
        </w:rPr>
        <w:t xml:space="preserve"> site</w:t>
      </w:r>
      <w:r w:rsidR="006E6CB6" w:rsidRPr="000D3AD4">
        <w:rPr>
          <w:rFonts w:ascii="Lato Light" w:hAnsi="Lato Light"/>
          <w:sz w:val="24"/>
          <w:szCs w:val="24"/>
        </w:rPr>
        <w:t xml:space="preserve"> (41CP5) (Figure int1</w:t>
      </w:r>
      <w:proofErr w:type="gramStart"/>
      <w:r w:rsidR="006E6CB6" w:rsidRPr="000D3AD4">
        <w:rPr>
          <w:rFonts w:ascii="Lato Light" w:hAnsi="Lato Light"/>
          <w:sz w:val="24"/>
          <w:szCs w:val="24"/>
        </w:rPr>
        <w:t>:a</w:t>
      </w:r>
      <w:proofErr w:type="gramEnd"/>
      <w:r w:rsidR="006E6CB6" w:rsidRPr="000D3AD4">
        <w:rPr>
          <w:rFonts w:ascii="Lato Light" w:hAnsi="Lato Light"/>
          <w:sz w:val="24"/>
          <w:szCs w:val="24"/>
        </w:rPr>
        <w:t xml:space="preserve">). Silicified wood was </w:t>
      </w:r>
      <w:r w:rsidR="00C3410F" w:rsidRPr="000D3AD4">
        <w:rPr>
          <w:rFonts w:ascii="Lato Light" w:hAnsi="Lato Light"/>
          <w:sz w:val="24"/>
          <w:szCs w:val="24"/>
        </w:rPr>
        <w:t>employed</w:t>
      </w:r>
      <w:r w:rsidR="006E6CB6" w:rsidRPr="000D3AD4">
        <w:rPr>
          <w:rFonts w:ascii="Lato Light" w:hAnsi="Lato Light"/>
          <w:sz w:val="24"/>
          <w:szCs w:val="24"/>
        </w:rPr>
        <w:t xml:space="preserve"> for Perdiz manufacture in Nacogdoches and Shelby Counties; however, </w:t>
      </w:r>
      <w:r w:rsidR="00C3410F" w:rsidRPr="000D3AD4">
        <w:rPr>
          <w:rFonts w:ascii="Lato Light" w:hAnsi="Lato Light"/>
          <w:sz w:val="24"/>
          <w:szCs w:val="24"/>
        </w:rPr>
        <w:t>Washington Square Mound (41NA49) is the only burial context where silicified wood Perdiz points have been recovered (Figure int1</w:t>
      </w:r>
      <w:proofErr w:type="gramStart"/>
      <w:r w:rsidR="00C3410F" w:rsidRPr="000D3AD4">
        <w:rPr>
          <w:rFonts w:ascii="Lato Light" w:hAnsi="Lato Light"/>
          <w:sz w:val="24"/>
          <w:szCs w:val="24"/>
        </w:rPr>
        <w:t>:a</w:t>
      </w:r>
      <w:proofErr w:type="gramEnd"/>
      <w:r w:rsidR="00C3410F" w:rsidRPr="000D3AD4">
        <w:rPr>
          <w:rFonts w:ascii="Lato Light" w:hAnsi="Lato Light"/>
          <w:sz w:val="24"/>
          <w:szCs w:val="24"/>
        </w:rPr>
        <w:t xml:space="preserve">). </w:t>
      </w:r>
      <w:r w:rsidR="00B64964" w:rsidRPr="000D3AD4">
        <w:rPr>
          <w:rFonts w:ascii="Lato Light" w:hAnsi="Lato Light"/>
          <w:sz w:val="24"/>
          <w:szCs w:val="24"/>
        </w:rPr>
        <w:t xml:space="preserve">While the full range of </w:t>
      </w:r>
      <w:r w:rsidR="00BF171C" w:rsidRPr="000D3AD4">
        <w:rPr>
          <w:rFonts w:ascii="Lato Light" w:hAnsi="Lato Light"/>
          <w:sz w:val="24"/>
          <w:szCs w:val="24"/>
        </w:rPr>
        <w:t xml:space="preserve">these </w:t>
      </w:r>
      <w:r w:rsidR="00B64964" w:rsidRPr="000D3AD4">
        <w:rPr>
          <w:rFonts w:ascii="Lato Light" w:hAnsi="Lato Light"/>
          <w:sz w:val="24"/>
          <w:szCs w:val="24"/>
        </w:rPr>
        <w:t xml:space="preserve">raw materials </w:t>
      </w:r>
      <w:r w:rsidR="00BF171C" w:rsidRPr="000D3AD4">
        <w:rPr>
          <w:rFonts w:ascii="Lato Light" w:hAnsi="Lato Light"/>
          <w:sz w:val="24"/>
          <w:szCs w:val="24"/>
        </w:rPr>
        <w:t>were used</w:t>
      </w:r>
      <w:r w:rsidR="00B64964" w:rsidRPr="000D3AD4">
        <w:rPr>
          <w:rFonts w:ascii="Lato Light" w:hAnsi="Lato Light"/>
          <w:sz w:val="24"/>
          <w:szCs w:val="24"/>
        </w:rPr>
        <w:t xml:space="preserve"> in Caddo burials, only chert and silicified wood points were </w:t>
      </w:r>
      <w:r w:rsidR="00BF171C" w:rsidRPr="000D3AD4">
        <w:rPr>
          <w:rFonts w:ascii="Lato Light" w:hAnsi="Lato Light"/>
          <w:sz w:val="24"/>
          <w:szCs w:val="24"/>
        </w:rPr>
        <w:t>found to occur</w:t>
      </w:r>
      <w:r w:rsidR="00B64964" w:rsidRPr="000D3AD4">
        <w:rPr>
          <w:rFonts w:ascii="Lato Light" w:hAnsi="Lato Light"/>
          <w:sz w:val="24"/>
          <w:szCs w:val="24"/>
        </w:rPr>
        <w:t xml:space="preserve"> outside of burial contexts (Figure int1:b). Raw materials also differ through the Middle, Late, and Historic Caddo periods, where chert and silicified wood are </w:t>
      </w:r>
      <w:r w:rsidR="00BF171C" w:rsidRPr="000D3AD4">
        <w:rPr>
          <w:rFonts w:ascii="Lato Light" w:hAnsi="Lato Light"/>
          <w:sz w:val="24"/>
          <w:szCs w:val="24"/>
        </w:rPr>
        <w:t xml:space="preserve">present throughout all </w:t>
      </w:r>
      <w:r w:rsidR="00022489" w:rsidRPr="000D3AD4">
        <w:rPr>
          <w:rFonts w:ascii="Lato Light" w:hAnsi="Lato Light"/>
          <w:sz w:val="24"/>
          <w:szCs w:val="24"/>
        </w:rPr>
        <w:t xml:space="preserve">three </w:t>
      </w:r>
      <w:r w:rsidR="00BF171C" w:rsidRPr="000D3AD4">
        <w:rPr>
          <w:rFonts w:ascii="Lato Light" w:hAnsi="Lato Light"/>
          <w:sz w:val="24"/>
          <w:szCs w:val="24"/>
        </w:rPr>
        <w:t xml:space="preserve">periods; </w:t>
      </w:r>
      <w:r w:rsidR="00022489" w:rsidRPr="000D3AD4">
        <w:rPr>
          <w:rFonts w:ascii="Lato Light" w:hAnsi="Lato Light"/>
          <w:sz w:val="24"/>
          <w:szCs w:val="24"/>
        </w:rPr>
        <w:t>while</w:t>
      </w:r>
      <w:r w:rsidR="00BF171C" w:rsidRPr="000D3AD4">
        <w:rPr>
          <w:rFonts w:ascii="Lato Light" w:hAnsi="Lato Light"/>
          <w:sz w:val="24"/>
          <w:szCs w:val="24"/>
        </w:rPr>
        <w:t xml:space="preserve"> </w:t>
      </w:r>
      <w:r w:rsidR="00B64964" w:rsidRPr="000D3AD4">
        <w:rPr>
          <w:rFonts w:ascii="Lato Light" w:hAnsi="Lato Light"/>
          <w:sz w:val="24"/>
          <w:szCs w:val="24"/>
        </w:rPr>
        <w:t xml:space="preserve">jasper and quartzite </w:t>
      </w:r>
      <w:r w:rsidR="00022489" w:rsidRPr="000D3AD4">
        <w:rPr>
          <w:rFonts w:ascii="Lato Light" w:hAnsi="Lato Light"/>
          <w:sz w:val="24"/>
          <w:szCs w:val="24"/>
        </w:rPr>
        <w:t>occur</w:t>
      </w:r>
      <w:r w:rsidR="00BF171C" w:rsidRPr="000D3AD4">
        <w:rPr>
          <w:rFonts w:ascii="Lato Light" w:hAnsi="Lato Light"/>
          <w:sz w:val="24"/>
          <w:szCs w:val="24"/>
        </w:rPr>
        <w:t xml:space="preserve"> only in</w:t>
      </w:r>
      <w:r w:rsidR="00B64964" w:rsidRPr="000D3AD4">
        <w:rPr>
          <w:rFonts w:ascii="Lato Light" w:hAnsi="Lato Light"/>
          <w:sz w:val="24"/>
          <w:szCs w:val="24"/>
        </w:rPr>
        <w:t xml:space="preserve"> Middle Caddo </w:t>
      </w:r>
      <w:r w:rsidR="00945B10" w:rsidRPr="000D3AD4">
        <w:rPr>
          <w:rFonts w:ascii="Lato Light" w:hAnsi="Lato Light"/>
          <w:sz w:val="24"/>
          <w:szCs w:val="24"/>
        </w:rPr>
        <w:t xml:space="preserve">mortuary </w:t>
      </w:r>
      <w:r w:rsidR="00B64964" w:rsidRPr="000D3AD4">
        <w:rPr>
          <w:rFonts w:ascii="Lato Light" w:hAnsi="Lato Light"/>
          <w:sz w:val="24"/>
          <w:szCs w:val="24"/>
        </w:rPr>
        <w:t xml:space="preserve">contexts (Figure int1:c). Radiocarbon and relative dates are discussed in more detail below; however, the median of that temporal range was used to assign the Perdiz points to the appropriate temporal period (Middle Caddo, A.D. 1200-1450; Late Caddo, A.D. 1450-1680; and Historic Caddo, A.D. 1680+) (Figure int1:d). </w:t>
      </w:r>
    </w:p>
    <w:p w:rsidR="00DD76A3" w:rsidRPr="000D3AD4" w:rsidRDefault="00DD76A3" w:rsidP="00B64964">
      <w:pPr>
        <w:spacing w:after="0"/>
        <w:contextualSpacing/>
        <w:jc w:val="both"/>
        <w:rPr>
          <w:rFonts w:ascii="Lato Light" w:hAnsi="Lato Light"/>
          <w:sz w:val="24"/>
          <w:szCs w:val="24"/>
        </w:rPr>
      </w:pPr>
    </w:p>
    <w:p w:rsidR="00DD76A3" w:rsidRPr="000D3AD4" w:rsidRDefault="00DD76A3" w:rsidP="00B64964">
      <w:pPr>
        <w:spacing w:after="0"/>
        <w:contextualSpacing/>
        <w:jc w:val="both"/>
        <w:rPr>
          <w:rFonts w:ascii="Lato Light" w:hAnsi="Lato Light"/>
          <w:sz w:val="24"/>
          <w:szCs w:val="24"/>
        </w:rPr>
      </w:pPr>
    </w:p>
    <w:p w:rsidR="00B64964" w:rsidRPr="000D3AD4" w:rsidRDefault="00B64964" w:rsidP="00B64964">
      <w:pPr>
        <w:spacing w:after="0"/>
        <w:contextualSpacing/>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r w:rsidRPr="000D3AD4">
        <w:rPr>
          <w:rFonts w:ascii="Lato Light" w:hAnsi="Lato Light"/>
          <w:sz w:val="24"/>
          <w:szCs w:val="24"/>
        </w:rPr>
        <w:object w:dxaOrig="15119" w:dyaOrig="18360">
          <v:shape id="_x0000_i1026" type="#_x0000_t75" style="width:463.9pt;height:564.45pt" o:ole="">
            <v:imagedata r:id="rId7" o:title=""/>
          </v:shape>
          <o:OLEObject Type="Embed" ProgID="Acrobat.Document.DC" ShapeID="_x0000_i1026" DrawAspect="Content" ObjectID="_1664345719" r:id="rId8"/>
        </w:object>
      </w:r>
    </w:p>
    <w:p w:rsidR="00B64964" w:rsidRPr="000D3AD4" w:rsidRDefault="00B64964" w:rsidP="00B64964">
      <w:pPr>
        <w:spacing w:after="0"/>
        <w:contextualSpacing/>
        <w:jc w:val="center"/>
        <w:rPr>
          <w:rFonts w:ascii="Lato Light" w:hAnsi="Lato Light"/>
          <w:sz w:val="20"/>
          <w:szCs w:val="20"/>
        </w:rPr>
      </w:pPr>
      <w:r w:rsidRPr="000D3AD4">
        <w:rPr>
          <w:rFonts w:ascii="Lato Light" w:hAnsi="Lato Light"/>
          <w:sz w:val="20"/>
          <w:szCs w:val="20"/>
        </w:rPr>
        <w:t xml:space="preserve">Figure int1. Raw materials a, by site; b, by mortuary context; c, by temporal period (Middle, Late, or Historic Caddo), and d, Temporal span of contexts in the Perdiz sample. </w:t>
      </w:r>
      <w:r w:rsidRPr="000D3AD4">
        <w:rPr>
          <w:rFonts w:ascii="Lato Light" w:hAnsi="Lato Light"/>
          <w:i/>
          <w:sz w:val="20"/>
          <w:szCs w:val="20"/>
        </w:rPr>
        <w:t>Double click image to view in full resolution.</w:t>
      </w:r>
    </w:p>
    <w:p w:rsidR="001D78CD" w:rsidRPr="000D3AD4" w:rsidRDefault="001D78CD" w:rsidP="00E1192C">
      <w:pPr>
        <w:spacing w:after="0"/>
        <w:contextualSpacing/>
        <w:rPr>
          <w:rFonts w:ascii="Lato Light" w:hAnsi="Lato Light"/>
          <w:sz w:val="24"/>
          <w:szCs w:val="24"/>
        </w:rPr>
      </w:pPr>
    </w:p>
    <w:p w:rsidR="00122EA2" w:rsidRPr="000D3AD4" w:rsidRDefault="00122EA2" w:rsidP="009A653B">
      <w:pPr>
        <w:spacing w:after="0"/>
        <w:contextualSpacing/>
        <w:jc w:val="both"/>
        <w:rPr>
          <w:rFonts w:ascii="Lato Light" w:hAnsi="Lato Light"/>
          <w:i/>
        </w:rPr>
      </w:pPr>
      <w:r w:rsidRPr="000D3AD4">
        <w:rPr>
          <w:rFonts w:ascii="Lato Light" w:hAnsi="Lato Light"/>
          <w:i/>
        </w:rPr>
        <w:lastRenderedPageBreak/>
        <w:t>41CP5, Tuck Carpenter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Tuck Carpenter site is a well-studied Late Caddo period Titus phase cemetery on Dry Creek in the Big Cypress Creek basin</w:t>
      </w:r>
      <w:r w:rsidR="00F470CF" w:rsidRPr="000D3AD4">
        <w:rPr>
          <w:rFonts w:ascii="Lato Light" w:hAnsi="Lato Light"/>
        </w:rPr>
        <w:t>, and</w:t>
      </w:r>
      <w:r w:rsidRPr="000D3AD4">
        <w:rPr>
          <w:rFonts w:ascii="Lato Light" w:hAnsi="Lato Light"/>
        </w:rPr>
        <w:t xml:space="preserve"> </w:t>
      </w:r>
      <w:r w:rsidR="00944EA4" w:rsidRPr="000D3AD4">
        <w:rPr>
          <w:rFonts w:ascii="Lato Light" w:hAnsi="Lato Light"/>
        </w:rPr>
        <w:t xml:space="preserve">was </w:t>
      </w:r>
      <w:r w:rsidR="00F470CF" w:rsidRPr="000D3AD4">
        <w:rPr>
          <w:rFonts w:ascii="Lato Light" w:hAnsi="Lato Light"/>
        </w:rPr>
        <w:t>occupied</w:t>
      </w:r>
      <w:r w:rsidR="00BE12B3" w:rsidRPr="000D3AD4">
        <w:rPr>
          <w:rFonts w:ascii="Lato Light" w:hAnsi="Lato Light"/>
        </w:rPr>
        <w:t xml:space="preserve"> by the Caddo</w:t>
      </w:r>
      <w:r w:rsidRPr="000D3AD4">
        <w:rPr>
          <w:rFonts w:ascii="Lato Light" w:hAnsi="Lato Light"/>
        </w:rPr>
        <w:t xml:space="preserve"> from the 15</w:t>
      </w:r>
      <w:r w:rsidRPr="000D3AD4">
        <w:rPr>
          <w:rFonts w:ascii="Lato Light" w:hAnsi="Lato Light"/>
          <w:vertAlign w:val="superscript"/>
        </w:rPr>
        <w:t>th</w:t>
      </w:r>
      <w:r w:rsidRPr="000D3AD4">
        <w:rPr>
          <w:rFonts w:ascii="Lato Light" w:hAnsi="Lato Light"/>
        </w:rPr>
        <w:t xml:space="preserve"> to the 17</w:t>
      </w:r>
      <w:r w:rsidRPr="000D3AD4">
        <w:rPr>
          <w:rFonts w:ascii="Lato Light" w:hAnsi="Lato Light"/>
          <w:vertAlign w:val="superscript"/>
        </w:rPr>
        <w:t>th</w:t>
      </w:r>
      <w:r w:rsidRPr="000D3AD4">
        <w:rPr>
          <w:rFonts w:ascii="Lato Light" w:hAnsi="Lato Light"/>
        </w:rPr>
        <w:t xml:space="preserve"> century A.D. </w:t>
      </w:r>
      <w:r w:rsidR="00BE12B3" w:rsidRPr="000D3AD4">
        <w:rPr>
          <w:rFonts w:ascii="Lato Light" w:hAnsi="Lato Light"/>
        </w:rPr>
        <w:t>B</w:t>
      </w:r>
      <w:r w:rsidRPr="000D3AD4">
        <w:rPr>
          <w:rFonts w:ascii="Lato Light" w:hAnsi="Lato Light"/>
        </w:rPr>
        <w:t>urials with Perdiz points are the earliest in the ce</w:t>
      </w:r>
      <w:r w:rsidR="00944EA4" w:rsidRPr="000D3AD4">
        <w:rPr>
          <w:rFonts w:ascii="Lato Light" w:hAnsi="Lato Light"/>
        </w:rPr>
        <w:t>metery, and likely date from</w:t>
      </w:r>
      <w:r w:rsidRPr="000D3AD4">
        <w:rPr>
          <w:rFonts w:ascii="Lato Light" w:hAnsi="Lato Light"/>
        </w:rPr>
        <w:t xml:space="preserve"> A.D. 1430-1500</w:t>
      </w:r>
      <w:r w:rsidR="00BE71A8" w:rsidRPr="000D3AD4">
        <w:rPr>
          <w:rFonts w:ascii="Lato Light" w:hAnsi="Lato Light"/>
        </w:rPr>
        <w:t xml:space="preserve"> </w:t>
      </w:r>
      <w:r w:rsidR="00BE71A8"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&lt;EndNote&gt;&lt;Cite&gt;&lt;Author&gt;Perttula&lt;/Author&gt;&lt;Year&gt;2017&lt;/Year&gt;&lt;RecNum&gt;21043&lt;/RecNum&gt;&lt;Pages&gt;197&lt;/Pages&gt;&lt;DisplayText&gt;(Perttula, et al. 2017:197)&lt;/DisplayText&gt;&lt;record&gt;&lt;rec-number&gt;21043&lt;/rec-number&gt;&lt;foreign-keys&gt;&lt;key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2017:197</w:t>
        </w:r>
      </w:hyperlink>
      <w:r w:rsidR="00F00C67" w:rsidRPr="000D3AD4">
        <w:rPr>
          <w:rFonts w:ascii="Lato Light" w:hAnsi="Lato Light"/>
          <w:noProof/>
        </w:rPr>
        <w:t>)</w:t>
      </w:r>
      <w:r w:rsidR="00BE71A8" w:rsidRPr="000D3AD4">
        <w:rPr>
          <w:rFonts w:ascii="Lato Light" w:hAnsi="Lato Light"/>
        </w:rPr>
        <w:fldChar w:fldCharType="end"/>
      </w:r>
      <w:r w:rsidRPr="000D3AD4">
        <w:rPr>
          <w:rFonts w:ascii="Lato Light" w:hAnsi="Lato Light"/>
        </w:rPr>
        <w:t xml:space="preserve">. A single radiocarbon date </w:t>
      </w:r>
      <w:proofErr w:type="gramStart"/>
      <w:r w:rsidR="001B6C12" w:rsidRPr="000D3AD4">
        <w:rPr>
          <w:rFonts w:ascii="Lato Light" w:hAnsi="Lato Light"/>
        </w:rPr>
        <w:t>was</w:t>
      </w:r>
      <w:r w:rsidRPr="000D3AD4">
        <w:rPr>
          <w:rFonts w:ascii="Lato Light" w:hAnsi="Lato Light"/>
        </w:rPr>
        <w:t xml:space="preserve"> obtained</w:t>
      </w:r>
      <w:proofErr w:type="gramEnd"/>
      <w:r w:rsidRPr="000D3AD4">
        <w:rPr>
          <w:rFonts w:ascii="Lato Light" w:hAnsi="Lato Light"/>
        </w:rPr>
        <w:t xml:space="preserve"> from Burial 10: 360 </w:t>
      </w:r>
      <w:r w:rsidRPr="000D3AD4">
        <w:rPr>
          <w:rFonts w:ascii="Lato Light" w:hAnsi="Lato Light"/>
          <w:u w:val="single"/>
        </w:rPr>
        <w:t>+</w:t>
      </w:r>
      <w:r w:rsidR="001B6C12" w:rsidRPr="000D3AD4">
        <w:rPr>
          <w:rFonts w:ascii="Lato Light" w:hAnsi="Lato Light"/>
        </w:rPr>
        <w:t xml:space="preserve"> 60 B.P. The</w:t>
      </w:r>
      <w:r w:rsidR="00F72832" w:rsidRPr="000D3AD4">
        <w:rPr>
          <w:rFonts w:ascii="Lato Light" w:hAnsi="Lato Light"/>
        </w:rPr>
        <w:t xml:space="preserve"> calibrated age </w:t>
      </w:r>
      <w:r w:rsidRPr="000D3AD4">
        <w:rPr>
          <w:rFonts w:ascii="Lato Light" w:hAnsi="Lato Light"/>
        </w:rPr>
        <w:t xml:space="preserve">range at </w:t>
      </w:r>
      <w:proofErr w:type="gramStart"/>
      <w:r w:rsidRPr="000D3AD4">
        <w:rPr>
          <w:rFonts w:ascii="Lato Light" w:hAnsi="Lato Light"/>
        </w:rPr>
        <w:t>2</w:t>
      </w:r>
      <w:proofErr w:type="gramEnd"/>
      <w:r w:rsidRPr="000D3AD4">
        <w:rPr>
          <w:rFonts w:ascii="Lato Light" w:hAnsi="Lato Light"/>
        </w:rPr>
        <w:t xml:space="preserve"> sigma is A.D. 1442-1646, with a median probability of A.D. 1546</w:t>
      </w:r>
      <w:r w:rsidR="006603E0" w:rsidRPr="000D3AD4">
        <w:rPr>
          <w:rFonts w:ascii="Lato Light" w:hAnsi="Lato Light"/>
        </w:rPr>
        <w:t xml:space="preserve"> (using </w:t>
      </w:r>
      <w:proofErr w:type="spellStart"/>
      <w:r w:rsidR="006603E0" w:rsidRPr="000D3AD4">
        <w:rPr>
          <w:rFonts w:ascii="Lato Light" w:hAnsi="Lato Light"/>
        </w:rPr>
        <w:t>INTCal</w:t>
      </w:r>
      <w:proofErr w:type="spellEnd"/>
      <w:r w:rsidR="006603E0" w:rsidRPr="000D3AD4">
        <w:rPr>
          <w:rFonts w:ascii="Lato Light" w:hAnsi="Lato Light"/>
        </w:rPr>
        <w:t xml:space="preserve"> 20 and </w:t>
      </w:r>
      <w:proofErr w:type="spellStart"/>
      <w:r w:rsidR="006603E0" w:rsidRPr="000D3AD4">
        <w:rPr>
          <w:rFonts w:ascii="Lato Light" w:hAnsi="Lato Light"/>
        </w:rPr>
        <w:t>Calib</w:t>
      </w:r>
      <w:proofErr w:type="spellEnd"/>
      <w:r w:rsidR="006603E0" w:rsidRPr="000D3AD4">
        <w:rPr>
          <w:rFonts w:ascii="Lato Light" w:hAnsi="Lato Light"/>
        </w:rPr>
        <w:t xml:space="preserve"> 8.20)</w:t>
      </w:r>
      <w:r w:rsidRPr="000D3AD4">
        <w:rPr>
          <w:rFonts w:ascii="Lato Light" w:hAnsi="Lato Light"/>
        </w:rPr>
        <w:t>.</w:t>
      </w:r>
    </w:p>
    <w:p w:rsidR="00122EA2" w:rsidRPr="000D3AD4" w:rsidRDefault="00122EA2" w:rsidP="009A653B">
      <w:pPr>
        <w:spacing w:after="0"/>
        <w:contextualSpacing/>
        <w:jc w:val="both"/>
        <w:rPr>
          <w:rFonts w:ascii="Lato Light" w:hAnsi="Lato Light"/>
        </w:rPr>
      </w:pPr>
    </w:p>
    <w:p w:rsidR="00122EA2" w:rsidRPr="000D3AD4" w:rsidRDefault="00BE12B3" w:rsidP="009A653B">
      <w:pPr>
        <w:spacing w:after="0"/>
        <w:contextualSpacing/>
        <w:jc w:val="both"/>
        <w:rPr>
          <w:rFonts w:ascii="Lato Light" w:hAnsi="Lato Light"/>
        </w:rPr>
      </w:pPr>
      <w:r w:rsidRPr="000D3AD4">
        <w:rPr>
          <w:rFonts w:ascii="Lato Light" w:hAnsi="Lato Light"/>
        </w:rPr>
        <w:t>Fifty seven Perdiz points have</w:t>
      </w:r>
      <w:r w:rsidR="00122EA2" w:rsidRPr="000D3AD4">
        <w:rPr>
          <w:rFonts w:ascii="Lato Light" w:hAnsi="Lato Light"/>
        </w:rPr>
        <w:t xml:space="preserve"> been recovered from burial features</w:t>
      </w:r>
      <w:r w:rsidRPr="000D3AD4">
        <w:rPr>
          <w:rFonts w:ascii="Lato Light" w:hAnsi="Lato Light"/>
        </w:rPr>
        <w:t xml:space="preserve"> at the Tuck Carpenter site</w:t>
      </w:r>
      <w:r w:rsidR="00392692" w:rsidRPr="000D3AD4">
        <w:rPr>
          <w:rFonts w:ascii="Lato Light" w:hAnsi="Lato Light"/>
        </w:rPr>
        <w:t xml:space="preserve"> </w:t>
      </w:r>
      <w:r w:rsidR="00392692"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 </w:instrText>
      </w:r>
      <w:r w:rsidR="00D610A4"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EN.CITE.DATA </w:instrText>
      </w:r>
      <w:r w:rsidR="00D610A4" w:rsidRPr="000D3AD4">
        <w:rPr>
          <w:rFonts w:ascii="Lato Light" w:hAnsi="Lato Light"/>
        </w:rPr>
      </w:r>
      <w:r w:rsidR="00D610A4" w:rsidRPr="000D3AD4">
        <w:rPr>
          <w:rFonts w:ascii="Lato Light" w:hAnsi="Lato Light"/>
        </w:rPr>
        <w:fldChar w:fldCharType="end"/>
      </w:r>
      <w:r w:rsidR="00392692" w:rsidRPr="000D3AD4">
        <w:rPr>
          <w:rFonts w:ascii="Lato Light" w:hAnsi="Lato Light"/>
        </w:rPr>
      </w:r>
      <w:r w:rsidR="00392692"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w:t>
        </w:r>
      </w:hyperlink>
      <w:r w:rsidR="005A0151" w:rsidRPr="000D3AD4">
        <w:rPr>
          <w:rFonts w:ascii="Lato Light" w:hAnsi="Lato Light"/>
          <w:noProof/>
        </w:rPr>
        <w:t xml:space="preserve">; </w:t>
      </w:r>
      <w:hyperlink w:anchor="_ENREF_45" w:tooltip="Turner, 1978 #5155" w:history="1">
        <w:r w:rsidR="000D3AD4" w:rsidRPr="000D3AD4">
          <w:rPr>
            <w:rStyle w:val="Hyperlink"/>
            <w:rFonts w:ascii="Lato Light" w:hAnsi="Lato Light"/>
          </w:rPr>
          <w:t>Turner 1978</w:t>
        </w:r>
      </w:hyperlink>
      <w:r w:rsidR="005A0151" w:rsidRPr="000D3AD4">
        <w:rPr>
          <w:rFonts w:ascii="Lato Light" w:hAnsi="Lato Light"/>
          <w:noProof/>
        </w:rPr>
        <w:t xml:space="preserve">, </w:t>
      </w:r>
      <w:hyperlink w:anchor="_ENREF_46" w:tooltip="Turner, 1992 #5156" w:history="1">
        <w:r w:rsidR="000D3AD4" w:rsidRPr="000D3AD4">
          <w:rPr>
            <w:rStyle w:val="Hyperlink"/>
            <w:rFonts w:ascii="Lato Light" w:hAnsi="Lato Light"/>
          </w:rPr>
          <w:t>1992</w:t>
        </w:r>
      </w:hyperlink>
      <w:r w:rsidR="005A0151" w:rsidRPr="000D3AD4">
        <w:rPr>
          <w:rFonts w:ascii="Lato Light" w:hAnsi="Lato Light"/>
          <w:noProof/>
        </w:rPr>
        <w:t>)</w:t>
      </w:r>
      <w:r w:rsidR="00392692" w:rsidRPr="000D3AD4">
        <w:rPr>
          <w:rFonts w:ascii="Lato Light" w:hAnsi="Lato Light"/>
        </w:rPr>
        <w:fldChar w:fldCharType="end"/>
      </w:r>
      <w:r w:rsidR="00122EA2" w:rsidRPr="000D3AD4">
        <w:rPr>
          <w:rFonts w:ascii="Lato Light" w:hAnsi="Lato Light"/>
        </w:rPr>
        <w:t xml:space="preserve">. A second collection from the site </w:t>
      </w:r>
      <w:r w:rsidR="00F470CF" w:rsidRPr="000D3AD4">
        <w:rPr>
          <w:rFonts w:ascii="Lato Light" w:hAnsi="Lato Light"/>
        </w:rPr>
        <w:t>includes</w:t>
      </w:r>
      <w:r w:rsidR="00122EA2" w:rsidRPr="000D3AD4">
        <w:rPr>
          <w:rFonts w:ascii="Lato Light" w:hAnsi="Lato Light"/>
        </w:rPr>
        <w:t xml:space="preserve"> an additional 18 Perdiz points from 13 of the burial features</w:t>
      </w:r>
      <w:r w:rsidRPr="000D3AD4">
        <w:rPr>
          <w:rFonts w:ascii="Lato Light" w:hAnsi="Lato Light"/>
        </w:rPr>
        <w:t xml:space="preserve"> </w:t>
      </w:r>
      <w:r w:rsidR="00122EA2" w:rsidRPr="000D3AD4">
        <w:rPr>
          <w:rFonts w:ascii="Lato Light" w:hAnsi="Lato Light"/>
        </w:rPr>
        <w:t xml:space="preserve"> made from Ogallala quartzite and local chert gravel sources; </w:t>
      </w:r>
      <w:r w:rsidRPr="000D3AD4">
        <w:rPr>
          <w:rFonts w:ascii="Lato Light" w:hAnsi="Lato Light"/>
        </w:rPr>
        <w:t>including one that was</w:t>
      </w:r>
      <w:r w:rsidR="00122EA2" w:rsidRPr="000D3AD4">
        <w:rPr>
          <w:rFonts w:ascii="Lato Light" w:hAnsi="Lato Light"/>
        </w:rPr>
        <w:t xml:space="preserve"> made from a non-local </w:t>
      </w:r>
      <w:proofErr w:type="spellStart"/>
      <w:r w:rsidR="00122EA2" w:rsidRPr="000D3AD4">
        <w:rPr>
          <w:rFonts w:ascii="Lato Light" w:hAnsi="Lato Light"/>
        </w:rPr>
        <w:t>novaculite</w:t>
      </w:r>
      <w:proofErr w:type="spellEnd"/>
      <w:r w:rsidR="00122EA2" w:rsidRPr="000D3AD4">
        <w:rPr>
          <w:rFonts w:ascii="Lato Light" w:hAnsi="Lato Light"/>
        </w:rPr>
        <w:t xml:space="preserve"> </w:t>
      </w:r>
      <w:r w:rsidR="00392692"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&lt;EndNote&gt;&lt;Cite&gt;&lt;Author&gt;Perttula&lt;/Author&gt;&lt;Year&gt;2017&lt;/Year&gt;&lt;RecNum&gt;21043&lt;/RecNum&gt;&lt;Pages&gt;Table 2&lt;/Pages&gt;&lt;DisplayText&gt;(Perttula, et al. 2017:Table 2)&lt;/DisplayText&gt;&lt;record&gt;&lt;rec-number&gt;21043&lt;/rec-number&gt;&lt;foreign-keys&gt;&lt;key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2017:Table 2</w:t>
        </w:r>
      </w:hyperlink>
      <w:r w:rsidR="00F00C67" w:rsidRPr="000D3AD4">
        <w:rPr>
          <w:rFonts w:ascii="Lato Light" w:hAnsi="Lato Light"/>
          <w:noProof/>
        </w:rPr>
        <w:t>)</w:t>
      </w:r>
      <w:r w:rsidR="00392692" w:rsidRPr="000D3AD4">
        <w:rPr>
          <w:rFonts w:ascii="Lato Light" w:hAnsi="Lato Light"/>
        </w:rPr>
        <w:fldChar w:fldCharType="end"/>
      </w:r>
      <w:r w:rsidR="00392692"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41CP12, Johns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Johns site is a Titus phase cemetery in the Prairie Creek valley in the Big Cypress Creek basin. </w:t>
      </w:r>
      <w:r w:rsidR="00A725CE" w:rsidRPr="000D3AD4">
        <w:rPr>
          <w:rFonts w:ascii="Lato Light" w:hAnsi="Lato Light"/>
        </w:rPr>
        <w:t>No radiocarbon</w:t>
      </w:r>
      <w:r w:rsidRPr="000D3AD4">
        <w:rPr>
          <w:rFonts w:ascii="Lato Light" w:hAnsi="Lato Light"/>
        </w:rPr>
        <w:t xml:space="preserve"> dates have been obtained from the site, but the </w:t>
      </w:r>
      <w:r w:rsidR="00A725CE" w:rsidRPr="000D3AD4">
        <w:rPr>
          <w:rFonts w:ascii="Lato Light" w:hAnsi="Lato Light"/>
        </w:rPr>
        <w:t>decorative motifs associated with</w:t>
      </w:r>
      <w:r w:rsidRPr="000D3AD4">
        <w:rPr>
          <w:rFonts w:ascii="Lato Light" w:hAnsi="Lato Light"/>
        </w:rPr>
        <w:t xml:space="preserve"> the ceramic vessels recovered </w:t>
      </w:r>
      <w:r w:rsidR="00A725CE" w:rsidRPr="000D3AD4">
        <w:rPr>
          <w:rFonts w:ascii="Lato Light" w:hAnsi="Lato Light"/>
        </w:rPr>
        <w:t>from</w:t>
      </w:r>
      <w:r w:rsidRPr="000D3AD4">
        <w:rPr>
          <w:rFonts w:ascii="Lato Light" w:hAnsi="Lato Light"/>
        </w:rPr>
        <w:t xml:space="preserve"> burials suggest</w:t>
      </w:r>
      <w:r w:rsidR="00A725CE" w:rsidRPr="000D3AD4">
        <w:rPr>
          <w:rFonts w:ascii="Lato Light" w:hAnsi="Lato Light"/>
        </w:rPr>
        <w:t xml:space="preserve"> that the cemetery was used </w:t>
      </w:r>
      <w:r w:rsidR="000C2515" w:rsidRPr="000D3AD4">
        <w:rPr>
          <w:rFonts w:ascii="Lato Light" w:hAnsi="Lato Light"/>
        </w:rPr>
        <w:t>from A.D</w:t>
      </w:r>
      <w:r w:rsidRPr="000D3AD4">
        <w:rPr>
          <w:rFonts w:ascii="Lato Light" w:hAnsi="Lato Light"/>
        </w:rPr>
        <w:t xml:space="preserve">. 1430-1600 </w:t>
      </w:r>
      <w:r w:rsidR="00E84AB2"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&lt;EndNote&gt;&lt;Cite&gt;&lt;Author&gt;Perttula&lt;/Author&gt;&lt;Year&gt;2010&lt;/Year&gt;&lt;RecNum&gt;3275&lt;/RecNum&gt;&lt;DisplayText&gt;(Perttula, Walters, et al. 2010b)&lt;/DisplayText&gt;&lt;record&gt;&lt;rec-number&gt;3275&lt;/rec-number&gt;&lt;foreign-keys&gt;&lt;key app="EN" db-id="wttdfprdqd5vsae0rw9xwts5zvpwxs5t05fw" timestamp="1495461084" guid="36da0de7-ba9f-4422-bdcd-12b416912661"&gt;3275&lt;/key&gt;&lt;/foreign-keys&gt;&lt;ref-type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0D3AD4">
        <w:rPr>
          <w:rFonts w:ascii="Lato Light" w:hAnsi="Lato Light"/>
        </w:rPr>
        <w:fldChar w:fldCharType="separate"/>
      </w:r>
      <w:r w:rsidR="00011246" w:rsidRPr="000D3AD4">
        <w:rPr>
          <w:rFonts w:ascii="Lato Light" w:hAnsi="Lato Light"/>
          <w:noProof/>
        </w:rPr>
        <w:t>(</w:t>
      </w:r>
      <w:hyperlink w:anchor="_ENREF_27" w:tooltip="Perttula, 2010 #3275" w:history="1">
        <w:r w:rsidR="000D3AD4" w:rsidRPr="000D3AD4">
          <w:rPr>
            <w:rStyle w:val="Hyperlink"/>
            <w:rFonts w:ascii="Lato Light" w:hAnsi="Lato Light"/>
          </w:rPr>
          <w:t>Perttula, Walters, et al. 2010b</w:t>
        </w:r>
      </w:hyperlink>
      <w:r w:rsidR="00011246" w:rsidRPr="000D3AD4">
        <w:rPr>
          <w:rFonts w:ascii="Lato Light" w:hAnsi="Lato Light"/>
          <w:noProof/>
        </w:rPr>
        <w:t>)</w:t>
      </w:r>
      <w:r w:rsidR="00E84AB2" w:rsidRPr="000D3AD4">
        <w:rPr>
          <w:rFonts w:ascii="Lato Light" w:hAnsi="Lato Light"/>
        </w:rPr>
        <w:fldChar w:fldCharType="end"/>
      </w:r>
      <w:r w:rsidRPr="000D3AD4">
        <w:rPr>
          <w:rFonts w:ascii="Lato Light" w:hAnsi="Lato Light"/>
        </w:rPr>
        <w:t xml:space="preserve">. Forty-eight Perdiz points </w:t>
      </w:r>
      <w:proofErr w:type="gramStart"/>
      <w:r w:rsidRPr="000D3AD4">
        <w:rPr>
          <w:rFonts w:ascii="Lato Light" w:hAnsi="Lato Light"/>
        </w:rPr>
        <w:t>were recovered</w:t>
      </w:r>
      <w:proofErr w:type="gramEnd"/>
      <w:r w:rsidRPr="000D3A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41CP20, B. J. Horton Site</w:t>
      </w:r>
    </w:p>
    <w:p w:rsidR="00122EA2" w:rsidRPr="000D3AD4" w:rsidRDefault="00122EA2" w:rsidP="009A653B">
      <w:pPr>
        <w:spacing w:after="0"/>
        <w:contextualSpacing/>
        <w:jc w:val="both"/>
        <w:rPr>
          <w:rFonts w:ascii="Lato Light" w:hAnsi="Lato Light"/>
          <w:b/>
        </w:rPr>
      </w:pPr>
    </w:p>
    <w:p w:rsidR="00122EA2" w:rsidRPr="000D3AD4" w:rsidRDefault="00122EA2" w:rsidP="00217179">
      <w:pPr>
        <w:rPr>
          <w:rFonts w:ascii="Lato Light" w:hAnsi="Lato Light"/>
        </w:rPr>
      </w:pPr>
      <w:r w:rsidRPr="000D3AD4">
        <w:rPr>
          <w:rFonts w:ascii="Lato Light" w:hAnsi="Lato Light"/>
        </w:rPr>
        <w:t xml:space="preserve">This ancestral Caddo cemetery in the Big Cypress Creek </w:t>
      </w:r>
      <w:r w:rsidR="00F56CDD" w:rsidRPr="000D3AD4">
        <w:rPr>
          <w:rFonts w:ascii="Lato Light" w:hAnsi="Lato Light"/>
        </w:rPr>
        <w:t>basin includes a</w:t>
      </w:r>
      <w:r w:rsidRPr="000D3AD4">
        <w:rPr>
          <w:rFonts w:ascii="Lato Light" w:hAnsi="Lato Light"/>
        </w:rPr>
        <w:t xml:space="preserve">t least 19 burials, </w:t>
      </w:r>
      <w:r w:rsidR="00217179" w:rsidRPr="000D3AD4">
        <w:rPr>
          <w:rFonts w:ascii="Lato Light" w:hAnsi="Lato Light"/>
        </w:rPr>
        <w:t>from which</w:t>
      </w:r>
      <w:r w:rsidRPr="000D3AD4">
        <w:rPr>
          <w:rFonts w:ascii="Lato Light" w:hAnsi="Lato Light"/>
        </w:rPr>
        <w:t xml:space="preserve"> two Perdiz points </w:t>
      </w:r>
      <w:r w:rsidR="00F56CDD" w:rsidRPr="000D3AD4">
        <w:rPr>
          <w:rFonts w:ascii="Lato Light" w:hAnsi="Lato Light"/>
        </w:rPr>
        <w:t xml:space="preserve">were recovered </w:t>
      </w:r>
      <w:r w:rsidR="00F24769"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&lt;EndNote&gt;&lt;Cite&gt;&lt;Author&gt;Perttula&lt;/Author&gt;&lt;Year&gt;2010&lt;/Year&gt;&lt;RecNum&gt;3274&lt;/RecNum&gt;&lt;Pages&gt;9&lt;/Pages&gt;&lt;DisplayText&gt;(Perttula, Walters, et al. 2010a:9)&lt;/DisplayText&gt;&lt;record&gt;&lt;rec-number&gt;3274&lt;/rec-number&gt;&lt;foreign-keys&gt;&lt;key app="EN" db-id="wttdfprdqd5vsae0rw9xwts5zvpwxs5t05fw" timestamp="1495461084" guid="6d398ea8-2896-4e19-ba33-c742b616bbec"&gt;3274&lt;/key&gt;&lt;/foreign-keys&gt;&lt;ref-type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0D3AD4">
        <w:rPr>
          <w:rFonts w:ascii="Lato Light" w:hAnsi="Lato Light"/>
        </w:rPr>
        <w:fldChar w:fldCharType="separate"/>
      </w:r>
      <w:r w:rsidR="00011246" w:rsidRPr="000D3AD4">
        <w:rPr>
          <w:rFonts w:ascii="Lato Light" w:hAnsi="Lato Light"/>
          <w:noProof/>
        </w:rPr>
        <w:t>(</w:t>
      </w:r>
      <w:hyperlink w:anchor="_ENREF_26" w:tooltip="Perttula, 2010 #3274" w:history="1">
        <w:r w:rsidR="000D3AD4" w:rsidRPr="000D3AD4">
          <w:rPr>
            <w:rStyle w:val="Hyperlink"/>
            <w:rFonts w:ascii="Lato Light" w:hAnsi="Lato Light"/>
          </w:rPr>
          <w:t>Perttula, Walters, et al. 2010a:9</w:t>
        </w:r>
      </w:hyperlink>
      <w:r w:rsidR="00011246" w:rsidRPr="000D3AD4">
        <w:rPr>
          <w:rFonts w:ascii="Lato Light" w:hAnsi="Lato Light"/>
          <w:noProof/>
        </w:rPr>
        <w:t>)</w:t>
      </w:r>
      <w:r w:rsidR="00F24769" w:rsidRPr="000D3AD4">
        <w:rPr>
          <w:rFonts w:ascii="Lato Light" w:hAnsi="Lato Light"/>
        </w:rPr>
        <w:fldChar w:fldCharType="end"/>
      </w:r>
      <w:r w:rsidRPr="000D3AD4">
        <w:rPr>
          <w:rFonts w:ascii="Lato Light" w:hAnsi="Lato Light"/>
        </w:rPr>
        <w:t>.</w:t>
      </w:r>
      <w:r w:rsidR="00217179" w:rsidRPr="000D3AD4">
        <w:rPr>
          <w:rFonts w:ascii="Lato Light" w:hAnsi="Lato Light"/>
        </w:rPr>
        <w:t xml:space="preserve"> </w:t>
      </w:r>
      <w:r w:rsidR="000C2515" w:rsidRPr="000D3AD4">
        <w:rPr>
          <w:rFonts w:ascii="Lato Light" w:hAnsi="Lato Light"/>
        </w:rPr>
        <w:t>Use</w:t>
      </w:r>
      <w:r w:rsidR="00217179" w:rsidRPr="000D3AD4">
        <w:rPr>
          <w:rFonts w:ascii="Lato Light" w:hAnsi="Lato Light"/>
        </w:rPr>
        <w:t xml:space="preserve"> of the cemetery </w:t>
      </w:r>
      <w:r w:rsidR="000C2515" w:rsidRPr="000D3AD4">
        <w:rPr>
          <w:rFonts w:ascii="Lato Light" w:hAnsi="Lato Light"/>
        </w:rPr>
        <w:t xml:space="preserve">by the Caddo </w:t>
      </w:r>
      <w:r w:rsidR="00217179" w:rsidRPr="000D3AD4">
        <w:rPr>
          <w:rFonts w:ascii="Lato Light" w:hAnsi="Lato Light"/>
        </w:rPr>
        <w:t>occurred</w:t>
      </w:r>
      <w:r w:rsidR="000C2515" w:rsidRPr="000D3AD4">
        <w:rPr>
          <w:rFonts w:ascii="Lato Light" w:hAnsi="Lato Light"/>
        </w:rPr>
        <w:t xml:space="preserve"> primarily</w:t>
      </w:r>
      <w:r w:rsidR="00217179" w:rsidRPr="000D3AD4">
        <w:rPr>
          <w:rFonts w:ascii="Lato Light" w:hAnsi="Lato Light"/>
        </w:rPr>
        <w:t xml:space="preserve"> between A.D. 1500-1550</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&lt;EndNote&gt;&lt;Cite&gt;&lt;Author&gt;Perttula&lt;/Author&gt;&lt;Year&gt;2014&lt;/Year&gt;&lt;RecNum&gt;21045&lt;/RecNum&gt;&lt;Pages&gt;494&lt;/Pages&gt;&lt;DisplayText&gt;(Perttula and Miller 2014:494)&lt;/DisplayText&gt;&lt;record&gt;&lt;rec-number&gt;21045&lt;/rec-number&gt;&lt;foreign-keys&gt;&lt;key app="EN" db-id="wttdfprdqd5vsae0rw9xwts5zvpwxs5t05fw" timestamp="1602754790" guid="9835f265-fa01-4256-8d7d-8ffffa3ab812"&gt;21045&lt;/key&gt;&lt;/foreign-keys&gt;&lt;ref-type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25" w:tooltip="Perttula, 2014 #21045" w:history="1">
        <w:r w:rsidR="000D3AD4" w:rsidRPr="000D3AD4">
          <w:rPr>
            <w:rStyle w:val="Hyperlink"/>
            <w:rFonts w:ascii="Lato Light" w:hAnsi="Lato Light"/>
          </w:rPr>
          <w:t>Perttula and Miller 2014:494</w:t>
        </w:r>
      </w:hyperlink>
      <w:r w:rsidR="00F24769" w:rsidRPr="000D3AD4">
        <w:rPr>
          <w:rFonts w:ascii="Lato Light" w:hAnsi="Lato Light"/>
          <w:noProof/>
        </w:rPr>
        <w:t>)</w:t>
      </w:r>
      <w:r w:rsidR="00F24769" w:rsidRPr="000D3AD4">
        <w:rPr>
          <w:rFonts w:ascii="Lato Light" w:hAnsi="Lato Light"/>
        </w:rPr>
        <w:fldChar w:fldCharType="end"/>
      </w:r>
      <w:r w:rsidR="00217179"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41HS15, Pine Tree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Pine Tree Mound site is a large Titus phase mound center with associated habitation deposits, family cemeteries, and a large community cemetery</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&lt;EndNote&gt;&lt;Cite&gt;&lt;Author&gt;Fields&lt;/Author&gt;&lt;Year&gt;2012&lt;/Year&gt;&lt;RecNum&gt;2008&lt;/RecNum&gt;&lt;DisplayText&gt;(Fields and Gadus 2012)&lt;/DisplayText&gt;&lt;record&gt;&lt;rec-number&gt;2008&lt;/rec-number&gt;&lt;foreign-keys&gt;&lt;key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Perdiz arrow points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68) represent 53 percent of the arrow points that could be typed from the site, most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&lt;EndNote&gt;&lt;Cite&gt;&lt;Author&gt;Fields&lt;/Author&gt;&lt;Year&gt;2012&lt;/Year&gt;&lt;RecNum&gt;2008&lt;/RecNum&gt;&lt;Pages&gt;566&lt;/Pages&gt;&lt;DisplayText&gt;(Fields and Gadus 2012:566)&lt;/DisplayText&gt;&lt;record&gt;&lt;rec-number&gt;2008&lt;/rec-number&gt;&lt;foreign-keys&gt;&lt;key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2012:566</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xml:space="preserve"> (Fields and Gadus 2012:566).</w:t>
      </w:r>
    </w:p>
    <w:p w:rsidR="00122EA2" w:rsidRPr="000D3AD4" w:rsidRDefault="00122EA2" w:rsidP="009A653B">
      <w:pPr>
        <w:spacing w:after="0"/>
        <w:contextualSpacing/>
        <w:jc w:val="both"/>
        <w:rPr>
          <w:rFonts w:ascii="Lato Light" w:hAnsi="Lato Light"/>
        </w:rPr>
      </w:pPr>
    </w:p>
    <w:p w:rsidR="00122EA2" w:rsidRPr="000D3AD4" w:rsidRDefault="00122EA2" w:rsidP="009A653B">
      <w:pPr>
        <w:spacing w:after="0"/>
        <w:contextualSpacing/>
        <w:jc w:val="both"/>
        <w:rPr>
          <w:rFonts w:ascii="Lato Light" w:hAnsi="Lato Light"/>
        </w:rPr>
      </w:pPr>
      <w:r w:rsidRPr="000D3AD4">
        <w:rPr>
          <w:rFonts w:ascii="Lato Light" w:hAnsi="Lato Light"/>
        </w:rPr>
        <w:t>There are 92 radiocarbon dates available from the Pine Tree Mound site</w:t>
      </w:r>
      <w:r w:rsidR="00F24769" w:rsidRPr="000D3AD4">
        <w:rPr>
          <w:rFonts w:ascii="Lato Light" w:hAnsi="Lato Light"/>
        </w:rPr>
        <w:t xml:space="preserve"> </w:t>
      </w:r>
      <w:r w:rsidR="00F24769"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&lt;EndNote&gt;&lt;Cite&gt;&lt;Author&gt;Fields&lt;/Author&gt;&lt;Year&gt;2012&lt;/Year&gt;&lt;RecNum&gt;2008&lt;/RecNum&gt;&lt;Pages&gt;Table 4.13&lt;/Pages&gt;&lt;DisplayText&gt;(Fields and Gadus 2012:Table 4.13; Selden Jr. and Perttula 2013:Table 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Jr.&lt;/Author&gt;&lt;Year&gt;2013&lt;/Year&gt;&lt;RecNum&gt;4683&lt;/RecNum&gt;&lt;Pages&gt;Table 2&lt;/Pages&gt;&lt;record&gt;&lt;rec-number&gt;4683&lt;/rec-number&gt;&lt;foreign-keys&gt;&lt;key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2012:Table 4.13</w:t>
        </w:r>
      </w:hyperlink>
      <w:r w:rsidR="005E36C7"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2013:Table 2</w:t>
        </w:r>
      </w:hyperlink>
      <w:r w:rsidR="005E36C7" w:rsidRPr="000D3AD4">
        <w:rPr>
          <w:rFonts w:ascii="Lato Light" w:hAnsi="Lato Light"/>
          <w:noProof/>
        </w:rPr>
        <w:t>)</w:t>
      </w:r>
      <w:r w:rsidR="00F24769" w:rsidRPr="000D3AD4">
        <w:rPr>
          <w:rFonts w:ascii="Lato Light" w:hAnsi="Lato Light"/>
        </w:rPr>
        <w:fldChar w:fldCharType="end"/>
      </w:r>
      <w:r w:rsidRPr="000D3AD4">
        <w:rPr>
          <w:rFonts w:ascii="Lato Light" w:hAnsi="Lato Light"/>
        </w:rPr>
        <w:t>. Most of the calibrated dates fall between A.D. 1451-1495 and A.D. 1397-1429</w:t>
      </w:r>
      <w:r w:rsidR="005E36C7"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&lt;EndNote&gt;&lt;Cite&gt;&lt;Author&gt;Selden Jr.&lt;/Author&gt;&lt;Year&gt;2013&lt;/Year&gt;&lt;RecNum&gt;4683&lt;/RecNum&gt;&lt;Pages&gt;Table 3&lt;/Pages&gt;&lt;DisplayText&gt;(Selden Jr. and Perttula 2013:Table 3)&lt;/DisplayText&gt;&lt;record&gt;&lt;rec-number&gt;4683&lt;/rec-number&gt;&lt;foreign-keys&gt;&lt;key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41" w:tooltip="Selden Jr., 2013 #4683" w:history="1">
        <w:r w:rsidR="000D3AD4" w:rsidRPr="000D3AD4">
          <w:rPr>
            <w:rStyle w:val="Hyperlink"/>
            <w:rFonts w:ascii="Lato Light" w:hAnsi="Lato Light"/>
          </w:rPr>
          <w:t>Selden Jr. and Perttula 2013:Table 3</w:t>
        </w:r>
      </w:hyperlink>
      <w:r w:rsidR="005E36C7" w:rsidRPr="000D3AD4">
        <w:rPr>
          <w:rFonts w:ascii="Lato Light" w:hAnsi="Lato Light"/>
          <w:noProof/>
        </w:rPr>
        <w:t>)</w:t>
      </w:r>
      <w:r w:rsidR="005E36C7" w:rsidRPr="000D3AD4">
        <w:rPr>
          <w:rFonts w:ascii="Lato Light" w:hAnsi="Lato Light"/>
        </w:rPr>
        <w:fldChar w:fldCharType="end"/>
      </w:r>
      <w:r w:rsidRPr="000D3AD4">
        <w:rPr>
          <w:rFonts w:ascii="Lato Light" w:hAnsi="Lato Light"/>
        </w:rPr>
        <w:t xml:space="preserve">, but calibrated age ranges suggest that the settlement “was established in the A.D. 1300s and persisted until at least the </w:t>
      </w:r>
      <w:proofErr w:type="spellStart"/>
      <w:r w:rsidRPr="000D3AD4">
        <w:rPr>
          <w:rFonts w:ascii="Lato Light" w:hAnsi="Lato Light"/>
        </w:rPr>
        <w:t>mid 1600s</w:t>
      </w:r>
      <w:proofErr w:type="spellEnd"/>
      <w:r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&lt;EndNote&gt;&lt;Cite&gt;&lt;Author&gt;Fields&lt;/Author&gt;&lt;Year&gt;2012&lt;/Year&gt;&lt;RecNum&gt;2008&lt;/RecNum&gt;&lt;Pages&gt;299&lt;/Pages&gt;&lt;DisplayText&gt;(Fields and Gadus 2012:299)&lt;/DisplayText&gt;&lt;record&gt;&lt;rec-number&gt;2008&lt;/rec-number&gt;&lt;foreign-keys&gt;&lt;key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2012:299</w:t>
        </w:r>
      </w:hyperlink>
      <w:r w:rsidR="005E36C7" w:rsidRPr="000D3AD4">
        <w:rPr>
          <w:rFonts w:ascii="Lato Light" w:hAnsi="Lato Light"/>
          <w:noProof/>
        </w:rPr>
        <w:t>)</w:t>
      </w:r>
      <w:r w:rsidR="005E36C7" w:rsidRPr="000D3AD4">
        <w:rPr>
          <w:rFonts w:ascii="Lato Light" w:hAnsi="Lato Light"/>
        </w:rPr>
        <w:fldChar w:fldCharType="end"/>
      </w:r>
      <w:r w:rsidR="00892C0B" w:rsidRPr="000D3AD4">
        <w:rPr>
          <w:rFonts w:ascii="Lato Light" w:hAnsi="Lato Light"/>
        </w:rPr>
        <w:t>.</w:t>
      </w:r>
    </w:p>
    <w:p w:rsidR="00122EA2" w:rsidRPr="000D3AD4" w:rsidRDefault="00122EA2" w:rsidP="009A653B">
      <w:pPr>
        <w:spacing w:after="0"/>
        <w:contextualSpacing/>
        <w:jc w:val="both"/>
        <w:rPr>
          <w:rFonts w:ascii="Lato Light" w:hAnsi="Lato Light"/>
          <w:i/>
        </w:rPr>
      </w:pPr>
      <w:r w:rsidRPr="000D3AD4">
        <w:rPr>
          <w:rFonts w:ascii="Lato Light" w:hAnsi="Lato Light"/>
          <w:i/>
        </w:rPr>
        <w:t>41NA49, Washington Square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Washington Square Mound site is</w:t>
      </w:r>
      <w:r w:rsidR="00DD34C8" w:rsidRPr="000D3AD4">
        <w:rPr>
          <w:rFonts w:ascii="Lato Light" w:hAnsi="Lato Light"/>
        </w:rPr>
        <w:t xml:space="preserve"> located</w:t>
      </w:r>
      <w:r w:rsidRPr="000D3AD4">
        <w:rPr>
          <w:rFonts w:ascii="Lato Light" w:hAnsi="Lato Light"/>
        </w:rPr>
        <w:t xml:space="preserve"> in the Angelina River basin and is a mound center with associated habitation deposits and a cemetery. Excavations in one mound uncovered two shaft tombs with abundant grave goods, but no Perdiz offerings</w:t>
      </w:r>
      <w:r w:rsidR="00011246" w:rsidRPr="000D3AD4">
        <w:rPr>
          <w:rFonts w:ascii="Lato Light" w:hAnsi="Lato Light"/>
        </w:rPr>
        <w:t xml:space="preserve"> </w:t>
      </w:r>
      <w:r w:rsidR="00011246"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&lt;EndNote&gt;&lt;Cite&gt;&lt;Author&gt;Corbin&lt;/Author&gt;&lt;Year&gt;1998&lt;/Year&gt;&lt;RecNum&gt;1489&lt;/RecNum&gt;&lt;DisplayText&gt;(Corbin and Hart 1998; Perttula, Walters, Nelson, et al. 2010)&lt;/DisplayText&gt;&lt;record&gt;&lt;rec-number&gt;1489&lt;/rec-number&gt;&lt;foreign-keys&gt;&lt;key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363&lt;/RecNum&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0D3AD4">
        <w:rPr>
          <w:rFonts w:ascii="Lato Light" w:hAnsi="Lato Light"/>
        </w:rPr>
        <w:fldChar w:fldCharType="separate"/>
      </w:r>
      <w:r w:rsidR="00011246"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w:t>
        </w:r>
      </w:hyperlink>
      <w:r w:rsidR="00011246" w:rsidRPr="000D3AD4">
        <w:rPr>
          <w:rFonts w:ascii="Lato Light" w:hAnsi="Lato Light"/>
          <w:noProof/>
        </w:rPr>
        <w:t xml:space="preserve">; </w:t>
      </w:r>
      <w:hyperlink w:anchor="_ENREF_28" w:tooltip="Perttula, 2010 #363" w:history="1">
        <w:r w:rsidR="000D3AD4" w:rsidRPr="000D3AD4">
          <w:rPr>
            <w:rStyle w:val="Hyperlink"/>
            <w:rFonts w:ascii="Lato Light" w:hAnsi="Lato Light"/>
          </w:rPr>
          <w:t>Perttula, Walters, Nelson, et al. 2010</w:t>
        </w:r>
      </w:hyperlink>
      <w:r w:rsidR="00011246" w:rsidRPr="000D3AD4">
        <w:rPr>
          <w:rFonts w:ascii="Lato Light" w:hAnsi="Lato Light"/>
          <w:noProof/>
        </w:rPr>
        <w:t>)</w:t>
      </w:r>
      <w:r w:rsidR="00011246" w:rsidRPr="000D3AD4">
        <w:rPr>
          <w:rFonts w:ascii="Lato Light" w:hAnsi="Lato Light"/>
        </w:rPr>
        <w:fldChar w:fldCharType="end"/>
      </w:r>
      <w:r w:rsidR="00944EA4" w:rsidRPr="000D3AD4">
        <w:rPr>
          <w:rFonts w:ascii="Lato Light" w:hAnsi="Lato Light"/>
        </w:rPr>
        <w:t xml:space="preserve">. However, 14 </w:t>
      </w:r>
      <w:r w:rsidRPr="000D3AD4">
        <w:rPr>
          <w:rFonts w:ascii="Lato Light" w:hAnsi="Lato Light"/>
        </w:rPr>
        <w:t>Perdiz points were recovered</w:t>
      </w:r>
      <w:r w:rsidR="00944EA4" w:rsidRPr="000D3AD4">
        <w:rPr>
          <w:rFonts w:ascii="Lato Light" w:hAnsi="Lato Light"/>
        </w:rPr>
        <w:t xml:space="preserve"> </w:t>
      </w:r>
      <w:r w:rsidRPr="000D3AD4">
        <w:rPr>
          <w:rFonts w:ascii="Lato Light" w:hAnsi="Lato Light"/>
        </w:rPr>
        <w:t>from a buria</w:t>
      </w:r>
      <w:r w:rsidR="00C04443" w:rsidRPr="000D3AD4">
        <w:rPr>
          <w:rFonts w:ascii="Lato Light" w:hAnsi="Lato Light"/>
        </w:rPr>
        <w:t>l feature in the Oak Grove C</w:t>
      </w:r>
      <w:r w:rsidRPr="000D3AD4">
        <w:rPr>
          <w:rFonts w:ascii="Lato Light" w:hAnsi="Lato Light"/>
        </w:rPr>
        <w:t>emetery portion of the Washington Square Mound site</w:t>
      </w:r>
      <w:r w:rsidR="00FB393B" w:rsidRPr="000D3AD4">
        <w:rPr>
          <w:rFonts w:ascii="Lato Light" w:hAnsi="Lato Light"/>
        </w:rPr>
        <w:t xml:space="preserve"> </w:t>
      </w:r>
      <w:r w:rsidR="00FB393B" w:rsidRPr="000D3AD4">
        <w:rPr>
          <w:rFonts w:ascii="Lato Light" w:hAnsi="Lato Light"/>
        </w:rPr>
        <w:fldChar w:fldCharType="begin"/>
      </w:r>
      <w:r w:rsidR="00FB393B" w:rsidRPr="000D3AD4">
        <w:rPr>
          <w:rFonts w:ascii="Lato Light" w:hAnsi="Lato Light"/>
        </w:rPr>
        <w:instrText xml:space="preserve"> ADDIN EN.CITE &lt;EndNote&gt;&lt;Cite&gt;&lt;Author&gt;Perttula&lt;/Author&gt;&lt;Year&gt;2010&lt;/Year&gt;&lt;RecNum&gt;363&lt;/RecNum&gt;&lt;Pages&gt;Figure 77&lt;/Pages&gt;&lt;DisplayText&gt;(Perttula, Walters, Nelson, et al. 2010:Figure 77)&lt;/DisplayText&gt;&lt;record&gt;&lt;rec-number&gt;363&lt;/rec-number&gt;&lt;foreign-keys&gt;&lt;key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0D3AD4">
        <w:rPr>
          <w:rFonts w:ascii="Lato Light" w:hAnsi="Lato Light"/>
        </w:rPr>
        <w:fldChar w:fldCharType="separate"/>
      </w:r>
      <w:r w:rsidR="00FB393B" w:rsidRPr="000D3AD4">
        <w:rPr>
          <w:rFonts w:ascii="Lato Light" w:hAnsi="Lato Light"/>
          <w:noProof/>
        </w:rPr>
        <w:t>(</w:t>
      </w:r>
      <w:hyperlink w:anchor="_ENREF_28" w:tooltip="Perttula, 2010 #363" w:history="1">
        <w:r w:rsidR="000D3AD4" w:rsidRPr="000D3AD4">
          <w:rPr>
            <w:rStyle w:val="Hyperlink"/>
            <w:rFonts w:ascii="Lato Light" w:hAnsi="Lato Light"/>
          </w:rPr>
          <w:t>Perttula, Walters, Nelson, et al. 2010:Figure 77</w:t>
        </w:r>
      </w:hyperlink>
      <w:r w:rsidR="00FB393B" w:rsidRPr="000D3AD4">
        <w:rPr>
          <w:rFonts w:ascii="Lato Light" w:hAnsi="Lato Light"/>
          <w:noProof/>
        </w:rPr>
        <w:t>)</w:t>
      </w:r>
      <w:r w:rsidR="00FB393B" w:rsidRPr="000D3AD4">
        <w:rPr>
          <w:rFonts w:ascii="Lato Light" w:hAnsi="Lato Light"/>
        </w:rPr>
        <w:fldChar w:fldCharType="end"/>
      </w:r>
      <w:r w:rsidRPr="000D3AD4">
        <w:rPr>
          <w:rFonts w:ascii="Lato Light" w:hAnsi="Lato Light"/>
        </w:rPr>
        <w:t xml:space="preserve">. Another seven Perdiz points came from habitation </w:t>
      </w:r>
      <w:r w:rsidR="00DD34C8" w:rsidRPr="000D3AD4">
        <w:rPr>
          <w:rFonts w:ascii="Lato Light" w:hAnsi="Lato Light"/>
        </w:rPr>
        <w:t>areas</w:t>
      </w:r>
      <w:r w:rsidRPr="000D3AD4">
        <w:rPr>
          <w:rFonts w:ascii="Lato Light" w:hAnsi="Lato Light"/>
        </w:rPr>
        <w:t xml:space="preserve"> near the main burial</w:t>
      </w:r>
      <w:r w:rsidR="00C04443" w:rsidRPr="000D3AD4">
        <w:rPr>
          <w:rFonts w:ascii="Lato Light" w:hAnsi="Lato Light"/>
        </w:rPr>
        <w:t xml:space="preserve"> mound </w:t>
      </w:r>
      <w:r w:rsidR="00FB393B" w:rsidRPr="000D3AD4">
        <w:rPr>
          <w:rFonts w:ascii="Lato Light" w:hAnsi="Lato Light"/>
        </w:rPr>
        <w:t xml:space="preserve"> </w:t>
      </w:r>
      <w:r w:rsidR="00FB393B" w:rsidRPr="000D3AD4">
        <w:rPr>
          <w:rFonts w:ascii="Lato Light" w:hAnsi="Lato Light"/>
        </w:rPr>
        <w:fldChar w:fldCharType="begin"/>
      </w:r>
      <w:r w:rsidR="005A0151" w:rsidRPr="000D3AD4">
        <w:rPr>
          <w:rFonts w:ascii="Lato Light" w:hAnsi="Lato Light"/>
        </w:rPr>
        <w:instrText xml:space="preserve"> ADDIN EN.CITE &lt;EndNote&gt;&lt;Cite&gt;&lt;Author&gt;Perttula&lt;/Author&gt;&lt;Year&gt;2009&lt;/Year&gt;&lt;RecNum&gt;21044&lt;/RecNum&gt;&lt;Pages&gt;Table 14&lt;/Pages&gt;&lt;DisplayText&gt;(Perttula 2009:Table 14)&lt;/DisplayText&gt;&lt;record&gt;&lt;rec-number&gt;21044&lt;/rec-number&gt;&lt;foreign-keys&gt;&lt;key app="EN" db-id="wttdfprdqd5vsae0rw9xwts5zvpwxs5t05fw" timestamp="1602754274" guid="b51f816e-3a82-4b71-b8b3-cd60994e4d94"&gt;21044&lt;/key&gt;&lt;/foreign-keys&gt;&lt;ref-type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 &lt;/secondary-title&gt;&lt;/titles&gt;&lt;periodical&gt;&lt;full-title&gt;Bulletin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2009:Table 14</w:t>
        </w:r>
      </w:hyperlink>
      <w:r w:rsidR="005A0151" w:rsidRPr="000D3AD4">
        <w:rPr>
          <w:rFonts w:ascii="Lato Light" w:hAnsi="Lato Light"/>
          <w:noProof/>
        </w:rPr>
        <w:t>)</w:t>
      </w:r>
      <w:r w:rsidR="00FB393B" w:rsidRPr="000D3AD4">
        <w:rPr>
          <w:rFonts w:ascii="Lato Light" w:hAnsi="Lato Light"/>
        </w:rPr>
        <w:fldChar w:fldCharType="end"/>
      </w:r>
      <w:r w:rsidR="00C04443" w:rsidRPr="000D3AD4">
        <w:rPr>
          <w:rFonts w:ascii="Lato Light" w:hAnsi="Lato Light"/>
        </w:rPr>
        <w:t>. Of those,</w:t>
      </w:r>
      <w:r w:rsidRPr="000D3AD4">
        <w:rPr>
          <w:rFonts w:ascii="Lato Light" w:hAnsi="Lato Light"/>
        </w:rPr>
        <w:t xml:space="preserve"> 71 percent are on gray chert</w:t>
      </w:r>
      <w:r w:rsidR="00DD34C8" w:rsidRPr="000D3AD4">
        <w:rPr>
          <w:rFonts w:ascii="Lato Light" w:hAnsi="Lato Light"/>
        </w:rPr>
        <w:t xml:space="preserve"> of likely c</w:t>
      </w:r>
      <w:r w:rsidRPr="000D3AD4">
        <w:rPr>
          <w:rFonts w:ascii="Lato Light" w:hAnsi="Lato Light"/>
        </w:rPr>
        <w:t>entral Texas origin</w:t>
      </w:r>
      <w:r w:rsidR="00DD34C8" w:rsidRPr="000D3AD4">
        <w:rPr>
          <w:rFonts w:ascii="Lato Light" w:hAnsi="Lato Light"/>
        </w:rPr>
        <w:t xml:space="preserve">, and the remainder </w:t>
      </w:r>
      <w:proofErr w:type="gramStart"/>
      <w:r w:rsidR="00DD34C8" w:rsidRPr="000D3AD4">
        <w:rPr>
          <w:rFonts w:ascii="Lato Light" w:hAnsi="Lato Light"/>
        </w:rPr>
        <w:t>were made</w:t>
      </w:r>
      <w:proofErr w:type="gramEnd"/>
      <w:r w:rsidR="00DD34C8" w:rsidRPr="000D3AD4">
        <w:rPr>
          <w:rFonts w:ascii="Lato Light" w:hAnsi="Lato Light"/>
        </w:rPr>
        <w:t xml:space="preserve"> from</w:t>
      </w:r>
      <w:r w:rsidRPr="000D3AD4">
        <w:rPr>
          <w:rFonts w:ascii="Lato Light" w:hAnsi="Lato Light"/>
        </w:rPr>
        <w:t xml:space="preserve"> local quartzite.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Twelve radiocarbon dates have been obtained from the Washington Square Mound site </w:t>
      </w:r>
      <w:r w:rsidR="009F036E"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&lt;EndNote&gt;&lt;Cite&gt;&lt;Author&gt;Corbin&lt;/Author&gt;&lt;Year&gt;1998&lt;/Year&gt;&lt;RecNum&gt;1489&lt;/RecNum&gt;&lt;Pages&gt;Table 4&lt;/Pages&gt;&lt;DisplayText&gt;(Corbin and Hart 1998:Table 4; Selden Jr. and Perttula 2013)&lt;/DisplayText&gt;&lt;record&gt;&lt;rec-number&gt;1489&lt;/rec-number&gt;&lt;foreign-keys&gt;&lt;key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Jr.&lt;/Author&gt;&lt;Year&gt;2013&lt;/Year&gt;&lt;RecNum&gt;4683&lt;/RecNum&gt;&lt;record&gt;&lt;rec-number&gt;4683&lt;/rec-number&gt;&lt;foreign-keys&gt;&lt;key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0D3AD4">
        <w:rPr>
          <w:rFonts w:ascii="Lato Light" w:hAnsi="Lato Light"/>
        </w:rPr>
        <w:fldChar w:fldCharType="separate"/>
      </w:r>
      <w:r w:rsidR="009F036E"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1998:Table 4</w:t>
        </w:r>
      </w:hyperlink>
      <w:r w:rsidR="009F036E"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w:t>
        </w:r>
      </w:hyperlink>
      <w:r w:rsidR="009F036E" w:rsidRPr="000D3AD4">
        <w:rPr>
          <w:rFonts w:ascii="Lato Light" w:hAnsi="Lato Light"/>
          <w:noProof/>
        </w:rPr>
        <w:t>)</w:t>
      </w:r>
      <w:r w:rsidR="009F036E" w:rsidRPr="000D3AD4">
        <w:rPr>
          <w:rFonts w:ascii="Lato Light" w:hAnsi="Lato Light"/>
        </w:rPr>
        <w:fldChar w:fldCharType="end"/>
      </w:r>
      <w:r w:rsidRPr="000D3AD4">
        <w:rPr>
          <w:rFonts w:ascii="Lato Light" w:hAnsi="Lato Light"/>
        </w:rPr>
        <w:t>, indicating use</w:t>
      </w:r>
      <w:r w:rsidR="00944EA4" w:rsidRPr="000D3AD4">
        <w:rPr>
          <w:rFonts w:ascii="Lato Light" w:hAnsi="Lato Light"/>
        </w:rPr>
        <w:t xml:space="preserve"> of the site in both Early (</w:t>
      </w:r>
      <w:r w:rsidRPr="000D3AD4">
        <w:rPr>
          <w:rFonts w:ascii="Lato Light" w:hAnsi="Lato Light"/>
        </w:rPr>
        <w:t>A.D. 900-1200) and Middle Caddo periods. The best dates that can be associated with Perdiz points at the site range from cal. A.D. 1238-1445.</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41NA206, </w:t>
      </w:r>
      <w:proofErr w:type="spellStart"/>
      <w:r w:rsidRPr="000D3AD4">
        <w:rPr>
          <w:rFonts w:ascii="Lato Light" w:hAnsi="Lato Light"/>
          <w:i/>
        </w:rPr>
        <w:t>Spradley</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Spradley</w:t>
      </w:r>
      <w:proofErr w:type="spellEnd"/>
      <w:r w:rsidRPr="000D3AD4">
        <w:rPr>
          <w:rFonts w:ascii="Lato Light" w:hAnsi="Lato Light"/>
        </w:rPr>
        <w:t xml:space="preserve"> site </w:t>
      </w:r>
      <w:r w:rsidR="00DD34C8" w:rsidRPr="000D3AD4">
        <w:rPr>
          <w:rFonts w:ascii="Lato Light" w:hAnsi="Lato Light"/>
        </w:rPr>
        <w:t>includes</w:t>
      </w:r>
      <w:r w:rsidRPr="000D3AD4">
        <w:rPr>
          <w:rFonts w:ascii="Lato Light" w:hAnsi="Lato Light"/>
        </w:rPr>
        <w:t xml:space="preserve"> late 17</w:t>
      </w:r>
      <w:r w:rsidRPr="000D3AD4">
        <w:rPr>
          <w:rFonts w:ascii="Lato Light" w:hAnsi="Lato Light"/>
          <w:vertAlign w:val="superscript"/>
        </w:rPr>
        <w:t>th</w:t>
      </w:r>
      <w:r w:rsidRPr="000D3AD4">
        <w:rPr>
          <w:rFonts w:ascii="Lato Light" w:hAnsi="Lato Light"/>
        </w:rPr>
        <w:t xml:space="preserve"> to early 18</w:t>
      </w:r>
      <w:r w:rsidRPr="000D3AD4">
        <w:rPr>
          <w:rFonts w:ascii="Lato Light" w:hAnsi="Lato Light"/>
          <w:vertAlign w:val="superscript"/>
        </w:rPr>
        <w:t>th</w:t>
      </w:r>
      <w:r w:rsidRPr="000D3AD4">
        <w:rPr>
          <w:rFonts w:ascii="Lato Light" w:hAnsi="Lato Light"/>
        </w:rPr>
        <w:t xml:space="preserve"> century archeological deposits with European trade goods from habitation deposits in the Bayou La Nana valley in the Angelina River basin</w:t>
      </w:r>
      <w:r w:rsidR="005A0151" w:rsidRPr="000D3AD4">
        <w:rPr>
          <w:rFonts w:ascii="Lato Light" w:hAnsi="Lato Light"/>
        </w:rPr>
        <w:t xml:space="preserve"> </w:t>
      </w:r>
      <w:r w:rsidR="005A0151"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&lt;EndNote&gt;&lt;Cite&gt;&lt;Author&gt;Perttula&lt;/Author&gt;&lt;Year&gt;2018&lt;/Year&gt;&lt;RecNum&gt;21046&lt;/RecNum&gt;&lt;DisplayText&gt;(Perttula and Marceaux 2018)&lt;/DisplayText&gt;&lt;record&gt;&lt;rec-number&gt;21046&lt;/rec-number&gt;&lt;foreign-keys&gt;&lt;key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0D3AD4">
        <w:rPr>
          <w:rFonts w:ascii="Lato Light" w:hAnsi="Lato Light"/>
        </w:rPr>
        <w:fldChar w:fldCharType="separate"/>
      </w:r>
      <w:r w:rsidR="005A0151"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w:t>
        </w:r>
      </w:hyperlink>
      <w:r w:rsidR="005A0151" w:rsidRPr="000D3AD4">
        <w:rPr>
          <w:rFonts w:ascii="Lato Light" w:hAnsi="Lato Light"/>
          <w:noProof/>
        </w:rPr>
        <w:t>)</w:t>
      </w:r>
      <w:r w:rsidR="005A0151" w:rsidRPr="000D3AD4">
        <w:rPr>
          <w:rFonts w:ascii="Lato Light" w:hAnsi="Lato Light"/>
        </w:rPr>
        <w:fldChar w:fldCharType="end"/>
      </w:r>
      <w:r w:rsidRPr="000D3AD4">
        <w:rPr>
          <w:rFonts w:ascii="Lato Light" w:hAnsi="Lato Light"/>
        </w:rPr>
        <w:t>. Those habitation deposi</w:t>
      </w:r>
      <w:r w:rsidR="00DD34C8" w:rsidRPr="000D3AD4">
        <w:rPr>
          <w:rFonts w:ascii="Lato Light" w:hAnsi="Lato Light"/>
        </w:rPr>
        <w:t>ts, which have no associated radiocarbon dates</w:t>
      </w:r>
      <w:r w:rsidRPr="000D3AD4">
        <w:rPr>
          <w:rFonts w:ascii="Lato Light" w:hAnsi="Lato Light"/>
        </w:rPr>
        <w:t>, contain numerous Perdiz points (n</w:t>
      </w:r>
      <w:r w:rsidR="00DD34C8" w:rsidRPr="000D3AD4">
        <w:rPr>
          <w:rFonts w:ascii="Lato Light" w:hAnsi="Lato Light"/>
        </w:rPr>
        <w:t xml:space="preserve"> </w:t>
      </w:r>
      <w:r w:rsidRPr="000D3AD4">
        <w:rPr>
          <w:rFonts w:ascii="Lato Light" w:hAnsi="Lato Light"/>
        </w:rPr>
        <w:t>=</w:t>
      </w:r>
      <w:r w:rsidR="00DD34C8" w:rsidRPr="000D3AD4">
        <w:rPr>
          <w:rFonts w:ascii="Lato Light" w:hAnsi="Lato Light"/>
        </w:rPr>
        <w:t xml:space="preserve"> </w:t>
      </w:r>
      <w:r w:rsidRPr="000D3AD4">
        <w:rPr>
          <w:rFonts w:ascii="Lato Light" w:hAnsi="Lato Light"/>
        </w:rPr>
        <w:t xml:space="preserve">31). Approximately 94 percent </w:t>
      </w:r>
      <w:r w:rsidR="00DD34C8" w:rsidRPr="000D3AD4">
        <w:rPr>
          <w:rFonts w:ascii="Lato Light" w:hAnsi="Lato Light"/>
        </w:rPr>
        <w:t>were manufactured</w:t>
      </w:r>
      <w:r w:rsidRPr="000D3AD4">
        <w:rPr>
          <w:rFonts w:ascii="Lato Light" w:hAnsi="Lato Light"/>
        </w:rPr>
        <w:t xml:space="preserve"> from local </w:t>
      </w:r>
      <w:r w:rsidR="00DD34C8" w:rsidRPr="000D3AD4">
        <w:rPr>
          <w:rFonts w:ascii="Lato Light" w:hAnsi="Lato Light"/>
        </w:rPr>
        <w:t>silicified</w:t>
      </w:r>
      <w:r w:rsidRPr="000D3AD4">
        <w:rPr>
          <w:rFonts w:ascii="Lato Light" w:hAnsi="Lato Light"/>
        </w:rPr>
        <w:t xml:space="preserve"> wood, quartzite, and gravel cherts, and the remainder are from non-local brownish-gray to trans</w:t>
      </w:r>
      <w:r w:rsidR="00DD34C8" w:rsidRPr="000D3AD4">
        <w:rPr>
          <w:rFonts w:ascii="Lato Light" w:hAnsi="Lato Light"/>
        </w:rPr>
        <w:t>lucent gray chert, likely from c</w:t>
      </w:r>
      <w:r w:rsidRPr="000D3AD4">
        <w:rPr>
          <w:rFonts w:ascii="Lato Light" w:hAnsi="Lato Light"/>
        </w:rPr>
        <w:t>entral Texas raw material sources</w:t>
      </w:r>
      <w:r w:rsidR="00B947E4" w:rsidRPr="000D3AD4">
        <w:rPr>
          <w:rFonts w:ascii="Lato Light" w:hAnsi="Lato Light"/>
        </w:rPr>
        <w:t xml:space="preserve"> </w:t>
      </w:r>
      <w:r w:rsidR="00B947E4"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&lt;EndNote&gt;&lt;Cite&gt;&lt;Author&gt;Perttula&lt;/Author&gt;&lt;Year&gt;2018&lt;/Year&gt;&lt;RecNum&gt;21046&lt;/RecNum&gt;&lt;Pages&gt;Table 7&lt;/Pages&gt;&lt;DisplayText&gt;(Perttula and Marceaux 2018:Table 7)&lt;/DisplayText&gt;&lt;record&gt;&lt;rec-number&gt;21046&lt;/rec-number&gt;&lt;foreign-keys&gt;&lt;key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0D3AD4">
        <w:rPr>
          <w:rFonts w:ascii="Lato Light" w:hAnsi="Lato Light"/>
        </w:rPr>
        <w:fldChar w:fldCharType="separate"/>
      </w:r>
      <w:r w:rsidR="00B947E4"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2018:Table 7</w:t>
        </w:r>
      </w:hyperlink>
      <w:r w:rsidR="00B947E4" w:rsidRPr="000D3AD4">
        <w:rPr>
          <w:rFonts w:ascii="Lato Light" w:hAnsi="Lato Light"/>
          <w:noProof/>
        </w:rPr>
        <w:t>)</w:t>
      </w:r>
      <w:r w:rsidR="00B947E4"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41SA135, Jack Walton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site is </w:t>
      </w:r>
      <w:r w:rsidR="00DD34C8" w:rsidRPr="000D3AD4">
        <w:rPr>
          <w:rFonts w:ascii="Lato Light" w:hAnsi="Lato Light"/>
        </w:rPr>
        <w:t xml:space="preserve">located </w:t>
      </w:r>
      <w:r w:rsidRPr="000D3AD4">
        <w:rPr>
          <w:rFonts w:ascii="Lato Light" w:hAnsi="Lato Light"/>
        </w:rPr>
        <w:t xml:space="preserve">on </w:t>
      </w:r>
      <w:proofErr w:type="spellStart"/>
      <w:r w:rsidRPr="000D3AD4">
        <w:rPr>
          <w:rFonts w:ascii="Lato Light" w:hAnsi="Lato Light"/>
        </w:rPr>
        <w:t>Attoyac</w:t>
      </w:r>
      <w:proofErr w:type="spellEnd"/>
      <w:r w:rsidRPr="000D3AD4">
        <w:rPr>
          <w:rFonts w:ascii="Lato Light" w:hAnsi="Lato Light"/>
        </w:rPr>
        <w:t xml:space="preserve"> Bayou</w:t>
      </w:r>
      <w:r w:rsidR="0034150E" w:rsidRPr="000D3AD4">
        <w:rPr>
          <w:rFonts w:ascii="Lato Light" w:hAnsi="Lato Light"/>
        </w:rPr>
        <w:t xml:space="preserve"> </w:t>
      </w:r>
      <w:r w:rsidR="0034150E" w:rsidRPr="000D3AD4">
        <w:rPr>
          <w:rFonts w:ascii="Lato Light" w:hAnsi="Lato Light"/>
        </w:rPr>
        <w:fldChar w:fldCharType="begin"/>
      </w:r>
      <w:r w:rsidR="00B4536A" w:rsidRPr="000D3AD4">
        <w:rPr>
          <w:rFonts w:ascii="Lato Light" w:hAnsi="Lato Light"/>
        </w:rPr>
        <w:instrText xml:space="preserve"> ADDIN EN.CITE &lt;EndNote&gt;&lt;Cite&gt;&lt;Author&gt;Middlebrook&lt;/Author&gt;&lt;Year&gt;2010&lt;/Year&gt;&lt;RecNum&gt;2698&lt;/RecNum&gt;&lt;DisplayText&gt;(Middlebrook 2010)&lt;/DisplayText&gt;&lt;record&gt;&lt;rec-number&gt;2698&lt;/rec-number&gt;&lt;foreign-keys&gt;&lt;key app="EN" db-id="wttdfprdqd5vsae0rw9xwts5zvpwxs5t05fw" timestamp="1495461063" guid="420bf22d-b974-4670-821e-aac724613246"&gt;2698&lt;/key&gt;&lt;/foreign-keys&gt;&lt;ref-type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0D3AD4">
        <w:rPr>
          <w:rFonts w:ascii="Lato Light" w:hAnsi="Lato Light"/>
        </w:rPr>
        <w:fldChar w:fldCharType="separate"/>
      </w:r>
      <w:r w:rsidR="0034150E" w:rsidRPr="000D3AD4">
        <w:rPr>
          <w:rFonts w:ascii="Lato Light" w:hAnsi="Lato Light"/>
          <w:noProof/>
        </w:rPr>
        <w:t>(</w:t>
      </w:r>
      <w:hyperlink w:anchor="_ENREF_20" w:tooltip="Middlebrook, 2010 #2698" w:history="1">
        <w:r w:rsidR="000D3AD4" w:rsidRPr="000D3AD4">
          <w:rPr>
            <w:rStyle w:val="Hyperlink"/>
            <w:rFonts w:ascii="Lato Light" w:hAnsi="Lato Light"/>
          </w:rPr>
          <w:t>Middlebrook 2010</w:t>
        </w:r>
      </w:hyperlink>
      <w:r w:rsidR="0034150E" w:rsidRPr="000D3AD4">
        <w:rPr>
          <w:rFonts w:ascii="Lato Light" w:hAnsi="Lato Light"/>
          <w:noProof/>
        </w:rPr>
        <w:t>)</w:t>
      </w:r>
      <w:r w:rsidR="0034150E" w:rsidRPr="000D3AD4">
        <w:rPr>
          <w:rFonts w:ascii="Lato Light" w:hAnsi="Lato Light"/>
        </w:rPr>
        <w:fldChar w:fldCharType="end"/>
      </w:r>
      <w:r w:rsidR="00DD34C8" w:rsidRPr="000D3AD4">
        <w:rPr>
          <w:rFonts w:ascii="Lato Light" w:hAnsi="Lato Light"/>
        </w:rPr>
        <w:t xml:space="preserve">, and is </w:t>
      </w:r>
      <w:r w:rsidRPr="000D3AD4">
        <w:rPr>
          <w:rFonts w:ascii="Lato Light" w:hAnsi="Lato Light"/>
        </w:rPr>
        <w:t>an ancestral Caddo site with habitation deposits of like</w:t>
      </w:r>
      <w:r w:rsidR="00944EA4" w:rsidRPr="000D3AD4">
        <w:rPr>
          <w:rFonts w:ascii="Lato Light" w:hAnsi="Lato Light"/>
        </w:rPr>
        <w:t>ly Middle Caddo period age (</w:t>
      </w:r>
      <w:r w:rsidRPr="000D3AD4">
        <w:rPr>
          <w:rFonts w:ascii="Lato Light" w:hAnsi="Lato Light"/>
        </w:rPr>
        <w:t xml:space="preserve">A.D. 1200-1400). There are no </w:t>
      </w:r>
      <w:r w:rsidR="005C1F7E" w:rsidRPr="000D3AD4">
        <w:rPr>
          <w:rFonts w:ascii="Lato Light" w:hAnsi="Lato Light"/>
        </w:rPr>
        <w:t>radiocarbon</w:t>
      </w:r>
      <w:r w:rsidRPr="000D3AD4">
        <w:rPr>
          <w:rFonts w:ascii="Lato Light" w:hAnsi="Lato Light"/>
        </w:rPr>
        <w:t xml:space="preserve"> dates from the site. </w:t>
      </w:r>
      <w:r w:rsidR="00DD34C8" w:rsidRPr="000D3AD4">
        <w:rPr>
          <w:rFonts w:ascii="Lato Light" w:hAnsi="Lato Light"/>
        </w:rPr>
        <w:t xml:space="preserve">Excavations at the site </w:t>
      </w:r>
      <w:r w:rsidRPr="000D3AD4">
        <w:rPr>
          <w:rFonts w:ascii="Lato Light" w:hAnsi="Lato Light"/>
        </w:rPr>
        <w:t>recovered seven Perdiz points.</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41SM193, </w:t>
      </w:r>
      <w:proofErr w:type="spellStart"/>
      <w:r w:rsidRPr="000D3AD4">
        <w:rPr>
          <w:rFonts w:ascii="Lato Light" w:hAnsi="Lato Light"/>
          <w:i/>
        </w:rPr>
        <w:t>Redwine</w:t>
      </w:r>
      <w:proofErr w:type="spellEnd"/>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Redwine</w:t>
      </w:r>
      <w:proofErr w:type="spellEnd"/>
      <w:r w:rsidR="00DD34C8" w:rsidRPr="000D3AD4">
        <w:rPr>
          <w:rFonts w:ascii="Lato Light" w:hAnsi="Lato Light"/>
        </w:rPr>
        <w:t xml:space="preserve"> site</w:t>
      </w:r>
      <w:r w:rsidRPr="000D3AD4">
        <w:rPr>
          <w:rFonts w:ascii="Lato Light" w:hAnsi="Lato Light"/>
        </w:rPr>
        <w:t xml:space="preserve"> (41SM193) site is a Middle Caddo period component</w:t>
      </w:r>
      <w:r w:rsidR="00DD34C8" w:rsidRPr="000D3AD4">
        <w:rPr>
          <w:rFonts w:ascii="Lato Light" w:hAnsi="Lato Light"/>
        </w:rPr>
        <w:t xml:space="preserve"> located</w:t>
      </w:r>
      <w:r w:rsidRPr="000D3AD4">
        <w:rPr>
          <w:rFonts w:ascii="Lato Light" w:hAnsi="Lato Light"/>
        </w:rPr>
        <w:t xml:space="preserve"> </w:t>
      </w:r>
      <w:r w:rsidR="00DD34C8" w:rsidRPr="000D3AD4">
        <w:rPr>
          <w:rFonts w:ascii="Lato Light" w:hAnsi="Lato Light"/>
        </w:rPr>
        <w:t>22 km from the river</w:t>
      </w:r>
      <w:r w:rsidR="005C1F7E" w:rsidRPr="000D3AD4">
        <w:rPr>
          <w:rFonts w:ascii="Lato Light" w:hAnsi="Lato Light"/>
        </w:rPr>
        <w:t xml:space="preserve"> </w:t>
      </w:r>
      <w:r w:rsidRPr="000D3AD4">
        <w:rPr>
          <w:rFonts w:ascii="Lato Light" w:hAnsi="Lato Light"/>
        </w:rPr>
        <w:t xml:space="preserve">on a north-flowing tributary (Auburn Creek) </w:t>
      </w:r>
      <w:r w:rsidR="00DD34C8" w:rsidRPr="000D3AD4">
        <w:rPr>
          <w:rFonts w:ascii="Lato Light" w:hAnsi="Lato Light"/>
        </w:rPr>
        <w:t>of</w:t>
      </w:r>
      <w:r w:rsidRPr="000D3AD4">
        <w:rPr>
          <w:rFonts w:ascii="Lato Light" w:hAnsi="Lato Light"/>
        </w:rPr>
        <w:t xml:space="preserve"> the Sabine River</w:t>
      </w:r>
      <w:r w:rsidR="00597509" w:rsidRPr="000D3AD4">
        <w:rPr>
          <w:rFonts w:ascii="Lato Light" w:hAnsi="Lato Light"/>
        </w:rPr>
        <w:t xml:space="preserve"> </w:t>
      </w:r>
      <w:r w:rsidR="00597509"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&lt;EndNote&gt;&lt;Cite&gt;&lt;Author&gt;Walters&lt;/Author&gt;&lt;Year&gt;1998&lt;/Year&gt;&lt;RecNum&gt;5232&lt;/RecNum&gt;&lt;DisplayText&gt;(Walters and Haskins 1998)&lt;/DisplayText&gt;&lt;record&gt;&lt;rec-number&gt;5232&lt;/rec-number&gt;&lt;foreign-keys&gt;&lt;key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0D3AD4">
        <w:rPr>
          <w:rFonts w:ascii="Lato Light" w:hAnsi="Lato Light"/>
        </w:rPr>
        <w:fldChar w:fldCharType="separate"/>
      </w:r>
      <w:r w:rsidR="00597509"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w:t>
        </w:r>
      </w:hyperlink>
      <w:r w:rsidR="00597509" w:rsidRPr="000D3AD4">
        <w:rPr>
          <w:rFonts w:ascii="Lato Light" w:hAnsi="Lato Light"/>
          <w:noProof/>
        </w:rPr>
        <w:t>)</w:t>
      </w:r>
      <w:r w:rsidR="00597509" w:rsidRPr="000D3AD4">
        <w:rPr>
          <w:rFonts w:ascii="Lato Light" w:hAnsi="Lato Light"/>
        </w:rPr>
        <w:fldChar w:fldCharType="end"/>
      </w:r>
      <w:r w:rsidR="00DD34C8" w:rsidRPr="000D3AD4">
        <w:rPr>
          <w:rFonts w:ascii="Lato Light" w:hAnsi="Lato Light"/>
        </w:rPr>
        <w:t xml:space="preserve">, which includes </w:t>
      </w:r>
      <w:r w:rsidRPr="000D3AD4">
        <w:rPr>
          <w:rFonts w:ascii="Lato Light" w:hAnsi="Lato Light"/>
        </w:rPr>
        <w:t>habitation deposits a</w:t>
      </w:r>
      <w:r w:rsidR="00DD34C8" w:rsidRPr="000D3AD4">
        <w:rPr>
          <w:rFonts w:ascii="Lato Light" w:hAnsi="Lato Light"/>
        </w:rPr>
        <w:t xml:space="preserve">nd </w:t>
      </w:r>
      <w:r w:rsidRPr="000D3AD4">
        <w:rPr>
          <w:rFonts w:ascii="Lato Light" w:hAnsi="Lato Light"/>
        </w:rPr>
        <w:t xml:space="preserve">a small cemetery. The site has one calibrated date of A.D. 1300-1454, at </w:t>
      </w:r>
      <w:proofErr w:type="gramStart"/>
      <w:r w:rsidRPr="000D3AD4">
        <w:rPr>
          <w:rFonts w:ascii="Lato Light" w:hAnsi="Lato Light"/>
        </w:rPr>
        <w:t>2</w:t>
      </w:r>
      <w:proofErr w:type="gramEnd"/>
      <w:r w:rsidRPr="000D3AD4">
        <w:rPr>
          <w:rFonts w:ascii="Lato Light" w:hAnsi="Lato Light"/>
        </w:rPr>
        <w:t xml:space="preserve"> sigma, with a median calibrated probability of A.D. 1356. The 11 Perdiz points from habitation deposits were manufactured on black, brown, and grayish-tan chert as well as Ogallala quartzite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&lt;EndNote&gt;&lt;Cite&gt;&lt;Author&gt;Walters&lt;/Author&gt;&lt;Year&gt;1998&lt;/Year&gt;&lt;RecNum&gt;5232&lt;/RecNum&gt;&lt;Pages&gt;14&lt;/Pages&gt;&lt;DisplayText&gt;(Walters and Haskins 1998:14)&lt;/DisplayText&gt;&lt;record&gt;&lt;rec-number&gt;5232&lt;/rec-number&gt;&lt;foreign-keys&gt;&lt;key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1998:14</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 xml:space="preserve">. </w:t>
      </w:r>
      <w:r w:rsidR="00DD34C8" w:rsidRPr="000D3AD4">
        <w:rPr>
          <w:rFonts w:ascii="Lato Light" w:hAnsi="Lato Light"/>
        </w:rPr>
        <w:t>An additional</w:t>
      </w:r>
      <w:r w:rsidRPr="000D3AD4">
        <w:rPr>
          <w:rFonts w:ascii="Lato Light" w:hAnsi="Lato Light"/>
        </w:rPr>
        <w:t xml:space="preserve"> 13 Perdiz arrow poin</w:t>
      </w:r>
      <w:r w:rsidR="00DD34C8" w:rsidRPr="000D3AD4">
        <w:rPr>
          <w:rFonts w:ascii="Lato Light" w:hAnsi="Lato Light"/>
        </w:rPr>
        <w:t>ts were among the grave goods recovered from</w:t>
      </w:r>
      <w:r w:rsidRPr="000D3AD4">
        <w:rPr>
          <w:rFonts w:ascii="Lato Light" w:hAnsi="Lato Light"/>
        </w:rPr>
        <w:t xml:space="preserve"> two burial features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&lt;EndNote&gt;&lt;Cite&gt;&lt;Author&gt;Walters&lt;/Author&gt;&lt;Year&gt;1998&lt;/Year&gt;&lt;RecNum&gt;5232&lt;/RecNum&gt;&lt;Pages&gt;35&lt;/Pages&gt;&lt;DisplayText&gt;(Walters and Haskins 1998:35)&lt;/DisplayText&gt;&lt;record&gt;&lt;rec-number&gt;5232&lt;/rec-number&gt;&lt;foreign-keys&gt;&lt;key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1998:35</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A707CD" w:rsidRPr="000D3AD4" w:rsidRDefault="00A707CD" w:rsidP="009A653B">
      <w:pPr>
        <w:spacing w:after="0"/>
        <w:contextualSpacing/>
        <w:jc w:val="both"/>
        <w:rPr>
          <w:rFonts w:ascii="Lato Light" w:hAnsi="Lato Light"/>
          <w:i/>
        </w:rPr>
      </w:pPr>
    </w:p>
    <w:p w:rsidR="00A707CD" w:rsidRPr="000D3AD4" w:rsidRDefault="00A707CD" w:rsidP="009A653B">
      <w:pPr>
        <w:spacing w:after="0"/>
        <w:contextualSpacing/>
        <w:jc w:val="both"/>
        <w:rPr>
          <w:rFonts w:ascii="Lato Light" w:hAnsi="Lato Light"/>
          <w:i/>
        </w:rPr>
      </w:pPr>
    </w:p>
    <w:p w:rsidR="00A707CD" w:rsidRPr="000D3AD4" w:rsidRDefault="00A707CD" w:rsidP="009A653B">
      <w:pPr>
        <w:spacing w:after="0"/>
        <w:contextualSpacing/>
        <w:jc w:val="both"/>
        <w:rPr>
          <w:rFonts w:ascii="Lato Light" w:hAnsi="Lato Light"/>
          <w:i/>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41SY43, Old Timers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lastRenderedPageBreak/>
        <w:t xml:space="preserve">The Old Timers site </w:t>
      </w:r>
      <w:r w:rsidR="00AF3157" w:rsidRPr="000D3AD4">
        <w:rPr>
          <w:rFonts w:ascii="Lato Light" w:hAnsi="Lato Light"/>
        </w:rPr>
        <w:t xml:space="preserve">is located </w:t>
      </w:r>
      <w:r w:rsidRPr="000D3AD4">
        <w:rPr>
          <w:rFonts w:ascii="Lato Light" w:hAnsi="Lato Light"/>
        </w:rPr>
        <w:t>in the Sabine River basin</w:t>
      </w:r>
      <w:r w:rsidR="00AF3157" w:rsidRPr="000D3AD4">
        <w:rPr>
          <w:rFonts w:ascii="Lato Light" w:hAnsi="Lato Light"/>
        </w:rPr>
        <w:t>,</w:t>
      </w:r>
      <w:r w:rsidRPr="000D3AD4">
        <w:rPr>
          <w:rFonts w:ascii="Lato Light" w:hAnsi="Lato Light"/>
        </w:rPr>
        <w:t xml:space="preserve"> </w:t>
      </w:r>
      <w:r w:rsidR="00AF3157" w:rsidRPr="000D3AD4">
        <w:rPr>
          <w:rFonts w:ascii="Lato Light" w:hAnsi="Lato Light"/>
        </w:rPr>
        <w:t>and includes</w:t>
      </w:r>
      <w:r w:rsidRPr="000D3AD4">
        <w:rPr>
          <w:rFonts w:ascii="Lato Light" w:hAnsi="Lato Light"/>
        </w:rPr>
        <w:t xml:space="preserve"> post-A.D. 1400 Late Caddo habitation deposits concentrated in the northern </w:t>
      </w:r>
      <w:r w:rsidR="00AF3157" w:rsidRPr="000D3AD4">
        <w:rPr>
          <w:rFonts w:ascii="Lato Light" w:hAnsi="Lato Light"/>
        </w:rPr>
        <w:t>area of the site</w:t>
      </w:r>
      <w:r w:rsidRPr="000D3AD4">
        <w:rPr>
          <w:rFonts w:ascii="Lato Light" w:hAnsi="Lato Light"/>
        </w:rPr>
        <w:t>. Excavations recovered eight Perdiz points, all with serrated blades and made from cherts, 75 percent local gravel cherts</w:t>
      </w:r>
      <w:r w:rsidR="00AF3157" w:rsidRPr="000D3AD4">
        <w:rPr>
          <w:rFonts w:ascii="Lato Light" w:hAnsi="Lato Light"/>
        </w:rPr>
        <w:t>,</w:t>
      </w:r>
      <w:r w:rsidRPr="000D3AD4">
        <w:rPr>
          <w:rFonts w:ascii="Lato Light" w:hAnsi="Lato Light"/>
        </w:rPr>
        <w:t xml:space="preserve"> and </w:t>
      </w:r>
      <w:r w:rsidR="00AF3157" w:rsidRPr="000D3AD4">
        <w:rPr>
          <w:rFonts w:ascii="Lato Light" w:hAnsi="Lato Light"/>
        </w:rPr>
        <w:t xml:space="preserve">an additional </w:t>
      </w:r>
      <w:r w:rsidRPr="000D3AD4">
        <w:rPr>
          <w:rFonts w:ascii="Lato Light" w:hAnsi="Lato Light"/>
        </w:rPr>
        <w:t>25 percent of gray chert</w:t>
      </w:r>
      <w:r w:rsidR="00AF3157" w:rsidRPr="000D3AD4">
        <w:rPr>
          <w:rFonts w:ascii="Lato Light" w:hAnsi="Lato Light"/>
        </w:rPr>
        <w:t>s</w:t>
      </w:r>
      <w:r w:rsidRPr="000D3AD4">
        <w:rPr>
          <w:rFonts w:ascii="Lato Light" w:hAnsi="Lato Light"/>
        </w:rPr>
        <w:t xml:space="preserve"> from non-local raw material sources</w:t>
      </w:r>
      <w:r w:rsidR="008A5962" w:rsidRPr="000D3AD4">
        <w:rPr>
          <w:rFonts w:ascii="Lato Light" w:hAnsi="Lato Light"/>
        </w:rPr>
        <w:t xml:space="preserve"> </w:t>
      </w:r>
      <w:r w:rsidR="008A5962"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&lt;EndNote&gt;&lt;Cite&gt;&lt;Author&gt;Perttula&lt;/Author&gt;&lt;Year&gt;2018&lt;/Year&gt;&lt;RecNum&gt;21047&lt;/RecNum&gt;&lt;Pages&gt;77&lt;/Pages&gt;&lt;DisplayText&gt;(Perttula 2018:77)&lt;/DisplayText&gt;&lt;record&gt;&lt;rec-number&gt;21047&lt;/rec-number&gt;&lt;foreign-keys&gt;&lt;key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0D3AD4">
        <w:rPr>
          <w:rFonts w:ascii="Lato Light" w:hAnsi="Lato Light"/>
        </w:rPr>
        <w:fldChar w:fldCharType="separate"/>
      </w:r>
      <w:r w:rsidR="008A5962" w:rsidRPr="000D3AD4">
        <w:rPr>
          <w:rFonts w:ascii="Lato Light" w:hAnsi="Lato Light"/>
          <w:noProof/>
        </w:rPr>
        <w:t>(</w:t>
      </w:r>
      <w:hyperlink w:anchor="_ENREF_23" w:tooltip="Perttula, 2018 #21047" w:history="1">
        <w:r w:rsidR="000D3AD4" w:rsidRPr="000D3AD4">
          <w:rPr>
            <w:rStyle w:val="Hyperlink"/>
            <w:rFonts w:ascii="Lato Light" w:hAnsi="Lato Light"/>
          </w:rPr>
          <w:t>Perttula 2018:77</w:t>
        </w:r>
      </w:hyperlink>
      <w:r w:rsidR="008A5962" w:rsidRPr="000D3AD4">
        <w:rPr>
          <w:rFonts w:ascii="Lato Light" w:hAnsi="Lato Light"/>
          <w:noProof/>
        </w:rPr>
        <w:t>)</w:t>
      </w:r>
      <w:r w:rsidR="008A5962"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41SY280, </w:t>
      </w:r>
      <w:proofErr w:type="spellStart"/>
      <w:r w:rsidRPr="000D3AD4">
        <w:rPr>
          <w:rFonts w:ascii="Lato Light" w:hAnsi="Lato Light"/>
          <w:i/>
        </w:rPr>
        <w:t>Syb’s</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ancestral Caddo site of the Late Caddo Salt Lick phase is </w:t>
      </w:r>
      <w:r w:rsidR="000B5BBF" w:rsidRPr="000D3AD4">
        <w:rPr>
          <w:rFonts w:ascii="Lato Light" w:hAnsi="Lato Light"/>
        </w:rPr>
        <w:t xml:space="preserve">located </w:t>
      </w:r>
      <w:r w:rsidRPr="000D3AD4">
        <w:rPr>
          <w:rFonts w:ascii="Lato Light" w:hAnsi="Lato Light"/>
        </w:rPr>
        <w:t>along the Toledo Bend Reservoir, west of the now inundated Sabine River floodplain</w:t>
      </w:r>
      <w:r w:rsidR="00702B25" w:rsidRPr="000D3AD4">
        <w:rPr>
          <w:rFonts w:ascii="Lato Light" w:hAnsi="Lato Light"/>
        </w:rPr>
        <w:t xml:space="preserve"> </w:t>
      </w:r>
      <w:r w:rsidR="00702B25"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&lt;EndNote&gt;&lt;Cite&gt;&lt;Author&gt;Perttula&lt;/Author&gt;&lt;Year&gt;2018&lt;/Year&gt;&lt;RecNum&gt;21047&lt;/RecNum&gt;&lt;Pages&gt;Figure 55&lt;/Pages&gt;&lt;DisplayText&gt;(Perttula 2018:Figure 55)&lt;/DisplayText&gt;&lt;record&gt;&lt;rec-number&gt;21047&lt;/rec-number&gt;&lt;foreign-keys&gt;&lt;key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0D3AD4">
        <w:rPr>
          <w:rFonts w:ascii="Lato Light" w:hAnsi="Lato Light"/>
        </w:rPr>
        <w:fldChar w:fldCharType="separate"/>
      </w:r>
      <w:r w:rsidR="00702B25" w:rsidRPr="000D3AD4">
        <w:rPr>
          <w:rFonts w:ascii="Lato Light" w:hAnsi="Lato Light"/>
          <w:noProof/>
        </w:rPr>
        <w:t>(</w:t>
      </w:r>
      <w:hyperlink w:anchor="_ENREF_23" w:tooltip="Perttula, 2018 #21047" w:history="1">
        <w:r w:rsidR="000D3AD4" w:rsidRPr="000D3AD4">
          <w:rPr>
            <w:rStyle w:val="Hyperlink"/>
            <w:rFonts w:ascii="Lato Light" w:hAnsi="Lato Light"/>
          </w:rPr>
          <w:t>Perttula 2018:Figure 55</w:t>
        </w:r>
      </w:hyperlink>
      <w:r w:rsidR="00702B25" w:rsidRPr="000D3AD4">
        <w:rPr>
          <w:rFonts w:ascii="Lato Light" w:hAnsi="Lato Light"/>
          <w:noProof/>
        </w:rPr>
        <w:t>)</w:t>
      </w:r>
      <w:r w:rsidR="00702B25" w:rsidRPr="000D3AD4">
        <w:rPr>
          <w:rFonts w:ascii="Lato Light" w:hAnsi="Lato Light"/>
        </w:rPr>
        <w:fldChar w:fldCharType="end"/>
      </w:r>
      <w:r w:rsidRPr="000D3AD4">
        <w:rPr>
          <w:rFonts w:ascii="Lato Light" w:hAnsi="Lato Light"/>
        </w:rPr>
        <w:t xml:space="preserve">. It has a number of habitation clusters </w:t>
      </w:r>
      <w:r w:rsidR="000B5BBF" w:rsidRPr="000D3AD4">
        <w:rPr>
          <w:rFonts w:ascii="Lato Light" w:hAnsi="Lato Light"/>
        </w:rPr>
        <w:t xml:space="preserve">that include daub and fired clay from areas </w:t>
      </w:r>
      <w:r w:rsidRPr="000D3AD4">
        <w:rPr>
          <w:rFonts w:ascii="Lato Light" w:hAnsi="Lato Light"/>
        </w:rPr>
        <w:t xml:space="preserve">of burned ancestral Caddo house structures. There are no </w:t>
      </w:r>
      <w:r w:rsidR="000B5BBF" w:rsidRPr="000D3AD4">
        <w:rPr>
          <w:rFonts w:ascii="Lato Light" w:hAnsi="Lato Light"/>
        </w:rPr>
        <w:t>radiocarbon</w:t>
      </w:r>
      <w:r w:rsidRPr="000D3AD4">
        <w:rPr>
          <w:rFonts w:ascii="Lato Light" w:hAnsi="Lato Light"/>
        </w:rPr>
        <w:t xml:space="preserve"> dates from the site, but the decorated ceramic vessel sherds in the collection areas suggest </w:t>
      </w:r>
      <w:r w:rsidR="000B5BBF" w:rsidRPr="000D3AD4">
        <w:rPr>
          <w:rFonts w:ascii="Lato Light" w:hAnsi="Lato Light"/>
        </w:rPr>
        <w:t>that the site relatively dates to a period</w:t>
      </w:r>
      <w:r w:rsidRPr="000D3AD4">
        <w:rPr>
          <w:rFonts w:ascii="Lato Light" w:hAnsi="Lato Light"/>
        </w:rPr>
        <w:t xml:space="preserve"> beginning </w:t>
      </w:r>
      <w:r w:rsidR="006F004A" w:rsidRPr="000D3AD4">
        <w:rPr>
          <w:rFonts w:ascii="Lato Light" w:hAnsi="Lato Light"/>
        </w:rPr>
        <w:t>at A.D</w:t>
      </w:r>
      <w:r w:rsidRPr="000D3AD4">
        <w:rPr>
          <w:rFonts w:ascii="Lato Light" w:hAnsi="Lato Light"/>
        </w:rPr>
        <w:t>. 1400</w:t>
      </w:r>
      <w:r w:rsidR="000B5BBF" w:rsidRPr="000D3AD4">
        <w:rPr>
          <w:rFonts w:ascii="Lato Light" w:hAnsi="Lato Light"/>
        </w:rPr>
        <w:t xml:space="preserve"> through</w:t>
      </w:r>
      <w:r w:rsidRPr="000D3AD4">
        <w:rPr>
          <w:rFonts w:ascii="Lato Light" w:hAnsi="Lato Light"/>
        </w:rPr>
        <w:t xml:space="preserve"> the late A.D. 1500s. </w:t>
      </w:r>
      <w:r w:rsidR="00DD76A3" w:rsidRPr="000D3AD4">
        <w:rPr>
          <w:rFonts w:ascii="Lato Light" w:hAnsi="Lato Light"/>
        </w:rPr>
        <w:t>One</w:t>
      </w:r>
      <w:r w:rsidRPr="000D3AD4">
        <w:rPr>
          <w:rFonts w:ascii="Lato Light" w:hAnsi="Lato Light"/>
        </w:rPr>
        <w:t xml:space="preserve"> Perdiz arrow point was recovered from Area 13 of the site</w:t>
      </w:r>
      <w:r w:rsidR="00BB2E88" w:rsidRPr="000D3AD4">
        <w:rPr>
          <w:rFonts w:ascii="Lato Light" w:hAnsi="Lato Light"/>
        </w:rPr>
        <w:t xml:space="preserve"> </w:t>
      </w:r>
      <w:r w:rsidR="00BB2E88"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&lt;EndNote&gt;&lt;Cite&gt;&lt;Author&gt;Perttula&lt;/Author&gt;&lt;Year&gt;2018&lt;/Year&gt;&lt;RecNum&gt;21047&lt;/RecNum&gt;&lt;Pages&gt;Table 33&lt;/Pages&gt;&lt;DisplayText&gt;(Perttula 2018:Table 33)&lt;/DisplayText&gt;&lt;record&gt;&lt;rec-number&gt;21047&lt;/rec-number&gt;&lt;foreign-keys&gt;&lt;key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0D3AD4">
        <w:rPr>
          <w:rFonts w:ascii="Lato Light" w:hAnsi="Lato Light"/>
        </w:rPr>
        <w:fldChar w:fldCharType="separate"/>
      </w:r>
      <w:r w:rsidR="00BB2E88" w:rsidRPr="000D3AD4">
        <w:rPr>
          <w:rFonts w:ascii="Lato Light" w:hAnsi="Lato Light"/>
          <w:noProof/>
        </w:rPr>
        <w:t>(</w:t>
      </w:r>
      <w:hyperlink w:anchor="_ENREF_23" w:tooltip="Perttula, 2018 #21047" w:history="1">
        <w:r w:rsidR="000D3AD4" w:rsidRPr="000D3AD4">
          <w:rPr>
            <w:rStyle w:val="Hyperlink"/>
            <w:rFonts w:ascii="Lato Light" w:hAnsi="Lato Light"/>
          </w:rPr>
          <w:t>Perttula 2018:Table 33</w:t>
        </w:r>
      </w:hyperlink>
      <w:r w:rsidR="00BB2E88" w:rsidRPr="000D3AD4">
        <w:rPr>
          <w:rFonts w:ascii="Lato Light" w:hAnsi="Lato Light"/>
          <w:noProof/>
        </w:rPr>
        <w:t>)</w:t>
      </w:r>
      <w:r w:rsidR="00BB2E88" w:rsidRPr="000D3AD4">
        <w:rPr>
          <w:rFonts w:ascii="Lato Light" w:hAnsi="Lato Light"/>
        </w:rPr>
        <w:fldChar w:fldCharType="end"/>
      </w:r>
      <w:r w:rsidRPr="000D3AD4">
        <w:rPr>
          <w:rFonts w:ascii="Lato Light" w:hAnsi="Lato Light"/>
        </w:rPr>
        <w:t>.</w:t>
      </w:r>
    </w:p>
    <w:p w:rsidR="00EF13AB" w:rsidRPr="000D3AD4" w:rsidRDefault="00EF13AB" w:rsidP="009A653B">
      <w:pPr>
        <w:spacing w:after="0"/>
        <w:contextualSpacing/>
        <w:jc w:val="both"/>
        <w:rPr>
          <w:rFonts w:ascii="Lato Light" w:hAnsi="Lato Light"/>
          <w:sz w:val="24"/>
          <w:szCs w:val="24"/>
        </w:rPr>
      </w:pPr>
    </w:p>
    <w:p w:rsidR="00086621" w:rsidRPr="000D3AD4" w:rsidRDefault="00EF13AB" w:rsidP="009F484E">
      <w:pPr>
        <w:spacing w:after="0"/>
        <w:contextualSpacing/>
        <w:jc w:val="center"/>
        <w:rPr>
          <w:rFonts w:ascii="Lato Light" w:hAnsi="Lato Light"/>
          <w:sz w:val="24"/>
          <w:szCs w:val="24"/>
        </w:rPr>
      </w:pPr>
      <w:r w:rsidRPr="000D3AD4">
        <w:rPr>
          <w:rFonts w:ascii="Lato Light" w:hAnsi="Lato Light"/>
          <w:sz w:val="24"/>
          <w:szCs w:val="24"/>
        </w:rPr>
        <w:t>METHODS</w:t>
      </w:r>
      <w:r w:rsidR="008028B0" w:rsidRPr="000D3AD4">
        <w:rPr>
          <w:rFonts w:ascii="Lato Light" w:hAnsi="Lato Light"/>
          <w:sz w:val="24"/>
          <w:szCs w:val="24"/>
        </w:rPr>
        <w:t xml:space="preserve"> AND RESULTS</w:t>
      </w:r>
    </w:p>
    <w:p w:rsidR="000A3B30" w:rsidRPr="000D3AD4" w:rsidRDefault="000A3B30" w:rsidP="007E0556">
      <w:pPr>
        <w:spacing w:after="0"/>
        <w:contextualSpacing/>
        <w:rPr>
          <w:rFonts w:ascii="Lato Light" w:hAnsi="Lato Light"/>
          <w:sz w:val="24"/>
          <w:szCs w:val="24"/>
        </w:rPr>
      </w:pPr>
    </w:p>
    <w:p w:rsidR="000A3B30" w:rsidRPr="000D3AD4" w:rsidRDefault="000A3B30" w:rsidP="00943F35">
      <w:pPr>
        <w:spacing w:after="0"/>
        <w:contextualSpacing/>
        <w:jc w:val="center"/>
        <w:rPr>
          <w:rFonts w:ascii="Lato Light" w:hAnsi="Lato Light"/>
          <w:b/>
          <w:sz w:val="20"/>
          <w:szCs w:val="20"/>
        </w:rPr>
      </w:pPr>
    </w:p>
    <w:p w:rsidR="000B5BBF" w:rsidRPr="000D3AD4" w:rsidRDefault="00AD17FC" w:rsidP="009A653B">
      <w:pPr>
        <w:spacing w:after="0"/>
        <w:contextualSpacing/>
        <w:jc w:val="both"/>
        <w:rPr>
          <w:rFonts w:ascii="Lato Light" w:hAnsi="Lato Light"/>
          <w:i/>
          <w:sz w:val="24"/>
          <w:szCs w:val="24"/>
        </w:rPr>
      </w:pPr>
      <w:r w:rsidRPr="000D3AD4">
        <w:rPr>
          <w:rFonts w:ascii="Lato Light" w:hAnsi="Lato Light"/>
          <w:i/>
          <w:sz w:val="24"/>
          <w:szCs w:val="24"/>
        </w:rPr>
        <w:t xml:space="preserve">Elliptical Fourier </w:t>
      </w:r>
      <w:proofErr w:type="gramStart"/>
      <w:r w:rsidRPr="000D3AD4">
        <w:rPr>
          <w:rFonts w:ascii="Lato Light" w:hAnsi="Lato Light"/>
          <w:i/>
          <w:sz w:val="24"/>
          <w:szCs w:val="24"/>
        </w:rPr>
        <w:t>Analysis</w:t>
      </w:r>
      <w:proofErr w:type="gramEnd"/>
    </w:p>
    <w:p w:rsidR="00943F35" w:rsidRPr="000D3AD4" w:rsidRDefault="00943F35" w:rsidP="009A653B">
      <w:pPr>
        <w:spacing w:after="0"/>
        <w:contextualSpacing/>
        <w:jc w:val="both"/>
        <w:rPr>
          <w:rFonts w:ascii="Lato Light" w:hAnsi="Lato Light"/>
          <w:sz w:val="24"/>
          <w:szCs w:val="24"/>
        </w:rPr>
      </w:pPr>
    </w:p>
    <w:p w:rsidR="00E93C61" w:rsidRPr="000D3AD4" w:rsidRDefault="0093027E" w:rsidP="009A653B">
      <w:pPr>
        <w:spacing w:after="0"/>
        <w:contextualSpacing/>
        <w:jc w:val="both"/>
        <w:rPr>
          <w:rFonts w:ascii="Lato Light" w:hAnsi="Lato Light"/>
          <w:sz w:val="24"/>
          <w:szCs w:val="24"/>
        </w:rPr>
      </w:pPr>
      <w:r w:rsidRPr="000D3AD4">
        <w:rPr>
          <w:rFonts w:ascii="Lato Light" w:hAnsi="Lato Light"/>
          <w:sz w:val="24"/>
          <w:szCs w:val="24"/>
        </w:rPr>
        <w:t>Two-dimensional (2D) i</w:t>
      </w:r>
      <w:r w:rsidR="00EF13AB" w:rsidRPr="000D3AD4">
        <w:rPr>
          <w:rFonts w:ascii="Lato Light" w:hAnsi="Lato Light"/>
          <w:sz w:val="24"/>
          <w:szCs w:val="24"/>
        </w:rPr>
        <w:t xml:space="preserve">mages </w:t>
      </w:r>
      <w:r w:rsidR="00963CA9" w:rsidRPr="000D3AD4">
        <w:rPr>
          <w:rFonts w:ascii="Lato Light" w:hAnsi="Lato Light"/>
          <w:sz w:val="24"/>
          <w:szCs w:val="24"/>
        </w:rPr>
        <w:t xml:space="preserve">of the Perdiz </w:t>
      </w:r>
      <w:r w:rsidR="005616AD" w:rsidRPr="000D3AD4">
        <w:rPr>
          <w:rFonts w:ascii="Lato Light" w:hAnsi="Lato Light"/>
          <w:sz w:val="24"/>
          <w:szCs w:val="24"/>
        </w:rPr>
        <w:t xml:space="preserve">arrow </w:t>
      </w:r>
      <w:r w:rsidR="00963CA9" w:rsidRPr="000D3AD4">
        <w:rPr>
          <w:rFonts w:ascii="Lato Light" w:hAnsi="Lato Light"/>
          <w:sz w:val="24"/>
          <w:szCs w:val="24"/>
        </w:rPr>
        <w:t xml:space="preserve">points </w:t>
      </w:r>
      <w:proofErr w:type="gramStart"/>
      <w:r w:rsidR="00EF13AB" w:rsidRPr="000D3AD4">
        <w:rPr>
          <w:rFonts w:ascii="Lato Light" w:hAnsi="Lato Light"/>
          <w:sz w:val="24"/>
          <w:szCs w:val="24"/>
        </w:rPr>
        <w:t>were collected</w:t>
      </w:r>
      <w:proofErr w:type="gramEnd"/>
      <w:r w:rsidR="00EF13AB" w:rsidRPr="000D3AD4">
        <w:rPr>
          <w:rFonts w:ascii="Lato Light" w:hAnsi="Lato Light"/>
          <w:sz w:val="24"/>
          <w:szCs w:val="24"/>
        </w:rPr>
        <w:t xml:space="preserve"> </w:t>
      </w:r>
      <w:r w:rsidR="001A67B1" w:rsidRPr="000D3AD4">
        <w:rPr>
          <w:rFonts w:ascii="Lato Light" w:hAnsi="Lato Light"/>
          <w:sz w:val="24"/>
          <w:szCs w:val="24"/>
        </w:rPr>
        <w:t>at a 6</w:t>
      </w:r>
      <w:r w:rsidRPr="000D3AD4">
        <w:rPr>
          <w:rFonts w:ascii="Lato Light" w:hAnsi="Lato Light"/>
          <w:sz w:val="24"/>
          <w:szCs w:val="24"/>
        </w:rPr>
        <w:t>00dpi resolution to produce</w:t>
      </w:r>
      <w:r w:rsidR="00E20CF0" w:rsidRPr="000D3AD4">
        <w:rPr>
          <w:rFonts w:ascii="Lato Light" w:hAnsi="Lato Light"/>
          <w:sz w:val="24"/>
          <w:szCs w:val="24"/>
        </w:rPr>
        <w:t xml:space="preserve"> uncompressed tiff </w:t>
      </w:r>
      <w:r w:rsidRPr="000D3AD4">
        <w:rPr>
          <w:rFonts w:ascii="Lato Light" w:hAnsi="Lato Light"/>
          <w:sz w:val="24"/>
          <w:szCs w:val="24"/>
        </w:rPr>
        <w:t>files</w:t>
      </w:r>
      <w:r w:rsidR="00C35A3F" w:rsidRPr="000D3AD4">
        <w:rPr>
          <w:rFonts w:ascii="Lato Light" w:hAnsi="Lato Light"/>
          <w:sz w:val="24"/>
          <w:szCs w:val="24"/>
        </w:rPr>
        <w:t xml:space="preserve">. </w:t>
      </w:r>
      <w:r w:rsidR="00963CA9" w:rsidRPr="000D3AD4">
        <w:rPr>
          <w:rFonts w:ascii="Lato Light" w:hAnsi="Lato Light"/>
          <w:sz w:val="24"/>
          <w:szCs w:val="24"/>
        </w:rPr>
        <w:t>Images</w:t>
      </w:r>
      <w:r w:rsidR="00C35A3F" w:rsidRPr="000D3AD4">
        <w:rPr>
          <w:rFonts w:ascii="Lato Light" w:hAnsi="Lato Light"/>
          <w:sz w:val="24"/>
          <w:szCs w:val="24"/>
        </w:rPr>
        <w:t xml:space="preserve"> </w:t>
      </w:r>
      <w:r w:rsidRPr="000D3AD4">
        <w:rPr>
          <w:rFonts w:ascii="Lato Light" w:hAnsi="Lato Light"/>
          <w:sz w:val="24"/>
          <w:szCs w:val="24"/>
        </w:rPr>
        <w:t xml:space="preserve">were </w:t>
      </w:r>
      <w:r w:rsidR="004B75D1" w:rsidRPr="000D3AD4">
        <w:rPr>
          <w:rFonts w:ascii="Lato Light" w:hAnsi="Lato Light"/>
          <w:sz w:val="24"/>
          <w:szCs w:val="24"/>
        </w:rPr>
        <w:t>subsequently</w:t>
      </w:r>
      <w:r w:rsidR="00C35A3F" w:rsidRPr="000D3AD4">
        <w:rPr>
          <w:rFonts w:ascii="Lato Light" w:hAnsi="Lato Light"/>
          <w:sz w:val="24"/>
          <w:szCs w:val="24"/>
        </w:rPr>
        <w:t xml:space="preserve"> </w:t>
      </w:r>
      <w:r w:rsidR="00EF13AB" w:rsidRPr="000D3AD4">
        <w:rPr>
          <w:rFonts w:ascii="Lato Light" w:hAnsi="Lato Light"/>
          <w:sz w:val="24"/>
          <w:szCs w:val="24"/>
        </w:rPr>
        <w:t>masked in Adobe Photoshop</w:t>
      </w:r>
      <w:r w:rsidR="00C35A3F" w:rsidRPr="000D3AD4">
        <w:rPr>
          <w:rFonts w:ascii="Lato Light" w:hAnsi="Lato Light"/>
          <w:sz w:val="24"/>
          <w:szCs w:val="24"/>
        </w:rPr>
        <w:t xml:space="preserve"> 2020 (v. 21.2.3)</w:t>
      </w:r>
      <w:r w:rsidR="004B75D1" w:rsidRPr="000D3AD4">
        <w:rPr>
          <w:rFonts w:ascii="Lato Light" w:hAnsi="Lato Light"/>
          <w:sz w:val="24"/>
          <w:szCs w:val="24"/>
        </w:rPr>
        <w:t xml:space="preserve">, exported as jpegs, </w:t>
      </w:r>
      <w:r w:rsidR="00943F35" w:rsidRPr="000D3AD4">
        <w:rPr>
          <w:rFonts w:ascii="Lato Light" w:hAnsi="Lato Light"/>
          <w:sz w:val="24"/>
          <w:szCs w:val="24"/>
        </w:rPr>
        <w:t>then</w:t>
      </w:r>
      <w:r w:rsidR="004B75D1" w:rsidRPr="000D3AD4">
        <w:rPr>
          <w:rFonts w:ascii="Lato Light" w:hAnsi="Lato Light"/>
          <w:sz w:val="24"/>
          <w:szCs w:val="24"/>
        </w:rPr>
        <w:t xml:space="preserve"> </w:t>
      </w:r>
      <w:r w:rsidR="00E20CF0" w:rsidRPr="000D3AD4">
        <w:rPr>
          <w:rFonts w:ascii="Lato Light" w:hAnsi="Lato Light"/>
          <w:sz w:val="24"/>
          <w:szCs w:val="24"/>
        </w:rPr>
        <w:t>imported to R</w:t>
      </w:r>
      <w:r w:rsidR="00E93C61" w:rsidRPr="000D3AD4">
        <w:rPr>
          <w:rFonts w:ascii="Lato Light" w:hAnsi="Lato Light"/>
          <w:sz w:val="24"/>
          <w:szCs w:val="24"/>
        </w:rPr>
        <w:t xml:space="preserve"> </w:t>
      </w:r>
      <w:r w:rsidR="00E93C61" w:rsidRPr="000D3AD4">
        <w:rPr>
          <w:rFonts w:ascii="Lato Light" w:hAnsi="Lato Light"/>
          <w:sz w:val="24"/>
          <w:szCs w:val="24"/>
        </w:rPr>
        <w:fldChar w:fldCharType="begin"/>
      </w:r>
      <w:r w:rsidR="00BE71A8" w:rsidRPr="000D3AD4">
        <w:rPr>
          <w:rFonts w:ascii="Lato Light" w:hAnsi="Lato Light"/>
          <w:sz w:val="24"/>
          <w:szCs w:val="24"/>
        </w:rPr>
        <w:instrText xml:space="preserve"> ADDIN EN.CITE &lt;EndNote&gt;&lt;Cite&gt;&lt;Author&gt;R Core Development Team&lt;/Author&gt;&lt;Year&gt;2020&lt;/Year&gt;&lt;RecNum&gt;477&lt;/RecNum&gt;&lt;DisplayText&gt;(R Core Development Team 2020)&lt;/DisplayText&gt;&lt;record&gt;&lt;rec-number&gt;477&lt;/rec-number&gt;&lt;foreign-keys&gt;&lt;key app="EN" db-id="wttdfprdqd5vsae0rw9xwts5zvpwxs5t05fw" timestamp="1495460629" guid="fbb17845-119a-4d22-8963-fb170cde7df0"&gt;477&lt;/key&gt;&lt;/foreign-keys&gt;&lt;ref-type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0D3AD4">
        <w:rPr>
          <w:rFonts w:ascii="Lato Light" w:hAnsi="Lato Light"/>
          <w:sz w:val="24"/>
          <w:szCs w:val="24"/>
        </w:rPr>
        <w:fldChar w:fldCharType="separate"/>
      </w:r>
      <w:r w:rsidR="00BE71A8" w:rsidRPr="000D3AD4">
        <w:rPr>
          <w:rFonts w:ascii="Lato Light" w:hAnsi="Lato Light"/>
          <w:noProof/>
          <w:sz w:val="24"/>
          <w:szCs w:val="24"/>
        </w:rPr>
        <w:t>(</w:t>
      </w:r>
      <w:hyperlink w:anchor="_ENREF_30" w:tooltip="R Core Development Team, 2020 #477" w:history="1">
        <w:r w:rsidR="000D3AD4" w:rsidRPr="000D3AD4">
          <w:rPr>
            <w:rStyle w:val="Hyperlink"/>
            <w:rFonts w:ascii="Lato Light" w:hAnsi="Lato Light"/>
          </w:rPr>
          <w:t>R Core Development Team 2020</w:t>
        </w:r>
      </w:hyperlink>
      <w:r w:rsidR="00BE71A8" w:rsidRPr="000D3AD4">
        <w:rPr>
          <w:rFonts w:ascii="Lato Light" w:hAnsi="Lato Light"/>
          <w:noProof/>
          <w:sz w:val="24"/>
          <w:szCs w:val="24"/>
        </w:rPr>
        <w:t>)</w:t>
      </w:r>
      <w:r w:rsidR="00E93C61" w:rsidRPr="000D3AD4">
        <w:rPr>
          <w:rFonts w:ascii="Lato Light" w:hAnsi="Lato Light"/>
          <w:sz w:val="24"/>
          <w:szCs w:val="24"/>
        </w:rPr>
        <w:fldChar w:fldCharType="end"/>
      </w:r>
      <w:r w:rsidR="00E20CF0" w:rsidRPr="000D3AD4">
        <w:rPr>
          <w:rFonts w:ascii="Lato Light" w:hAnsi="Lato Light"/>
          <w:sz w:val="24"/>
          <w:szCs w:val="24"/>
        </w:rPr>
        <w:t xml:space="preserve">, where the </w:t>
      </w:r>
      <w:proofErr w:type="spellStart"/>
      <w:r w:rsidR="00E20CF0" w:rsidRPr="000D3AD4">
        <w:rPr>
          <w:rFonts w:ascii="Lato Light" w:hAnsi="Lato Light"/>
          <w:sz w:val="24"/>
          <w:szCs w:val="24"/>
        </w:rPr>
        <w:t>Momocs</w:t>
      </w:r>
      <w:proofErr w:type="spellEnd"/>
      <w:r w:rsidR="00E20CF0" w:rsidRPr="000D3AD4">
        <w:rPr>
          <w:rFonts w:ascii="Lato Light" w:hAnsi="Lato Light"/>
          <w:sz w:val="24"/>
          <w:szCs w:val="24"/>
        </w:rPr>
        <w:t xml:space="preserve"> </w:t>
      </w:r>
      <w:r w:rsidR="00963CA9" w:rsidRPr="000D3AD4">
        <w:rPr>
          <w:rFonts w:ascii="Lato Light" w:hAnsi="Lato Light"/>
          <w:sz w:val="24"/>
          <w:szCs w:val="24"/>
        </w:rPr>
        <w:t>package</w:t>
      </w:r>
      <w:r w:rsidR="00E20CF0" w:rsidRPr="000D3AD4">
        <w:rPr>
          <w:rFonts w:ascii="Lato Light" w:hAnsi="Lato Light"/>
          <w:sz w:val="24"/>
          <w:szCs w:val="24"/>
        </w:rPr>
        <w:t xml:space="preserve"> was used for the </w:t>
      </w:r>
      <w:r w:rsidR="006A339A" w:rsidRPr="000D3AD4">
        <w:rPr>
          <w:rFonts w:ascii="Lato Light" w:hAnsi="Lato Light"/>
          <w:sz w:val="24"/>
          <w:szCs w:val="24"/>
        </w:rPr>
        <w:t xml:space="preserve">subsequent </w:t>
      </w:r>
      <w:r w:rsidR="001A67B1" w:rsidRPr="000D3AD4">
        <w:rPr>
          <w:rFonts w:ascii="Lato Light" w:hAnsi="Lato Light"/>
          <w:sz w:val="24"/>
          <w:szCs w:val="24"/>
        </w:rPr>
        <w:t>elliptical Fourier analysis</w:t>
      </w:r>
      <w:r w:rsidR="004B75D1" w:rsidRPr="000D3AD4">
        <w:rPr>
          <w:rFonts w:ascii="Lato Light" w:hAnsi="Lato Light"/>
          <w:sz w:val="24"/>
          <w:szCs w:val="24"/>
        </w:rPr>
        <w:t xml:space="preserve"> (EFA)</w:t>
      </w:r>
      <w:r w:rsidR="004E28BC" w:rsidRPr="000D3AD4">
        <w:rPr>
          <w:rFonts w:ascii="Lato Light" w:hAnsi="Lato Light"/>
          <w:sz w:val="24"/>
          <w:szCs w:val="24"/>
        </w:rPr>
        <w:t xml:space="preserve"> </w:t>
      </w:r>
      <w:r w:rsidR="004E28BC"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4E28BC" w:rsidRPr="000D3AD4">
        <w:rPr>
          <w:rFonts w:ascii="Lato Light" w:hAnsi="Lato Light"/>
          <w:sz w:val="24"/>
          <w:szCs w:val="24"/>
        </w:rPr>
        <w:fldChar w:fldCharType="end"/>
      </w:r>
      <w:r w:rsidR="001A67B1" w:rsidRPr="000D3AD4">
        <w:rPr>
          <w:rFonts w:ascii="Lato Light" w:hAnsi="Lato Light"/>
          <w:sz w:val="24"/>
          <w:szCs w:val="24"/>
        </w:rPr>
        <w:t>.</w:t>
      </w:r>
      <w:r w:rsidR="004E28BC" w:rsidRPr="000D3AD4">
        <w:rPr>
          <w:rFonts w:ascii="Lato Light" w:hAnsi="Lato Light"/>
          <w:sz w:val="24"/>
          <w:szCs w:val="24"/>
        </w:rPr>
        <w:t xml:space="preserve"> </w:t>
      </w:r>
      <w:r w:rsidR="004B75D1" w:rsidRPr="000D3AD4">
        <w:rPr>
          <w:rFonts w:ascii="Lato Light" w:hAnsi="Lato Light"/>
          <w:sz w:val="24"/>
          <w:szCs w:val="24"/>
        </w:rPr>
        <w:t xml:space="preserve">EFA is a common tool for analyses of stone tool shape </w:t>
      </w:r>
      <w:r w:rsidR="004B75D1"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 </w:instrText>
      </w:r>
      <w:r w:rsidR="00F00C67"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EN.CITE.DATA </w:instrText>
      </w:r>
      <w:r w:rsidR="00F00C67" w:rsidRPr="000D3AD4">
        <w:rPr>
          <w:rFonts w:ascii="Lato Light" w:hAnsi="Lato Light"/>
          <w:sz w:val="24"/>
          <w:szCs w:val="24"/>
        </w:rPr>
      </w:r>
      <w:r w:rsidR="00F00C67" w:rsidRPr="000D3AD4">
        <w:rPr>
          <w:rFonts w:ascii="Lato Light" w:hAnsi="Lato Light"/>
          <w:sz w:val="24"/>
          <w:szCs w:val="24"/>
        </w:rPr>
        <w:fldChar w:fldCharType="end"/>
      </w:r>
      <w:r w:rsidR="004B75D1" w:rsidRPr="000D3AD4">
        <w:rPr>
          <w:rFonts w:ascii="Lato Light" w:hAnsi="Lato Light"/>
          <w:sz w:val="24"/>
          <w:szCs w:val="24"/>
        </w:rPr>
      </w:r>
      <w:r w:rsidR="004B75D1"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9" w:tooltip="Gero, 1984 #4372" w:history="1">
        <w:r w:rsidR="000D3AD4" w:rsidRPr="000D3AD4">
          <w:rPr>
            <w:rStyle w:val="Hyperlink"/>
            <w:rFonts w:ascii="Lato Light" w:hAnsi="Lato Light"/>
          </w:rPr>
          <w:t>Gero and Mazzullo 1984</w:t>
        </w:r>
      </w:hyperlink>
      <w:r w:rsidR="00F00C67" w:rsidRPr="000D3AD4">
        <w:rPr>
          <w:rFonts w:ascii="Lato Light" w:hAnsi="Lato Light"/>
          <w:noProof/>
          <w:sz w:val="24"/>
          <w:szCs w:val="24"/>
        </w:rPr>
        <w:t xml:space="preserve">; </w:t>
      </w:r>
      <w:hyperlink w:anchor="_ENREF_14" w:tooltip="Ioviţă, 2009 #4343"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2009</w:t>
        </w:r>
      </w:hyperlink>
      <w:r w:rsidR="00F00C67" w:rsidRPr="000D3AD4">
        <w:rPr>
          <w:rFonts w:ascii="Lato Light" w:hAnsi="Lato Light"/>
          <w:noProof/>
          <w:sz w:val="24"/>
          <w:szCs w:val="24"/>
        </w:rPr>
        <w:t xml:space="preserve">, </w:t>
      </w:r>
      <w:hyperlink w:anchor="_ENREF_15" w:tooltip="Ioviţă, 2010 #4366" w:history="1">
        <w:r w:rsidR="000D3AD4" w:rsidRPr="000D3AD4">
          <w:rPr>
            <w:rStyle w:val="Hyperlink"/>
            <w:rFonts w:ascii="Lato Light" w:hAnsi="Lato Light"/>
          </w:rPr>
          <w:t>2010</w:t>
        </w:r>
      </w:hyperlink>
      <w:r w:rsidR="00F00C67" w:rsidRPr="000D3AD4">
        <w:rPr>
          <w:rFonts w:ascii="Lato Light" w:hAnsi="Lato Light"/>
          <w:noProof/>
          <w:sz w:val="24"/>
          <w:szCs w:val="24"/>
        </w:rPr>
        <w:t xml:space="preserve">; </w:t>
      </w:r>
      <w:hyperlink w:anchor="_ENREF_16" w:tooltip="Ioviţă, 2011 #434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and McPherron 2011</w:t>
        </w:r>
      </w:hyperlink>
      <w:r w:rsidR="00F00C67" w:rsidRPr="000D3AD4">
        <w:rPr>
          <w:rFonts w:ascii="Lato Light" w:hAnsi="Lato Light"/>
          <w:noProof/>
          <w:sz w:val="24"/>
          <w:szCs w:val="24"/>
        </w:rPr>
        <w:t xml:space="preserve">; </w:t>
      </w:r>
      <w:hyperlink w:anchor="_ENREF_17" w:tooltip="Ioviţă, 2017 #1197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et al. 2017</w:t>
        </w:r>
      </w:hyperlink>
      <w:r w:rsidR="00F00C67" w:rsidRPr="000D3AD4">
        <w:rPr>
          <w:rFonts w:ascii="Lato Light" w:hAnsi="Lato Light"/>
          <w:noProof/>
          <w:sz w:val="24"/>
          <w:szCs w:val="24"/>
        </w:rPr>
        <w:t xml:space="preserve">; </w:t>
      </w:r>
      <w:hyperlink w:anchor="_ENREF_18" w:tooltip="Ivanovaitė, 2019 #20897" w:history="1">
        <w:r w:rsidR="000D3AD4" w:rsidRPr="000D3AD4">
          <w:rPr>
            <w:rStyle w:val="Hyperlink"/>
            <w:rFonts w:ascii="Lato Light" w:hAnsi="Lato Light"/>
          </w:rPr>
          <w:t>Ivanovait</w:t>
        </w:r>
        <w:r w:rsidR="000D3AD4" w:rsidRPr="000D3AD4">
          <w:rPr>
            <w:rStyle w:val="Hyperlink"/>
            <w:rFonts w:ascii="Calibri" w:hAnsi="Calibri" w:cs="Calibri"/>
          </w:rPr>
          <w:t>ė</w:t>
        </w:r>
        <w:r w:rsidR="000D3AD4" w:rsidRPr="000D3AD4">
          <w:rPr>
            <w:rStyle w:val="Hyperlink"/>
            <w:rFonts w:ascii="Lato Light" w:hAnsi="Lato Light"/>
          </w:rPr>
          <w:t>, et al. 2019</w:t>
        </w:r>
      </w:hyperlink>
      <w:r w:rsidR="00F00C67" w:rsidRPr="000D3AD4">
        <w:rPr>
          <w:rFonts w:ascii="Lato Light" w:hAnsi="Lato Light"/>
          <w:noProof/>
          <w:sz w:val="24"/>
          <w:szCs w:val="24"/>
        </w:rPr>
        <w:t xml:space="preserve">; </w:t>
      </w:r>
      <w:hyperlink w:anchor="_ENREF_32" w:tooltip="Saragusti, 2005 #4347" w:history="1">
        <w:r w:rsidR="000D3AD4" w:rsidRPr="000D3AD4">
          <w:rPr>
            <w:rStyle w:val="Hyperlink"/>
            <w:rFonts w:ascii="Lato Light" w:hAnsi="Lato Light"/>
          </w:rPr>
          <w:t>Saragusti, et al. 2005</w:t>
        </w:r>
      </w:hyperlink>
      <w:r w:rsidR="00F00C67" w:rsidRPr="000D3AD4">
        <w:rPr>
          <w:rFonts w:ascii="Lato Light" w:hAnsi="Lato Light"/>
          <w:noProof/>
          <w:sz w:val="24"/>
          <w:szCs w:val="24"/>
        </w:rPr>
        <w:t xml:space="preserve">; </w:t>
      </w:r>
      <w:hyperlink w:anchor="_ENREF_44" w:tooltip="Serwatka, 2015 #11548" w:history="1">
        <w:r w:rsidR="000D3AD4" w:rsidRPr="000D3AD4">
          <w:rPr>
            <w:rStyle w:val="Hyperlink"/>
            <w:rFonts w:ascii="Lato Light" w:hAnsi="Lato Light"/>
          </w:rPr>
          <w:t>Serwatka 2015</w:t>
        </w:r>
      </w:hyperlink>
      <w:r w:rsidR="00F00C67" w:rsidRPr="000D3AD4">
        <w:rPr>
          <w:rFonts w:ascii="Lato Light" w:hAnsi="Lato Light"/>
          <w:noProof/>
          <w:sz w:val="24"/>
          <w:szCs w:val="24"/>
        </w:rPr>
        <w:t>)</w:t>
      </w:r>
      <w:r w:rsidR="004B75D1" w:rsidRPr="000D3AD4">
        <w:rPr>
          <w:rFonts w:ascii="Lato Light" w:hAnsi="Lato Light"/>
          <w:sz w:val="24"/>
          <w:szCs w:val="24"/>
        </w:rPr>
        <w:fldChar w:fldCharType="end"/>
      </w:r>
      <w:r w:rsidR="004B75D1" w:rsidRPr="000D3AD4">
        <w:rPr>
          <w:rFonts w:ascii="Lato Light" w:hAnsi="Lato Light"/>
          <w:sz w:val="24"/>
          <w:szCs w:val="24"/>
        </w:rPr>
        <w:t xml:space="preserve">, and provides visualizations that </w:t>
      </w:r>
      <w:r w:rsidR="00963CA9" w:rsidRPr="000D3AD4">
        <w:rPr>
          <w:rFonts w:ascii="Lato Light" w:hAnsi="Lato Light"/>
          <w:sz w:val="24"/>
          <w:szCs w:val="24"/>
        </w:rPr>
        <w:t xml:space="preserve">can contribute meaningfully to </w:t>
      </w:r>
      <w:r w:rsidR="001F02F6" w:rsidRPr="000D3AD4">
        <w:rPr>
          <w:rFonts w:ascii="Lato Light" w:hAnsi="Lato Light"/>
          <w:sz w:val="24"/>
          <w:szCs w:val="24"/>
        </w:rPr>
        <w:t xml:space="preserve">traditional descriptions, as well as </w:t>
      </w:r>
      <w:r w:rsidR="00963CA9" w:rsidRPr="000D3AD4">
        <w:rPr>
          <w:rFonts w:ascii="Lato Light" w:hAnsi="Lato Light"/>
          <w:sz w:val="24"/>
          <w:szCs w:val="24"/>
        </w:rPr>
        <w:t>linear</w:t>
      </w:r>
      <w:r w:rsidR="001F02F6" w:rsidRPr="000D3AD4">
        <w:rPr>
          <w:rFonts w:ascii="Lato Light" w:hAnsi="Lato Light"/>
          <w:sz w:val="24"/>
          <w:szCs w:val="24"/>
        </w:rPr>
        <w:t xml:space="preserve"> and/or orthogonal</w:t>
      </w:r>
      <w:r w:rsidR="00963CA9" w:rsidRPr="000D3AD4">
        <w:rPr>
          <w:rFonts w:ascii="Lato Light" w:hAnsi="Lato Light"/>
          <w:sz w:val="24"/>
          <w:szCs w:val="24"/>
        </w:rPr>
        <w:t xml:space="preserve"> metrics</w:t>
      </w:r>
      <w:r w:rsidR="004B75D1" w:rsidRPr="000D3AD4">
        <w:rPr>
          <w:rFonts w:ascii="Lato Light" w:hAnsi="Lato Light"/>
          <w:sz w:val="24"/>
          <w:szCs w:val="24"/>
        </w:rPr>
        <w:t xml:space="preserve">. </w:t>
      </w:r>
      <w:r w:rsidR="00A9180F" w:rsidRPr="000D3AD4">
        <w:rPr>
          <w:rFonts w:ascii="Lato Light" w:hAnsi="Lato Light"/>
          <w:sz w:val="24"/>
          <w:szCs w:val="24"/>
        </w:rPr>
        <w:t>The outline of each pr</w:t>
      </w:r>
      <w:r w:rsidR="004A3796" w:rsidRPr="000D3AD4">
        <w:rPr>
          <w:rFonts w:ascii="Lato Light" w:hAnsi="Lato Light"/>
          <w:sz w:val="24"/>
          <w:szCs w:val="24"/>
        </w:rPr>
        <w:t>ojectile was retained</w:t>
      </w:r>
      <w:r w:rsidR="00A9180F" w:rsidRPr="000D3AD4">
        <w:rPr>
          <w:rFonts w:ascii="Lato Light" w:hAnsi="Lato Light"/>
          <w:sz w:val="24"/>
          <w:szCs w:val="24"/>
        </w:rPr>
        <w:t xml:space="preserve">, and all specimens were normalized to a common centroid, then rescaled using centroid size </w:t>
      </w:r>
      <w:r w:rsidR="00A9180F"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1" w:tooltip="Bonhomme, 2017 #20898" w:history="1">
        <w:r w:rsidR="000D3AD4" w:rsidRPr="000D3AD4">
          <w:rPr>
            <w:rStyle w:val="Hyperlink"/>
            <w:rFonts w:ascii="Lato Light" w:hAnsi="Lato Light"/>
          </w:rPr>
          <w:t>Bonhomme, et al. 2017</w:t>
        </w:r>
      </w:hyperlink>
      <w:r w:rsidR="00F00C67" w:rsidRPr="000D3AD4">
        <w:rPr>
          <w:rFonts w:ascii="Lato Light" w:hAnsi="Lato Light"/>
          <w:noProof/>
          <w:sz w:val="24"/>
          <w:szCs w:val="24"/>
        </w:rPr>
        <w:t>)</w:t>
      </w:r>
      <w:r w:rsidR="00A9180F" w:rsidRPr="000D3AD4">
        <w:rPr>
          <w:rFonts w:ascii="Lato Light" w:hAnsi="Lato Light"/>
          <w:sz w:val="24"/>
          <w:szCs w:val="24"/>
        </w:rPr>
        <w:fldChar w:fldCharType="end"/>
      </w:r>
      <w:r w:rsidR="00523244" w:rsidRPr="000D3AD4">
        <w:rPr>
          <w:rFonts w:ascii="Lato Light" w:hAnsi="Lato Light"/>
          <w:sz w:val="24"/>
          <w:szCs w:val="24"/>
        </w:rPr>
        <w:t xml:space="preserve">. The </w:t>
      </w:r>
      <w:r w:rsidR="00523244" w:rsidRPr="000D3AD4">
        <w:rPr>
          <w:rFonts w:ascii="Lato Light" w:hAnsi="Lato Light"/>
          <w:i/>
          <w:sz w:val="24"/>
          <w:szCs w:val="24"/>
        </w:rPr>
        <w:t xml:space="preserve">calibrate harmonic power </w:t>
      </w:r>
      <w:r w:rsidR="00523244" w:rsidRPr="000D3AD4">
        <w:rPr>
          <w:rFonts w:ascii="Lato Light" w:hAnsi="Lato Light"/>
          <w:sz w:val="24"/>
          <w:szCs w:val="24"/>
        </w:rPr>
        <w:t>function was used to identify the number of harmonics necessary to capture Perdiz point shape</w:t>
      </w:r>
      <w:r w:rsidR="00963CA9" w:rsidRPr="000D3AD4">
        <w:rPr>
          <w:rFonts w:ascii="Lato Light" w:hAnsi="Lato Light"/>
          <w:sz w:val="24"/>
          <w:szCs w:val="24"/>
        </w:rPr>
        <w:t xml:space="preserve"> </w:t>
      </w:r>
      <w:r w:rsidR="00523244"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523244" w:rsidRPr="000D3AD4">
        <w:rPr>
          <w:rFonts w:ascii="Lato Light" w:hAnsi="Lato Light"/>
          <w:sz w:val="24"/>
          <w:szCs w:val="24"/>
        </w:rPr>
        <w:fldChar w:fldCharType="end"/>
      </w:r>
      <w:r w:rsidR="00523244" w:rsidRPr="000D3AD4">
        <w:rPr>
          <w:rFonts w:ascii="Lato Light" w:hAnsi="Lato Light"/>
          <w:sz w:val="24"/>
          <w:szCs w:val="24"/>
        </w:rPr>
        <w:t xml:space="preserve">, </w:t>
      </w:r>
      <w:r w:rsidR="002F53EB" w:rsidRPr="000D3AD4">
        <w:rPr>
          <w:rFonts w:ascii="Lato Light" w:hAnsi="Lato Light"/>
          <w:sz w:val="24"/>
          <w:szCs w:val="24"/>
        </w:rPr>
        <w:t>and 11 harmonics</w:t>
      </w:r>
      <w:r w:rsidR="00523244" w:rsidRPr="000D3AD4">
        <w:rPr>
          <w:rFonts w:ascii="Lato Light" w:hAnsi="Lato Light"/>
          <w:sz w:val="24"/>
          <w:szCs w:val="24"/>
        </w:rPr>
        <w:t xml:space="preserve"> were retained to achieve 99 percent harmonic p</w:t>
      </w:r>
      <w:r w:rsidR="00564ED4" w:rsidRPr="000D3AD4">
        <w:rPr>
          <w:rFonts w:ascii="Lato Light" w:hAnsi="Lato Light"/>
          <w:sz w:val="24"/>
          <w:szCs w:val="24"/>
        </w:rPr>
        <w:t>ower.</w:t>
      </w:r>
    </w:p>
    <w:p w:rsidR="003E1F2A" w:rsidRPr="000D3AD4" w:rsidRDefault="003E1F2A" w:rsidP="00122EA2">
      <w:pPr>
        <w:spacing w:after="0"/>
        <w:contextualSpacing/>
        <w:rPr>
          <w:rFonts w:ascii="Lato Light" w:hAnsi="Lato Light"/>
          <w:sz w:val="24"/>
          <w:szCs w:val="24"/>
        </w:rPr>
      </w:pPr>
    </w:p>
    <w:p w:rsidR="00523244" w:rsidRPr="000D3AD4" w:rsidRDefault="00523244" w:rsidP="00BA35E7">
      <w:pPr>
        <w:spacing w:after="0"/>
        <w:contextualSpacing/>
        <w:jc w:val="both"/>
        <w:rPr>
          <w:rFonts w:ascii="Lato Light" w:hAnsi="Lato Light"/>
          <w:sz w:val="24"/>
          <w:szCs w:val="24"/>
        </w:rPr>
      </w:pPr>
      <w:r w:rsidRPr="000D3AD4">
        <w:rPr>
          <w:rFonts w:ascii="Lato Light" w:hAnsi="Lato Light"/>
          <w:sz w:val="24"/>
          <w:szCs w:val="24"/>
        </w:rPr>
        <w:t>An exploratory measure</w:t>
      </w:r>
      <w:r w:rsidR="00C95933" w:rsidRPr="000D3AD4">
        <w:rPr>
          <w:rFonts w:ascii="Lato Light" w:hAnsi="Lato Light"/>
          <w:sz w:val="24"/>
          <w:szCs w:val="24"/>
        </w:rPr>
        <w:t xml:space="preserve"> (EFA-PCA) </w:t>
      </w:r>
      <w:proofErr w:type="gramStart"/>
      <w:r w:rsidR="00C95933" w:rsidRPr="000D3AD4">
        <w:rPr>
          <w:rFonts w:ascii="Lato Light" w:hAnsi="Lato Light"/>
          <w:sz w:val="24"/>
          <w:szCs w:val="24"/>
        </w:rPr>
        <w:t xml:space="preserve">was </w:t>
      </w:r>
      <w:r w:rsidR="00EB0BDA" w:rsidRPr="000D3AD4">
        <w:rPr>
          <w:rFonts w:ascii="Lato Light" w:hAnsi="Lato Light"/>
          <w:sz w:val="24"/>
          <w:szCs w:val="24"/>
        </w:rPr>
        <w:t>employed</w:t>
      </w:r>
      <w:proofErr w:type="gramEnd"/>
      <w:r w:rsidR="00C95933" w:rsidRPr="000D3AD4">
        <w:rPr>
          <w:rFonts w:ascii="Lato Light" w:hAnsi="Lato Light"/>
          <w:sz w:val="24"/>
          <w:szCs w:val="24"/>
        </w:rPr>
        <w:t xml:space="preserve"> to</w:t>
      </w:r>
      <w:r w:rsidRPr="000D3AD4">
        <w:rPr>
          <w:rFonts w:ascii="Lato Light" w:hAnsi="Lato Light"/>
          <w:sz w:val="24"/>
          <w:szCs w:val="24"/>
        </w:rPr>
        <w:t xml:space="preserve"> assess </w:t>
      </w:r>
      <w:r w:rsidR="00EB0BDA" w:rsidRPr="000D3AD4">
        <w:rPr>
          <w:rFonts w:ascii="Lato Light" w:hAnsi="Lato Light"/>
          <w:sz w:val="24"/>
          <w:szCs w:val="24"/>
        </w:rPr>
        <w:t>variability a</w:t>
      </w:r>
      <w:r w:rsidR="000A3B30" w:rsidRPr="000D3AD4">
        <w:rPr>
          <w:rFonts w:ascii="Lato Light" w:hAnsi="Lato Light"/>
          <w:sz w:val="24"/>
          <w:szCs w:val="24"/>
        </w:rPr>
        <w:t>mong the raw materials (Figure gm</w:t>
      </w:r>
      <w:r w:rsidR="00EB0BDA" w:rsidRPr="000D3AD4">
        <w:rPr>
          <w:rFonts w:ascii="Lato Light" w:hAnsi="Lato Light"/>
          <w:sz w:val="24"/>
          <w:szCs w:val="24"/>
        </w:rPr>
        <w:t>1). The primary differences among PC1 occur most notably in blade width, while differences in PC2 relate most readily to stem length.</w:t>
      </w:r>
      <w:r w:rsidR="00AD73A3" w:rsidRPr="000D3AD4">
        <w:rPr>
          <w:rFonts w:ascii="Lato Light" w:hAnsi="Lato Light"/>
          <w:sz w:val="24"/>
          <w:szCs w:val="24"/>
        </w:rPr>
        <w:t xml:space="preserve"> This can be seen in the graph where a broader blade with a long stem occurs at the </w:t>
      </w:r>
      <w:r w:rsidR="003E4877" w:rsidRPr="000D3AD4">
        <w:rPr>
          <w:rFonts w:ascii="Lato Light" w:hAnsi="Lato Light"/>
          <w:sz w:val="24"/>
          <w:szCs w:val="24"/>
        </w:rPr>
        <w:t>top</w:t>
      </w:r>
      <w:r w:rsidR="00AD73A3" w:rsidRPr="000D3AD4">
        <w:rPr>
          <w:rFonts w:ascii="Lato Light" w:hAnsi="Lato Light"/>
          <w:sz w:val="24"/>
          <w:szCs w:val="24"/>
        </w:rPr>
        <w:t xml:space="preserve"> right, and a narrower blade with a shorter stem at </w:t>
      </w:r>
      <w:r w:rsidR="003E4877" w:rsidRPr="000D3AD4">
        <w:rPr>
          <w:rFonts w:ascii="Lato Light" w:hAnsi="Lato Light"/>
          <w:sz w:val="24"/>
          <w:szCs w:val="24"/>
        </w:rPr>
        <w:t>bottom</w:t>
      </w:r>
      <w:r w:rsidR="00AD73A3" w:rsidRPr="000D3AD4">
        <w:rPr>
          <w:rFonts w:ascii="Lato Light" w:hAnsi="Lato Light"/>
          <w:sz w:val="24"/>
          <w:szCs w:val="24"/>
        </w:rPr>
        <w:t xml:space="preserve"> left.</w:t>
      </w:r>
    </w:p>
    <w:p w:rsidR="00963CA9" w:rsidRPr="000D3AD4" w:rsidRDefault="00963CA9" w:rsidP="00963CA9">
      <w:pPr>
        <w:spacing w:after="0"/>
        <w:contextualSpacing/>
        <w:rPr>
          <w:rFonts w:ascii="Lato Light" w:hAnsi="Lato Light"/>
          <w:sz w:val="24"/>
          <w:szCs w:val="24"/>
        </w:rPr>
      </w:pPr>
    </w:p>
    <w:p w:rsidR="00963CA9" w:rsidRPr="000D3AD4" w:rsidRDefault="003E4877" w:rsidP="00963CA9">
      <w:pPr>
        <w:spacing w:after="0"/>
        <w:contextualSpacing/>
        <w:jc w:val="center"/>
        <w:rPr>
          <w:rFonts w:ascii="Lato Light" w:hAnsi="Lato Light"/>
          <w:sz w:val="24"/>
          <w:szCs w:val="24"/>
        </w:rPr>
      </w:pPr>
      <w:r w:rsidRPr="000D3AD4">
        <w:rPr>
          <w:rFonts w:ascii="Lato Light" w:hAnsi="Lato Light"/>
          <w:sz w:val="24"/>
          <w:szCs w:val="24"/>
        </w:rPr>
        <w:object w:dxaOrig="15119" w:dyaOrig="9180">
          <v:shape id="_x0000_i1027" type="#_x0000_t75" style="width:468.7pt;height:283.9pt" o:ole="">
            <v:imagedata r:id="rId9" o:title=""/>
          </v:shape>
          <o:OLEObject Type="Embed" ProgID="Acrobat.Document.DC" ShapeID="_x0000_i1027" DrawAspect="Content" ObjectID="_1664345720" r:id="rId10"/>
        </w:object>
      </w:r>
    </w:p>
    <w:p w:rsidR="00963CA9" w:rsidRPr="000D3AD4" w:rsidRDefault="000A3B30" w:rsidP="00963CA9">
      <w:pPr>
        <w:spacing w:after="0"/>
        <w:contextualSpacing/>
        <w:jc w:val="center"/>
        <w:rPr>
          <w:rFonts w:ascii="Lato Light" w:hAnsi="Lato Light"/>
          <w:sz w:val="20"/>
          <w:szCs w:val="20"/>
        </w:rPr>
      </w:pPr>
      <w:r w:rsidRPr="000D3AD4">
        <w:rPr>
          <w:rFonts w:ascii="Lato Light" w:hAnsi="Lato Light"/>
          <w:sz w:val="20"/>
          <w:szCs w:val="20"/>
        </w:rPr>
        <w:t>Figure gm</w:t>
      </w:r>
      <w:r w:rsidR="00963CA9" w:rsidRPr="000D3AD4">
        <w:rPr>
          <w:rFonts w:ascii="Lato Light" w:hAnsi="Lato Light"/>
          <w:sz w:val="20"/>
          <w:szCs w:val="20"/>
        </w:rPr>
        <w:t xml:space="preserve">1.  EFA-PCA for Perdiz points by </w:t>
      </w:r>
      <w:r w:rsidR="003E4877" w:rsidRPr="000D3AD4">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D3AD4">
        <w:rPr>
          <w:rFonts w:ascii="Lato Light" w:hAnsi="Lato Light"/>
          <w:i/>
          <w:sz w:val="20"/>
          <w:szCs w:val="20"/>
        </w:rPr>
        <w:t>Double click image to view in full resolution.</w:t>
      </w:r>
    </w:p>
    <w:p w:rsidR="00776598" w:rsidRPr="000D3AD4" w:rsidRDefault="00776598" w:rsidP="006F16BE">
      <w:pPr>
        <w:spacing w:after="0"/>
        <w:contextualSpacing/>
        <w:rPr>
          <w:rFonts w:ascii="Lato Light" w:hAnsi="Lato Light"/>
          <w:sz w:val="20"/>
          <w:szCs w:val="20"/>
        </w:rPr>
      </w:pPr>
    </w:p>
    <w:p w:rsidR="006F16BE" w:rsidRPr="000D3AD4" w:rsidRDefault="006F16BE" w:rsidP="006F16BE">
      <w:pPr>
        <w:spacing w:after="0"/>
        <w:contextualSpacing/>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776598" w:rsidRPr="000D3AD4" w:rsidRDefault="003E4877" w:rsidP="00963CA9">
      <w:pPr>
        <w:spacing w:after="0"/>
        <w:contextualSpacing/>
        <w:jc w:val="center"/>
        <w:rPr>
          <w:rFonts w:ascii="Lato Light" w:hAnsi="Lato Light"/>
          <w:sz w:val="20"/>
          <w:szCs w:val="20"/>
        </w:rPr>
      </w:pPr>
      <w:r w:rsidRPr="000D3AD4">
        <w:rPr>
          <w:rFonts w:ascii="Lato Light" w:hAnsi="Lato Light"/>
          <w:sz w:val="20"/>
          <w:szCs w:val="20"/>
        </w:rPr>
        <w:object w:dxaOrig="15119" w:dyaOrig="9180">
          <v:shape id="_x0000_i1028" type="#_x0000_t75" style="width:434.7pt;height:264.25pt" o:ole="">
            <v:imagedata r:id="rId11" o:title=""/>
          </v:shape>
          <o:OLEObject Type="Embed" ProgID="Acrobat.Document.DC" ShapeID="_x0000_i1028" DrawAspect="Content" ObjectID="_1664345721" r:id="rId12"/>
        </w:object>
      </w:r>
    </w:p>
    <w:p w:rsidR="00776598" w:rsidRPr="000D3AD4" w:rsidRDefault="00776598" w:rsidP="00776598">
      <w:pPr>
        <w:spacing w:after="0"/>
        <w:contextualSpacing/>
        <w:jc w:val="center"/>
        <w:rPr>
          <w:rFonts w:ascii="Lato Light" w:hAnsi="Lato Light"/>
          <w:sz w:val="20"/>
          <w:szCs w:val="20"/>
        </w:rPr>
      </w:pPr>
      <w:r w:rsidRPr="000D3AD4">
        <w:rPr>
          <w:rFonts w:ascii="Lato Light" w:hAnsi="Lato Light"/>
          <w:sz w:val="20"/>
          <w:szCs w:val="20"/>
        </w:rPr>
        <w:t>Figure gm3. Comparison of mean shapes by temporal period</w:t>
      </w:r>
      <w:r w:rsidR="00DC1326" w:rsidRPr="000D3AD4">
        <w:rPr>
          <w:rFonts w:ascii="Lato Light" w:hAnsi="Lato Light"/>
          <w:sz w:val="20"/>
          <w:szCs w:val="20"/>
        </w:rPr>
        <w:t xml:space="preserve"> (Middle Caddo [MC], Late Caddo [LC] and Historic Caddo {HC]), mortuary context (Mortuary [M] and Not [N]), and raw material (chert [C], jasper [J], quartzite [Q], and silicified wood [S])</w:t>
      </w:r>
      <w:r w:rsidRPr="000D3AD4">
        <w:rPr>
          <w:rFonts w:ascii="Lato Light" w:hAnsi="Lato Light"/>
          <w:sz w:val="20"/>
          <w:szCs w:val="20"/>
        </w:rPr>
        <w:t xml:space="preserve">. </w:t>
      </w:r>
      <w:r w:rsidRPr="000D3AD4">
        <w:rPr>
          <w:rFonts w:ascii="Lato Light" w:hAnsi="Lato Light"/>
          <w:i/>
          <w:sz w:val="20"/>
          <w:szCs w:val="20"/>
        </w:rPr>
        <w:t>Double click image to view in full resolution.</w:t>
      </w:r>
    </w:p>
    <w:p w:rsidR="003F2898" w:rsidRPr="000D3AD4" w:rsidRDefault="003F2898"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3F2898" w:rsidRPr="000D3AD4" w:rsidRDefault="003F2898" w:rsidP="00963CA9">
      <w:pPr>
        <w:spacing w:after="0"/>
        <w:contextualSpacing/>
        <w:jc w:val="center"/>
        <w:rPr>
          <w:rFonts w:ascii="Lato Light" w:hAnsi="Lato Light"/>
          <w:sz w:val="24"/>
          <w:szCs w:val="24"/>
        </w:rPr>
      </w:pPr>
      <w:r w:rsidRPr="000D3AD4">
        <w:rPr>
          <w:rFonts w:ascii="Lato Light" w:hAnsi="Lato Light"/>
          <w:sz w:val="24"/>
          <w:szCs w:val="24"/>
        </w:rPr>
        <w:t>DISCUSSION</w:t>
      </w:r>
    </w:p>
    <w:p w:rsidR="007E0556" w:rsidRPr="000D3AD4" w:rsidRDefault="007E0556" w:rsidP="00963CA9">
      <w:pPr>
        <w:spacing w:after="0"/>
        <w:contextualSpacing/>
        <w:jc w:val="center"/>
        <w:rPr>
          <w:rFonts w:ascii="Lato Light" w:hAnsi="Lato Light"/>
          <w:sz w:val="24"/>
          <w:szCs w:val="24"/>
        </w:rPr>
      </w:pPr>
    </w:p>
    <w:p w:rsidR="00F20734" w:rsidRPr="000D3AD4" w:rsidRDefault="00F20734" w:rsidP="00F20734">
      <w:pPr>
        <w:spacing w:after="0"/>
        <w:contextualSpacing/>
        <w:jc w:val="both"/>
        <w:rPr>
          <w:rFonts w:ascii="Lato Light" w:hAnsi="Lato Light"/>
          <w:sz w:val="24"/>
          <w:szCs w:val="24"/>
        </w:rPr>
      </w:pPr>
      <w:r w:rsidRPr="000D3AD4">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within the southern Caddo area </w: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 </w:instrTex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EN.CITE.DATA </w:instrText>
      </w:r>
      <w:r w:rsidRPr="000D3AD4">
        <w:rPr>
          <w:rFonts w:ascii="Lato Light" w:hAnsi="Lato Light"/>
          <w:sz w:val="24"/>
          <w:szCs w:val="24"/>
        </w:rPr>
      </w:r>
      <w:r w:rsidRPr="000D3AD4">
        <w:rPr>
          <w:rFonts w:ascii="Lato Light" w:hAnsi="Lato Light"/>
          <w:sz w:val="24"/>
          <w:szCs w:val="24"/>
        </w:rPr>
        <w:fldChar w:fldCharType="end"/>
      </w:r>
      <w:r w:rsidRPr="000D3AD4">
        <w:rPr>
          <w:rFonts w:ascii="Lato Light" w:hAnsi="Lato Light"/>
          <w:sz w:val="24"/>
          <w:szCs w:val="24"/>
        </w:rPr>
      </w:r>
      <w:r w:rsidRPr="000D3AD4">
        <w:rPr>
          <w:rFonts w:ascii="Lato Light" w:hAnsi="Lato Light"/>
          <w:sz w:val="24"/>
          <w:szCs w:val="24"/>
        </w:rPr>
        <w:fldChar w:fldCharType="separate"/>
      </w:r>
      <w:r w:rsidRPr="000D3AD4">
        <w:rPr>
          <w:rFonts w:ascii="Lato Light" w:hAnsi="Lato Light"/>
          <w:noProof/>
          <w:sz w:val="24"/>
          <w:szCs w:val="24"/>
        </w:rPr>
        <w:t>(</w:t>
      </w:r>
      <w:hyperlink w:anchor="_ENREF_34" w:tooltip="Selden Jr., 2017 #11473" w:history="1">
        <w:r w:rsidR="000D3AD4" w:rsidRPr="000D3AD4">
          <w:rPr>
            <w:rStyle w:val="Hyperlink"/>
            <w:rFonts w:ascii="Lato Light" w:hAnsi="Lato Light"/>
          </w:rPr>
          <w:t>Selden Jr. 2017</w:t>
        </w:r>
      </w:hyperlink>
      <w:r w:rsidRPr="000D3AD4">
        <w:rPr>
          <w:rFonts w:ascii="Lato Light" w:hAnsi="Lato Light"/>
          <w:noProof/>
          <w:sz w:val="24"/>
          <w:szCs w:val="24"/>
        </w:rPr>
        <w:t xml:space="preserve">, </w:t>
      </w:r>
      <w:hyperlink w:anchor="_ENREF_35" w:tooltip="Selden Jr., 2018 #11748" w:history="1">
        <w:r w:rsidR="000D3AD4" w:rsidRPr="000D3AD4">
          <w:rPr>
            <w:rStyle w:val="Hyperlink"/>
            <w:rFonts w:ascii="Lato Light" w:hAnsi="Lato Light"/>
          </w:rPr>
          <w:t>2018a</w:t>
        </w:r>
      </w:hyperlink>
      <w:r w:rsidRPr="000D3AD4">
        <w:rPr>
          <w:rFonts w:ascii="Lato Light" w:hAnsi="Lato Light"/>
          <w:noProof/>
          <w:sz w:val="24"/>
          <w:szCs w:val="24"/>
        </w:rPr>
        <w:t xml:space="preserve">, </w:t>
      </w:r>
      <w:hyperlink w:anchor="_ENREF_36" w:tooltip="Selden Jr., 2018 #11769" w:history="1">
        <w:r w:rsidR="000D3AD4" w:rsidRPr="000D3AD4">
          <w:rPr>
            <w:rStyle w:val="Hyperlink"/>
            <w:rFonts w:ascii="Lato Light" w:hAnsi="Lato Light"/>
          </w:rPr>
          <w:t>2018b</w:t>
        </w:r>
      </w:hyperlink>
      <w:r w:rsidRPr="000D3AD4">
        <w:rPr>
          <w:rFonts w:ascii="Lato Light" w:hAnsi="Lato Light"/>
          <w:noProof/>
          <w:sz w:val="24"/>
          <w:szCs w:val="24"/>
        </w:rPr>
        <w:t xml:space="preserve">, </w:t>
      </w:r>
      <w:hyperlink w:anchor="_ENREF_37" w:tooltip="Selden Jr., 2019 #11716" w:history="1">
        <w:r w:rsidR="000D3AD4" w:rsidRPr="000D3AD4">
          <w:rPr>
            <w:rStyle w:val="Hyperlink"/>
            <w:rFonts w:ascii="Lato Light" w:hAnsi="Lato Light"/>
          </w:rPr>
          <w:t>2019</w:t>
        </w:r>
      </w:hyperlink>
      <w:r w:rsidRPr="000D3AD4">
        <w:rPr>
          <w:rFonts w:ascii="Lato Light" w:hAnsi="Lato Light"/>
          <w:noProof/>
          <w:sz w:val="24"/>
          <w:szCs w:val="24"/>
        </w:rPr>
        <w:t xml:space="preserve">, </w:t>
      </w:r>
      <w:hyperlink w:anchor="_ENREF_38" w:tooltip="Selden Jr., 2021 #20672" w:history="1">
        <w:r w:rsidR="000D3AD4" w:rsidRPr="000D3AD4">
          <w:rPr>
            <w:rStyle w:val="Hyperlink"/>
            <w:rFonts w:ascii="Lato Light" w:hAnsi="Lato Light"/>
          </w:rPr>
          <w:t>2021a</w:t>
        </w:r>
      </w:hyperlink>
      <w:r w:rsidRPr="000D3AD4">
        <w:rPr>
          <w:rFonts w:ascii="Lato Light" w:hAnsi="Lato Light"/>
          <w:noProof/>
          <w:sz w:val="24"/>
          <w:szCs w:val="24"/>
        </w:rPr>
        <w:t xml:space="preserve">, </w:t>
      </w:r>
      <w:hyperlink w:anchor="_ENREF_39" w:tooltip="Selden Jr., 2021 #20678" w:history="1">
        <w:r w:rsidR="000D3AD4" w:rsidRPr="000D3AD4">
          <w:rPr>
            <w:rStyle w:val="Hyperlink"/>
            <w:rFonts w:ascii="Lato Light" w:hAnsi="Lato Light"/>
          </w:rPr>
          <w:t>2021b</w:t>
        </w:r>
      </w:hyperlink>
      <w:r w:rsidRPr="000D3AD4">
        <w:rPr>
          <w:rFonts w:ascii="Lato Light" w:hAnsi="Lato Light"/>
          <w:noProof/>
          <w:sz w:val="24"/>
          <w:szCs w:val="24"/>
        </w:rPr>
        <w:t xml:space="preserve">; </w:t>
      </w:r>
      <w:hyperlink w:anchor="_ENREF_40" w:tooltip="Selden Jr., 2020 #20922" w:history="1">
        <w:r w:rsidR="000D3AD4" w:rsidRPr="000D3AD4">
          <w:rPr>
            <w:rStyle w:val="Hyperlink"/>
            <w:rFonts w:ascii="Lato Light" w:hAnsi="Lato Light"/>
          </w:rPr>
          <w:t>Selden Jr., et al. 2020</w:t>
        </w:r>
      </w:hyperlink>
      <w:r w:rsidRPr="000D3AD4">
        <w:rPr>
          <w:rFonts w:ascii="Lato Light" w:hAnsi="Lato Light"/>
          <w:noProof/>
          <w:sz w:val="24"/>
          <w:szCs w:val="24"/>
        </w:rPr>
        <w:t xml:space="preserve">; </w:t>
      </w:r>
      <w:hyperlink w:anchor="_ENREF_42" w:tooltip="Selden Jr., 2014 #1993" w:history="1">
        <w:r w:rsidR="000D3AD4" w:rsidRPr="000D3AD4">
          <w:rPr>
            <w:rStyle w:val="Hyperlink"/>
            <w:rFonts w:ascii="Lato Light" w:hAnsi="Lato Light"/>
          </w:rPr>
          <w:t>Selden Jr., et al. 2014</w:t>
        </w:r>
      </w:hyperlink>
      <w:r w:rsidRPr="000D3AD4">
        <w:rPr>
          <w:rFonts w:ascii="Lato Light" w:hAnsi="Lato Light"/>
          <w:noProof/>
          <w:sz w:val="24"/>
          <w:szCs w:val="24"/>
        </w:rPr>
        <w:t xml:space="preserve">; </w:t>
      </w:r>
      <w:hyperlink w:anchor="_ENREF_43" w:tooltip="Selden, 2018 #20928" w:history="1">
        <w:r w:rsidR="000D3AD4" w:rsidRPr="000D3AD4">
          <w:rPr>
            <w:rStyle w:val="Hyperlink"/>
            <w:rFonts w:ascii="Lato Light" w:hAnsi="Lato Light"/>
          </w:rPr>
          <w:t>Selden, et al. 2018</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This effort expands that research program to include morphological analyses of arrow points, and those working hypotheses employed in this study were derived from a series of ongoing exploratory network analyses that employ the Caddo ceramic and lithic types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&lt;EndNote&gt;&lt;Cite&gt;&lt;Author&gt;Selden Jr.&lt;/Author&gt;&lt;Year&gt;2021&lt;/Year&gt;&lt;RecNum&gt;20672&lt;/RecNum&gt;&lt;DisplayText&gt;(Selden Jr. 2021a)&lt;/DisplayText&gt;&lt;record&gt;&lt;rec-number&gt;20672&lt;/rec-number&gt;&lt;foreign-keys&gt;&lt;key app="EN" db-id="wttdfprdqd5vsae0rw9xwts5zvpwxs5t05fw" timestamp="1543595711" guid="cc24041d-4707-4ee4-b8c1-56f6140660f1"&gt;20672&lt;/key&gt;&lt;/foreign-keys&gt;&lt;ref-type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8" w:tooltip="Selden Jr., 2021 #20672" w:history="1">
        <w:r w:rsidR="000D3AD4" w:rsidRPr="000D3AD4">
          <w:rPr>
            <w:rStyle w:val="Hyperlink"/>
            <w:rFonts w:ascii="Lato Light" w:hAnsi="Lato Light"/>
          </w:rPr>
          <w:t>Selden Jr. 2021a</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w:t>
      </w:r>
    </w:p>
    <w:p w:rsidR="00F20734" w:rsidRPr="000D3AD4" w:rsidRDefault="00F20734" w:rsidP="00F20734">
      <w:pPr>
        <w:spacing w:after="0"/>
        <w:contextualSpacing/>
        <w:rPr>
          <w:rFonts w:ascii="Lato Light" w:hAnsi="Lato Light"/>
          <w:sz w:val="24"/>
          <w:szCs w:val="24"/>
        </w:rPr>
      </w:pPr>
    </w:p>
    <w:p w:rsidR="007E0556" w:rsidRPr="000D3AD4" w:rsidRDefault="007E0556" w:rsidP="007E0556">
      <w:pPr>
        <w:spacing w:after="0"/>
        <w:contextualSpacing/>
        <w:jc w:val="both"/>
        <w:rPr>
          <w:rFonts w:ascii="Lato Light" w:hAnsi="Lato Light"/>
          <w:sz w:val="24"/>
          <w:szCs w:val="24"/>
        </w:rPr>
      </w:pPr>
      <w:r w:rsidRPr="000D3AD4">
        <w:rPr>
          <w:rFonts w:ascii="Lato Light" w:hAnsi="Lato Light"/>
          <w:sz w:val="24"/>
          <w:szCs w:val="24"/>
        </w:rPr>
        <w:t xml:space="preserve">To test the hypothesis that Perdiz arrow point shape differs by raw material type, Perdiz arrow points from 10 Caddo sites </w:t>
      </w:r>
      <w:proofErr w:type="gramStart"/>
      <w:r w:rsidRPr="000D3AD4">
        <w:rPr>
          <w:rFonts w:ascii="Lato Light" w:hAnsi="Lato Light"/>
          <w:sz w:val="24"/>
          <w:szCs w:val="24"/>
        </w:rPr>
        <w:t>were aggregated</w:t>
      </w:r>
      <w:proofErr w:type="gramEnd"/>
      <w:r w:rsidRPr="000D3AD4">
        <w:rPr>
          <w:rFonts w:ascii="Lato Light" w:hAnsi="Lato Light"/>
          <w:sz w:val="24"/>
          <w:szCs w:val="24"/>
        </w:rPr>
        <w:t xml:space="preserve"> for a study of two-dimensional geometric morphometrics. Results demonstrate significant differences in Perdiz shape among raw materials. Those points made from chert were found to differ in shape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0D3AD4">
        <w:rPr>
          <w:rFonts w:ascii="Lato Light" w:hAnsi="Lato Light"/>
          <w:sz w:val="24"/>
          <w:szCs w:val="24"/>
        </w:rPr>
        <w:t>were run</w:t>
      </w:r>
      <w:proofErr w:type="gramEnd"/>
      <w:r w:rsidRPr="000D3AD4">
        <w:rPr>
          <w:rFonts w:ascii="Lato Light" w:hAnsi="Lato Light"/>
          <w:sz w:val="24"/>
          <w:szCs w:val="24"/>
        </w:rPr>
        <w:t xml:space="preserve"> to assess whether Perdiz shape differs by site and mortuary context. Results demonstrate some significant morphological </w:t>
      </w:r>
      <w:r w:rsidRPr="000D3AD4">
        <w:rPr>
          <w:rFonts w:ascii="Lato Light" w:hAnsi="Lato Light"/>
          <w:sz w:val="24"/>
          <w:szCs w:val="24"/>
        </w:rPr>
        <w:lastRenderedPageBreak/>
        <w:t xml:space="preserve">differences by site, providing additional information regarding potential geographic constraints. There was also a significant morphological difference between those Perdiz points that </w:t>
      </w:r>
      <w:proofErr w:type="gramStart"/>
      <w:r w:rsidRPr="000D3AD4">
        <w:rPr>
          <w:rFonts w:ascii="Lato Light" w:hAnsi="Lato Light"/>
          <w:sz w:val="24"/>
          <w:szCs w:val="24"/>
        </w:rPr>
        <w:t>have been recovered</w:t>
      </w:r>
      <w:proofErr w:type="gramEnd"/>
      <w:r w:rsidRPr="000D3AD4">
        <w:rPr>
          <w:rFonts w:ascii="Lato Light" w:hAnsi="Lato Light"/>
          <w:sz w:val="24"/>
          <w:szCs w:val="24"/>
        </w:rPr>
        <w:t xml:space="preserve"> in and out of mortuary contexts.</w:t>
      </w:r>
    </w:p>
    <w:p w:rsidR="00B4536A" w:rsidRPr="000D3AD4" w:rsidRDefault="00B4536A" w:rsidP="007E0556">
      <w:pPr>
        <w:spacing w:after="0"/>
        <w:contextualSpacing/>
        <w:jc w:val="both"/>
        <w:rPr>
          <w:rFonts w:ascii="Lato Light" w:hAnsi="Lato Light"/>
        </w:rPr>
      </w:pPr>
    </w:p>
    <w:p w:rsidR="00B4536A" w:rsidRPr="000D3AD4" w:rsidRDefault="00B4536A" w:rsidP="00B4536A">
      <w:pPr>
        <w:spacing w:after="0"/>
        <w:contextualSpacing/>
        <w:jc w:val="center"/>
        <w:rPr>
          <w:rFonts w:ascii="Lato Light" w:hAnsi="Lato Light"/>
        </w:rPr>
      </w:pPr>
      <w:r w:rsidRPr="000D3AD4">
        <w:rPr>
          <w:rFonts w:ascii="Lato Light" w:hAnsi="Lato Light"/>
        </w:rPr>
        <w:t>CONCLUSION</w:t>
      </w:r>
    </w:p>
    <w:p w:rsidR="00E93C61" w:rsidRPr="000D3AD4" w:rsidRDefault="00E93C61">
      <w:pPr>
        <w:rPr>
          <w:rFonts w:ascii="Lato Light" w:hAnsi="Lato Light"/>
          <w:sz w:val="20"/>
          <w:szCs w:val="20"/>
        </w:rPr>
      </w:pPr>
      <w:r w:rsidRPr="000D3AD4">
        <w:rPr>
          <w:rFonts w:ascii="Lato Light" w:hAnsi="Lato Light"/>
          <w:sz w:val="20"/>
          <w:szCs w:val="20"/>
        </w:rPr>
        <w:br w:type="page"/>
      </w:r>
    </w:p>
    <w:p w:rsidR="004C2A3A" w:rsidRPr="000D3AD4" w:rsidRDefault="004C2A3A" w:rsidP="004C2A3A">
      <w:pPr>
        <w:jc w:val="center"/>
        <w:rPr>
          <w:rFonts w:ascii="Lato Light" w:hAnsi="Lato Light"/>
          <w:sz w:val="24"/>
          <w:szCs w:val="24"/>
        </w:rPr>
      </w:pPr>
      <w:r w:rsidRPr="000D3AD4">
        <w:rPr>
          <w:rFonts w:ascii="Lato Light" w:hAnsi="Lato Light"/>
          <w:sz w:val="24"/>
          <w:szCs w:val="24"/>
        </w:rPr>
        <w:lastRenderedPageBreak/>
        <w:t>ACKNOWLEDGMENTS</w:t>
      </w:r>
    </w:p>
    <w:p w:rsidR="004C2A3A" w:rsidRDefault="004C2A3A" w:rsidP="004C2A3A">
      <w:pPr>
        <w:jc w:val="both"/>
        <w:rPr>
          <w:rFonts w:ascii="Lato Light" w:hAnsi="Lato Light"/>
          <w:sz w:val="24"/>
          <w:szCs w:val="24"/>
        </w:rPr>
      </w:pPr>
      <w:r w:rsidRPr="000D3AD4">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0D3AD4">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0D3AD4">
        <w:rPr>
          <w:rFonts w:ascii="Lato Light" w:hAnsi="Lato Light"/>
          <w:sz w:val="24"/>
          <w:szCs w:val="24"/>
        </w:rPr>
        <w:t>work flow</w:t>
      </w:r>
      <w:proofErr w:type="gramEnd"/>
      <w:r w:rsidR="001C4449" w:rsidRPr="000D3AD4">
        <w:rPr>
          <w:rFonts w:ascii="Lato Light" w:hAnsi="Lato Light"/>
          <w:sz w:val="24"/>
          <w:szCs w:val="24"/>
        </w:rPr>
        <w:t xml:space="preserve"> were developed and funded by a Preservation Technology and Training grant (P14AP00138) to RZS from the National Center for Preservation</w:t>
      </w:r>
      <w:r w:rsidR="001B045A" w:rsidRPr="000D3AD4">
        <w:rPr>
          <w:rFonts w:ascii="Lato Light" w:hAnsi="Lato Light"/>
          <w:sz w:val="24"/>
          <w:szCs w:val="24"/>
        </w:rPr>
        <w:t xml:space="preserve"> Technology and Training</w:t>
      </w:r>
      <w:r w:rsidR="001C4449" w:rsidRPr="000D3AD4">
        <w:rPr>
          <w:rFonts w:ascii="Lato Light" w:hAnsi="Lato Light"/>
          <w:sz w:val="24"/>
          <w:szCs w:val="24"/>
        </w:rPr>
        <w:t>, as well as grants from the National Forests and Grasslands in Texas (15-PA-11081300-033) and the United States Forest Service (20-PA-11081300-074).</w:t>
      </w:r>
    </w:p>
    <w:p w:rsidR="00800F84" w:rsidRDefault="00800F84" w:rsidP="00800F84">
      <w:pPr>
        <w:jc w:val="center"/>
        <w:rPr>
          <w:rFonts w:ascii="Lato Light" w:hAnsi="Lato Light"/>
          <w:sz w:val="24"/>
          <w:szCs w:val="24"/>
        </w:rPr>
      </w:pPr>
    </w:p>
    <w:p w:rsidR="00800F84" w:rsidRDefault="00800F84" w:rsidP="00800F84">
      <w:pPr>
        <w:jc w:val="center"/>
        <w:rPr>
          <w:rFonts w:ascii="Lato Light" w:hAnsi="Lato Light"/>
          <w:sz w:val="24"/>
          <w:szCs w:val="24"/>
        </w:rPr>
      </w:pPr>
      <w:r>
        <w:rPr>
          <w:rFonts w:ascii="Lato Light" w:hAnsi="Lato Light"/>
          <w:sz w:val="24"/>
          <w:szCs w:val="24"/>
        </w:rPr>
        <w:t>DATA MANAGEMENT</w:t>
      </w:r>
    </w:p>
    <w:p w:rsidR="00800F84" w:rsidRPr="000D3AD4" w:rsidRDefault="00800F84" w:rsidP="00800F84">
      <w:pPr>
        <w:jc w:val="both"/>
        <w:rPr>
          <w:rFonts w:ascii="Lato Light" w:hAnsi="Lato Light"/>
          <w:sz w:val="24"/>
          <w:szCs w:val="24"/>
        </w:rPr>
      </w:pPr>
      <w:r w:rsidRPr="00800F84">
        <w:rPr>
          <w:rFonts w:ascii="Lato Light" w:hAnsi="Lato Light"/>
          <w:sz w:val="24"/>
          <w:szCs w:val="24"/>
        </w:rPr>
        <w:t xml:space="preserve">Data and </w:t>
      </w:r>
      <w:r>
        <w:rPr>
          <w:rFonts w:ascii="Lato Light" w:hAnsi="Lato Light"/>
          <w:sz w:val="24"/>
          <w:szCs w:val="24"/>
        </w:rPr>
        <w:t xml:space="preserve">analysis </w:t>
      </w:r>
      <w:r w:rsidRPr="00800F84">
        <w:rPr>
          <w:rFonts w:ascii="Lato Light" w:hAnsi="Lato Light"/>
          <w:sz w:val="24"/>
          <w:szCs w:val="24"/>
        </w:rPr>
        <w:t xml:space="preserve">code associated with this </w:t>
      </w:r>
      <w:r>
        <w:rPr>
          <w:rFonts w:ascii="Lato Light" w:hAnsi="Lato Light"/>
          <w:sz w:val="24"/>
          <w:szCs w:val="24"/>
        </w:rPr>
        <w:t>study</w:t>
      </w:r>
      <w:r w:rsidRPr="00800F84">
        <w:rPr>
          <w:rFonts w:ascii="Lato Light" w:hAnsi="Lato Light"/>
          <w:sz w:val="24"/>
          <w:szCs w:val="24"/>
        </w:rPr>
        <w:t xml:space="preserve"> can be accessed through the GitHub repository</w:t>
      </w:r>
      <w:r>
        <w:rPr>
          <w:rFonts w:ascii="Lato Light" w:hAnsi="Lato Light"/>
          <w:sz w:val="24"/>
          <w:szCs w:val="24"/>
        </w:rPr>
        <w:t xml:space="preserve"> (</w:t>
      </w:r>
      <w:r w:rsidRPr="00800F84">
        <w:rPr>
          <w:rFonts w:ascii="Lato Light" w:hAnsi="Lato Light"/>
          <w:sz w:val="24"/>
          <w:szCs w:val="24"/>
        </w:rPr>
        <w:t>https://github.com/aksel-blaise/perdiz</w:t>
      </w:r>
      <w:r>
        <w:rPr>
          <w:rFonts w:ascii="Lato Light" w:hAnsi="Lato Light"/>
          <w:sz w:val="24"/>
          <w:szCs w:val="24"/>
        </w:rPr>
        <w:t>)</w:t>
      </w:r>
      <w:r w:rsidRPr="00800F84">
        <w:rPr>
          <w:rFonts w:ascii="Lato Light" w:hAnsi="Lato Light"/>
          <w:sz w:val="24"/>
          <w:szCs w:val="24"/>
        </w:rPr>
        <w:t>, which is digitally curated on the Open Science Framework (OSF)</w:t>
      </w:r>
      <w:r>
        <w:rPr>
          <w:rFonts w:ascii="Lato Light" w:hAnsi="Lato Light"/>
          <w:sz w:val="24"/>
          <w:szCs w:val="24"/>
        </w:rPr>
        <w:t xml:space="preserve"> </w:t>
      </w:r>
      <w:r w:rsidRPr="00800F84">
        <w:rPr>
          <w:rFonts w:ascii="Lato Light" w:hAnsi="Lato Light"/>
          <w:sz w:val="24"/>
          <w:szCs w:val="24"/>
        </w:rPr>
        <w:t xml:space="preserve">DOI 10.17605/OSF.IO/DEJ74. All scan data (unprocessed and processed) </w:t>
      </w:r>
      <w:proofErr w:type="gramStart"/>
      <w:r w:rsidRPr="00800F84">
        <w:rPr>
          <w:rFonts w:ascii="Lato Light" w:hAnsi="Lato Light"/>
          <w:sz w:val="24"/>
          <w:szCs w:val="24"/>
        </w:rPr>
        <w:t>are embargoed</w:t>
      </w:r>
      <w:proofErr w:type="gramEnd"/>
      <w:r w:rsidRPr="00800F84">
        <w:rPr>
          <w:rFonts w:ascii="Lato Light" w:hAnsi="Lato Light"/>
          <w:sz w:val="24"/>
          <w:szCs w:val="24"/>
        </w:rPr>
        <w:t xml:space="preserve"> for a period of five years from the date of the last manuscript submission that employs them. The unprocessed scan data </w:t>
      </w:r>
      <w:proofErr w:type="gramStart"/>
      <w:r w:rsidRPr="00800F84">
        <w:rPr>
          <w:rFonts w:ascii="Lato Light" w:hAnsi="Lato Light"/>
          <w:sz w:val="24"/>
          <w:szCs w:val="24"/>
        </w:rPr>
        <w:t>were uploaded</w:t>
      </w:r>
      <w:proofErr w:type="gramEnd"/>
      <w:r w:rsidRPr="00800F84">
        <w:rPr>
          <w:rFonts w:ascii="Lato Light" w:hAnsi="Lato Light"/>
          <w:sz w:val="24"/>
          <w:szCs w:val="24"/>
        </w:rPr>
        <w:t xml:space="preserve"> to the OSF, where the preprint of this paper and all supplementary materials </w:t>
      </w:r>
      <w:r>
        <w:rPr>
          <w:rFonts w:ascii="Lato Light" w:hAnsi="Lato Light"/>
          <w:sz w:val="24"/>
          <w:szCs w:val="24"/>
        </w:rPr>
        <w:t>have been</w:t>
      </w:r>
      <w:r w:rsidR="001E4E0D">
        <w:rPr>
          <w:rFonts w:ascii="Lato Light" w:hAnsi="Lato Light"/>
          <w:sz w:val="24"/>
          <w:szCs w:val="24"/>
        </w:rPr>
        <w:t xml:space="preserve"> made available</w:t>
      </w:r>
      <w:r w:rsidRPr="00800F84">
        <w:rPr>
          <w:rFonts w:ascii="Lato Light" w:hAnsi="Lato Light"/>
          <w:sz w:val="24"/>
          <w:szCs w:val="24"/>
        </w:rPr>
        <w:t>.</w:t>
      </w:r>
    </w:p>
    <w:p w:rsidR="00800F84" w:rsidRDefault="00800F84">
      <w:pPr>
        <w:rPr>
          <w:rFonts w:ascii="Lato Light" w:hAnsi="Lato Light"/>
          <w:sz w:val="24"/>
          <w:szCs w:val="24"/>
        </w:rPr>
      </w:pPr>
      <w:r>
        <w:rPr>
          <w:rFonts w:ascii="Lato Light" w:hAnsi="Lato Light"/>
          <w:sz w:val="24"/>
          <w:szCs w:val="24"/>
        </w:rPr>
        <w:br w:type="page"/>
      </w:r>
    </w:p>
    <w:p w:rsidR="00E93C61" w:rsidRPr="000D3AD4" w:rsidRDefault="00E93C61" w:rsidP="00E93C61">
      <w:pPr>
        <w:jc w:val="center"/>
        <w:rPr>
          <w:rFonts w:ascii="Lato Light" w:hAnsi="Lato Light"/>
          <w:sz w:val="24"/>
          <w:szCs w:val="24"/>
        </w:rPr>
      </w:pPr>
      <w:r w:rsidRPr="000D3AD4">
        <w:rPr>
          <w:rFonts w:ascii="Lato Light" w:hAnsi="Lato Light"/>
          <w:sz w:val="24"/>
          <w:szCs w:val="24"/>
        </w:rPr>
        <w:lastRenderedPageBreak/>
        <w:t>REFERENCES CITED</w:t>
      </w:r>
    </w:p>
    <w:p w:rsidR="000D3AD4" w:rsidRPr="000D3AD4" w:rsidRDefault="00E93C61" w:rsidP="000D3AD4">
      <w:pPr>
        <w:pStyle w:val="EndNoteBibliography"/>
        <w:ind w:left="720" w:hanging="720"/>
      </w:pPr>
      <w:r w:rsidRPr="000D3AD4">
        <w:rPr>
          <w:sz w:val="20"/>
          <w:szCs w:val="20"/>
        </w:rPr>
        <w:fldChar w:fldCharType="begin"/>
      </w:r>
      <w:r w:rsidRPr="000D3AD4">
        <w:rPr>
          <w:sz w:val="20"/>
          <w:szCs w:val="20"/>
        </w:rPr>
        <w:instrText xml:space="preserve"> ADDIN EN.REFLIST </w:instrText>
      </w:r>
      <w:r w:rsidRPr="000D3AD4">
        <w:rPr>
          <w:sz w:val="20"/>
          <w:szCs w:val="20"/>
        </w:rPr>
        <w:fldChar w:fldCharType="separate"/>
      </w:r>
      <w:bookmarkStart w:id="1" w:name="_ENREF_1"/>
      <w:r w:rsidR="000D3AD4" w:rsidRPr="000D3AD4">
        <w:t>Bonhomme, Vincent, Emily Forster, Michael Wallace, Eleanor Stillman, Michael Charles and Glynis Jones</w:t>
      </w:r>
    </w:p>
    <w:p w:rsidR="000D3AD4" w:rsidRPr="000D3AD4" w:rsidRDefault="000D3AD4" w:rsidP="000D3AD4">
      <w:pPr>
        <w:pStyle w:val="EndNoteBibliography"/>
        <w:ind w:left="720" w:hanging="720"/>
      </w:pPr>
      <w:r w:rsidRPr="000D3AD4">
        <w:tab/>
        <w:t>2017</w:t>
      </w:r>
      <w:r w:rsidRPr="000D3AD4">
        <w:tab/>
        <w:t xml:space="preserve">Identification of inter- and intra-species variation in cereal grains through geometric morphometric analysis, and its resilience under experimental charring. </w:t>
      </w:r>
      <w:r w:rsidRPr="000D3AD4">
        <w:rPr>
          <w:i/>
        </w:rPr>
        <w:t>Journal of Archaeological Science</w:t>
      </w:r>
      <w:r w:rsidRPr="000D3AD4">
        <w:t xml:space="preserve"> 86:60-67. DOI: 10.1016/j.jas.2017.09.010</w:t>
      </w:r>
    </w:p>
    <w:bookmarkEnd w:id="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 w:name="_ENREF_2"/>
      <w:r w:rsidRPr="000D3AD4">
        <w:t>Bonhomme, Vincent, Sandrine Picq, Cédric Gaucherel and Julien Claude</w:t>
      </w:r>
    </w:p>
    <w:p w:rsidR="000D3AD4" w:rsidRPr="000D3AD4" w:rsidRDefault="000D3AD4" w:rsidP="000D3AD4">
      <w:pPr>
        <w:pStyle w:val="EndNoteBibliography"/>
        <w:ind w:left="720" w:hanging="720"/>
      </w:pPr>
      <w:r w:rsidRPr="000D3AD4">
        <w:tab/>
        <w:t>2014</w:t>
      </w:r>
      <w:r w:rsidRPr="000D3AD4">
        <w:tab/>
        <w:t xml:space="preserve">Momocs: Outline Analysis UsingR. </w:t>
      </w:r>
      <w:r w:rsidRPr="000D3AD4">
        <w:rPr>
          <w:i/>
        </w:rPr>
        <w:t>Journal of Statistical Software</w:t>
      </w:r>
      <w:r w:rsidRPr="000D3AD4">
        <w:t xml:space="preserve"> 56(13). DOI: 10.18637/jss.v056.i13</w:t>
      </w:r>
    </w:p>
    <w:bookmarkEnd w:id="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 w:name="_ENREF_3"/>
      <w:r w:rsidRPr="000D3AD4">
        <w:t>Brantingham, P. Jeffrey, John W. Olsen, Jason A. Rech and Andrei I. Krivoshapkin</w:t>
      </w:r>
    </w:p>
    <w:p w:rsidR="000D3AD4" w:rsidRPr="000D3AD4" w:rsidRDefault="000D3AD4" w:rsidP="000D3AD4">
      <w:pPr>
        <w:pStyle w:val="EndNoteBibliography"/>
        <w:ind w:left="720" w:hanging="720"/>
      </w:pPr>
      <w:r w:rsidRPr="000D3AD4">
        <w:tab/>
        <w:t>2000</w:t>
      </w:r>
      <w:r w:rsidRPr="000D3AD4">
        <w:tab/>
        <w:t xml:space="preserve">Raw Material Quality and Prepared Core Technologies in Northeast Asia. </w:t>
      </w:r>
      <w:r w:rsidRPr="000D3AD4">
        <w:rPr>
          <w:i/>
        </w:rPr>
        <w:t>Journal of Archaeological Science</w:t>
      </w:r>
      <w:r w:rsidRPr="000D3AD4">
        <w:t xml:space="preserve"> 27(3):255-271. DOI: 10.1006/jasc.1999.0456</w:t>
      </w:r>
    </w:p>
    <w:bookmarkEnd w:id="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 w:name="_ENREF_4"/>
      <w:r w:rsidRPr="000D3AD4">
        <w:t>Braun, David R., Thomas Plummer, Joseph V. Ferraro, Peter Ditchfield and Laura C. Bishop</w:t>
      </w:r>
    </w:p>
    <w:p w:rsidR="000D3AD4" w:rsidRPr="000D3AD4" w:rsidRDefault="000D3AD4" w:rsidP="000D3AD4">
      <w:pPr>
        <w:pStyle w:val="EndNoteBibliography"/>
        <w:ind w:left="720" w:hanging="720"/>
      </w:pPr>
      <w:r w:rsidRPr="000D3AD4">
        <w:tab/>
        <w:t>2009</w:t>
      </w:r>
      <w:r w:rsidRPr="000D3AD4">
        <w:tab/>
        <w:t xml:space="preserve">Raw material quality and Oldowan hominin toolstone preferences: evidence from Kanjera South, Kenya. </w:t>
      </w:r>
      <w:r w:rsidRPr="000D3AD4">
        <w:rPr>
          <w:i/>
        </w:rPr>
        <w:t>Journal of Archaeological Science</w:t>
      </w:r>
      <w:r w:rsidRPr="000D3AD4">
        <w:t xml:space="preserve"> 36(7):1605-1614. DOI: 10.1016/j.jas.2009.03.025</w:t>
      </w:r>
    </w:p>
    <w:bookmarkEnd w:id="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5" w:name="_ENREF_5"/>
      <w:r w:rsidRPr="000D3AD4">
        <w:t>Corbin, James E. and John P. Hart</w:t>
      </w:r>
    </w:p>
    <w:p w:rsidR="000D3AD4" w:rsidRPr="000D3AD4" w:rsidRDefault="000D3AD4" w:rsidP="000D3AD4">
      <w:pPr>
        <w:pStyle w:val="EndNoteBibliography"/>
        <w:ind w:left="720" w:hanging="720"/>
      </w:pPr>
      <w:r w:rsidRPr="000D3AD4">
        <w:tab/>
        <w:t>1998</w:t>
      </w:r>
      <w:r w:rsidRPr="000D3AD4">
        <w:tab/>
        <w:t xml:space="preserve">The Washington Square Mound Site: A Middle Caddo Mound Complex in South Central East Texas. </w:t>
      </w:r>
      <w:r w:rsidRPr="000D3AD4">
        <w:rPr>
          <w:i/>
        </w:rPr>
        <w:t>Bulletin of the Texas Archeological Society</w:t>
      </w:r>
      <w:r w:rsidRPr="000D3AD4">
        <w:t xml:space="preserve"> 69:47-78. </w:t>
      </w:r>
    </w:p>
    <w:bookmarkEnd w:id="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6" w:name="_ENREF_6"/>
      <w:r w:rsidRPr="000D3AD4">
        <w:t>Eren, Metin I., Stephen J. Lycett, Christopher I. Roos and C. Garth Sampson</w:t>
      </w:r>
    </w:p>
    <w:p w:rsidR="000D3AD4" w:rsidRPr="000D3AD4" w:rsidRDefault="000D3AD4" w:rsidP="000D3AD4">
      <w:pPr>
        <w:pStyle w:val="EndNoteBibliography"/>
        <w:ind w:left="720" w:hanging="720"/>
      </w:pPr>
      <w:r w:rsidRPr="000D3AD4">
        <w:tab/>
        <w:t>2011</w:t>
      </w:r>
      <w:r w:rsidRPr="000D3AD4">
        <w:tab/>
        <w:t xml:space="preserve">Toolstone constraints on knapping skill: Levallois reduction with two different raw materials. </w:t>
      </w:r>
      <w:r w:rsidRPr="000D3AD4">
        <w:rPr>
          <w:i/>
        </w:rPr>
        <w:t>Journal of Archaeological Science</w:t>
      </w:r>
      <w:r w:rsidRPr="000D3AD4">
        <w:t xml:space="preserve"> 38(10):2731-2739. DOI: 10.1016/j.jas.2011.06.011</w:t>
      </w:r>
    </w:p>
    <w:bookmarkEnd w:id="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7" w:name="_ENREF_7"/>
      <w:r w:rsidRPr="000D3AD4">
        <w:t>Eren, Metin I., Christopher I. Roos, Brett A. Story, Noreen von Cramon-Taubadel and Stephen J. Lycett</w:t>
      </w:r>
    </w:p>
    <w:p w:rsidR="000D3AD4" w:rsidRPr="000D3AD4" w:rsidRDefault="000D3AD4" w:rsidP="000D3AD4">
      <w:pPr>
        <w:pStyle w:val="EndNoteBibliography"/>
        <w:ind w:left="720" w:hanging="720"/>
      </w:pPr>
      <w:r w:rsidRPr="000D3AD4">
        <w:tab/>
        <w:t>2014</w:t>
      </w:r>
      <w:r w:rsidRPr="000D3AD4">
        <w:tab/>
        <w:t xml:space="preserve">The Role of Raw Material Differences in Stone Tool Shape Variation: An Experimental Assessment. </w:t>
      </w:r>
      <w:r w:rsidRPr="000D3AD4">
        <w:rPr>
          <w:i/>
        </w:rPr>
        <w:t>Journal of Archaeological Science</w:t>
      </w:r>
      <w:r w:rsidRPr="000D3AD4">
        <w:t xml:space="preserve"> 49:472-487. DOI: 10.1016/j.jas.2014.05.034</w:t>
      </w:r>
    </w:p>
    <w:bookmarkEnd w:id="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8" w:name="_ENREF_8"/>
      <w:r w:rsidRPr="000D3AD4">
        <w:t>Fields, Ross C. and Eloise F. Gadus</w:t>
      </w:r>
    </w:p>
    <w:p w:rsidR="000D3AD4" w:rsidRPr="000D3AD4" w:rsidRDefault="000D3AD4" w:rsidP="000D3AD4">
      <w:pPr>
        <w:pStyle w:val="EndNoteBibliography"/>
        <w:ind w:left="720" w:hanging="720"/>
      </w:pPr>
      <w:r w:rsidRPr="000D3AD4">
        <w:lastRenderedPageBreak/>
        <w:tab/>
        <w:t>2012</w:t>
      </w:r>
      <w:r w:rsidRPr="000D3AD4">
        <w:tab/>
        <w:t xml:space="preserve">Archeology of the Nadaco Caddo: the View from the Pine Tree Mound Site (41HS15), Harrison County, Texas. vol. 2 Vols. Reports of Investigations No. 164. Prewitt and Associates, Inc., Austin. </w:t>
      </w:r>
    </w:p>
    <w:bookmarkEnd w:id="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9" w:name="_ENREF_9"/>
      <w:r w:rsidRPr="000D3AD4">
        <w:t>Gero, Joan and Jim Mazzullo</w:t>
      </w:r>
    </w:p>
    <w:p w:rsidR="000D3AD4" w:rsidRPr="000D3AD4" w:rsidRDefault="000D3AD4" w:rsidP="000D3AD4">
      <w:pPr>
        <w:pStyle w:val="EndNoteBibliography"/>
        <w:ind w:left="720" w:hanging="720"/>
      </w:pPr>
      <w:r w:rsidRPr="000D3AD4">
        <w:tab/>
        <w:t>1984</w:t>
      </w:r>
      <w:r w:rsidRPr="000D3AD4">
        <w:tab/>
        <w:t xml:space="preserve">Analysis of Artifact Shape Using Fourier Series in Closed Form. </w:t>
      </w:r>
      <w:r w:rsidRPr="000D3AD4">
        <w:rPr>
          <w:i/>
        </w:rPr>
        <w:t>Journal of Field Archaeology</w:t>
      </w:r>
      <w:r w:rsidRPr="000D3AD4">
        <w:t xml:space="preserve"> 11(3):315. DOI: 10.2307/529282</w:t>
      </w:r>
    </w:p>
    <w:bookmarkEnd w:id="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0" w:name="_ENREF_10"/>
      <w:r w:rsidRPr="000D3AD4">
        <w:t>Goldman-Neuman, T. and E. Hovers</w:t>
      </w:r>
    </w:p>
    <w:p w:rsidR="000D3AD4" w:rsidRPr="000D3AD4" w:rsidRDefault="000D3AD4" w:rsidP="000D3AD4">
      <w:pPr>
        <w:pStyle w:val="EndNoteBibliography"/>
        <w:ind w:left="720" w:hanging="720"/>
      </w:pPr>
      <w:r w:rsidRPr="000D3AD4">
        <w:tab/>
        <w:t>2012</w:t>
      </w:r>
      <w:r w:rsidRPr="000D3AD4">
        <w:tab/>
        <w:t xml:space="preserve">Raw material selectivity in Late Pliocene Oldowan sites in the Makaamitalu Basin, Hadar, Ethiopia. </w:t>
      </w:r>
      <w:r w:rsidRPr="000D3AD4">
        <w:rPr>
          <w:i/>
        </w:rPr>
        <w:t>J Hum Evol</w:t>
      </w:r>
      <w:r w:rsidRPr="000D3AD4">
        <w:t xml:space="preserve"> 62(3):353-366. DOI: 10.1016/j.jhevol.2011.05.006</w:t>
      </w:r>
    </w:p>
    <w:bookmarkEnd w:id="1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1" w:name="_ENREF_11"/>
      <w:r w:rsidRPr="000D3AD4">
        <w:t>Goodyear, Albert C.</w:t>
      </w:r>
    </w:p>
    <w:p w:rsidR="000D3AD4" w:rsidRPr="000D3AD4" w:rsidRDefault="000D3AD4" w:rsidP="000D3AD4">
      <w:pPr>
        <w:pStyle w:val="EndNoteBibliography"/>
        <w:ind w:left="720" w:hanging="720"/>
      </w:pPr>
      <w:r w:rsidRPr="000D3AD4">
        <w:tab/>
        <w:t>1989</w:t>
      </w:r>
      <w:r w:rsidRPr="000D3AD4">
        <w:tab/>
      </w:r>
      <w:r w:rsidRPr="000D3AD4">
        <w:rPr>
          <w:i/>
        </w:rPr>
        <w:t>An Hypothesis on the Use of Cryptocrystalline Raw Materials among Paleoindian Groups of North America</w:t>
      </w:r>
      <w:r w:rsidRPr="000D3AD4">
        <w:t xml:space="preserve">. Eastern Paleoindian Lithic Resource Use. Westview, Boulder. </w:t>
      </w:r>
    </w:p>
    <w:bookmarkEnd w:id="1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2" w:name="_ENREF_12"/>
      <w:r w:rsidRPr="000D3AD4">
        <w:t>Gurtov, Alia N., Briggs Buchanan and Metin I. Eren</w:t>
      </w:r>
    </w:p>
    <w:p w:rsidR="000D3AD4" w:rsidRPr="000D3AD4" w:rsidRDefault="000D3AD4" w:rsidP="000D3AD4">
      <w:pPr>
        <w:pStyle w:val="EndNoteBibliography"/>
        <w:ind w:left="720" w:hanging="720"/>
      </w:pPr>
      <w:r w:rsidRPr="000D3AD4">
        <w:tab/>
        <w:t>2015</w:t>
      </w:r>
      <w:r w:rsidRPr="000D3AD4">
        <w:tab/>
        <w:t xml:space="preserve">“Dissecting” Quartzite and Basalt Bipolar Flake Shape: A Morphometric Comparison of Experimental Replications from Olduvai Gorge, Tanzania. </w:t>
      </w:r>
      <w:r w:rsidRPr="000D3AD4">
        <w:rPr>
          <w:i/>
        </w:rPr>
        <w:t>Lithic Technology</w:t>
      </w:r>
      <w:r w:rsidRPr="000D3AD4">
        <w:t xml:space="preserve"> 40(4):332-341. DOI: 10.1179/2051618515y.0000000013</w:t>
      </w:r>
    </w:p>
    <w:bookmarkEnd w:id="1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3" w:name="_ENREF_13"/>
      <w:r w:rsidRPr="000D3AD4">
        <w:t>Hiscock, Peter and Val Attenbrow</w:t>
      </w:r>
    </w:p>
    <w:p w:rsidR="000D3AD4" w:rsidRPr="000D3AD4" w:rsidRDefault="000D3AD4" w:rsidP="000D3AD4">
      <w:pPr>
        <w:pStyle w:val="EndNoteBibliography"/>
        <w:ind w:left="720" w:hanging="720"/>
      </w:pPr>
      <w:r w:rsidRPr="000D3AD4">
        <w:tab/>
        <w:t>2005</w:t>
      </w:r>
      <w:r w:rsidRPr="000D3AD4">
        <w:tab/>
        <w:t xml:space="preserve">Reduction Continuums and Tool Use. </w:t>
      </w:r>
      <w:r w:rsidRPr="000D3AD4">
        <w:rPr>
          <w:i/>
        </w:rPr>
        <w:t>Lithics 'Down Under': Australian Perspectives on Lithic Reduction, Use and Classification</w:t>
      </w:r>
      <w:r w:rsidRPr="000D3AD4">
        <w:t xml:space="preserve">:43-55. </w:t>
      </w:r>
    </w:p>
    <w:bookmarkEnd w:id="1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4" w:name="_ENREF_14"/>
      <w:r w:rsidRPr="000D3AD4">
        <w:t>Iovi</w:t>
      </w:r>
      <w:r w:rsidRPr="000D3AD4">
        <w:rPr>
          <w:rFonts w:ascii="Calibri" w:hAnsi="Calibri"/>
        </w:rPr>
        <w:t>ţă</w:t>
      </w:r>
      <w:r w:rsidRPr="000D3AD4">
        <w:t>, Radu</w:t>
      </w:r>
    </w:p>
    <w:p w:rsidR="000D3AD4" w:rsidRPr="000D3AD4" w:rsidRDefault="000D3AD4" w:rsidP="000D3AD4">
      <w:pPr>
        <w:pStyle w:val="EndNoteBibliography"/>
        <w:ind w:left="720" w:hanging="720"/>
      </w:pPr>
      <w:r w:rsidRPr="000D3AD4">
        <w:tab/>
        <w:t>2009</w:t>
      </w:r>
      <w:r w:rsidRPr="000D3AD4">
        <w:tab/>
        <w:t xml:space="preserve">Ontogenetic Scaling and Lithic Systematics: Method and Application. </w:t>
      </w:r>
      <w:r w:rsidRPr="000D3AD4">
        <w:rPr>
          <w:i/>
        </w:rPr>
        <w:t>Journal of Archaeological Science</w:t>
      </w:r>
      <w:r w:rsidRPr="000D3AD4">
        <w:t xml:space="preserve"> 36(7):1447-1457. DOI: 10.1016/j.jas.2009.02.008</w:t>
      </w:r>
    </w:p>
    <w:bookmarkEnd w:id="1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5" w:name="_ENREF_15"/>
      <w:r w:rsidRPr="000D3AD4">
        <w:tab/>
        <w:t>2010</w:t>
      </w:r>
      <w:r w:rsidRPr="000D3AD4">
        <w:tab/>
        <w:t>Comparing Stone Tool Resharpening Trajectories with the Aid of Elliptical Fourier Analysis</w:t>
      </w:r>
      <w:r w:rsidRPr="000D3AD4">
        <w:rPr>
          <w:i/>
        </w:rPr>
        <w:t>.</w:t>
      </w:r>
      <w:r w:rsidRPr="000D3AD4">
        <w:t xml:space="preserve"> In </w:t>
      </w:r>
      <w:r w:rsidRPr="000D3AD4">
        <w:rPr>
          <w:i/>
        </w:rPr>
        <w:t>New Perspectives on Old Stones: Analytical Approaches to Paleolithic Technologies</w:t>
      </w:r>
      <w:r w:rsidRPr="000D3AD4">
        <w:t>, edited by S. J. Lycett and P. Chauhan, pp. 235-25310.1007/978-1-4419-6861-6_10. Springer-Verlag New York, New York. DOI: 10.1007/978-1-4419-6861-6_10</w:t>
      </w:r>
    </w:p>
    <w:bookmarkEnd w:id="1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6" w:name="_ENREF_16"/>
      <w:r w:rsidRPr="000D3AD4">
        <w:lastRenderedPageBreak/>
        <w:t>Iovi</w:t>
      </w:r>
      <w:r w:rsidRPr="000D3AD4">
        <w:rPr>
          <w:rFonts w:ascii="Calibri" w:hAnsi="Calibri"/>
        </w:rPr>
        <w:t>ţă</w:t>
      </w:r>
      <w:r w:rsidRPr="000D3AD4">
        <w:rPr>
          <w:rFonts w:cs="Arial"/>
        </w:rPr>
        <w:t xml:space="preserve">, </w:t>
      </w:r>
      <w:r w:rsidRPr="000D3AD4">
        <w:t>Radu and Shannon P. McPherron</w:t>
      </w:r>
    </w:p>
    <w:p w:rsidR="000D3AD4" w:rsidRPr="000D3AD4" w:rsidRDefault="000D3AD4" w:rsidP="000D3AD4">
      <w:pPr>
        <w:pStyle w:val="EndNoteBibliography"/>
        <w:ind w:left="720" w:hanging="720"/>
      </w:pPr>
      <w:r w:rsidRPr="000D3AD4">
        <w:tab/>
        <w:t>2011</w:t>
      </w:r>
      <w:r w:rsidRPr="000D3AD4">
        <w:tab/>
        <w:t xml:space="preserve">The Handaxe Reloaded: A Morphometric Reassessment of Acheulian and Middle Paleolithic Handaxes. </w:t>
      </w:r>
      <w:r w:rsidRPr="000D3AD4">
        <w:rPr>
          <w:i/>
        </w:rPr>
        <w:t>Journal of Human Evolution</w:t>
      </w:r>
      <w:r w:rsidRPr="000D3AD4">
        <w:t xml:space="preserve"> 61(1):61-74. DOI: 10.1016/j.jhevol.2011.02.007</w:t>
      </w:r>
    </w:p>
    <w:bookmarkEnd w:id="1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7" w:name="_ENREF_17"/>
      <w:r w:rsidRPr="000D3AD4">
        <w:t>Iovi</w:t>
      </w:r>
      <w:r w:rsidRPr="000D3AD4">
        <w:rPr>
          <w:rFonts w:ascii="Calibri" w:hAnsi="Calibri"/>
        </w:rPr>
        <w:t>ţă</w:t>
      </w:r>
      <w:r w:rsidRPr="000D3AD4">
        <w:rPr>
          <w:rFonts w:cs="Arial"/>
        </w:rPr>
        <w:t xml:space="preserve">, </w:t>
      </w:r>
      <w:r w:rsidRPr="000D3AD4">
        <w:t>Radu, Inbal Tuvi-Arad, Marie-He</w:t>
      </w:r>
      <w:r w:rsidRPr="000D3AD4">
        <w:rPr>
          <w:rFonts w:cs="Lato Light"/>
        </w:rPr>
        <w:t>´</w:t>
      </w:r>
      <w:r w:rsidRPr="000D3AD4">
        <w:t>l</w:t>
      </w:r>
      <w:r w:rsidRPr="000D3AD4">
        <w:rPr>
          <w:rFonts w:cs="Lato Light"/>
        </w:rPr>
        <w:t>è</w:t>
      </w:r>
      <w:r w:rsidRPr="000D3AD4">
        <w:t>ne Moncel, Jackie Desprie</w:t>
      </w:r>
      <w:r w:rsidRPr="000D3AD4">
        <w:rPr>
          <w:rFonts w:cs="Lato Light"/>
        </w:rPr>
        <w:t>´</w:t>
      </w:r>
      <w:r w:rsidRPr="000D3AD4">
        <w:t>e, Pierre Voinchet and Jean-Jacques Bahain</w:t>
      </w:r>
    </w:p>
    <w:p w:rsidR="000D3AD4" w:rsidRPr="000D3AD4" w:rsidRDefault="000D3AD4" w:rsidP="000D3AD4">
      <w:pPr>
        <w:pStyle w:val="EndNoteBibliography"/>
        <w:ind w:left="720" w:hanging="720"/>
      </w:pPr>
      <w:r w:rsidRPr="000D3AD4">
        <w:tab/>
        <w:t>2017</w:t>
      </w:r>
      <w:r w:rsidRPr="000D3AD4">
        <w:tab/>
        <w:t xml:space="preserve">High Handaxe Symmetry at the Beginning of the European Acheulian: The Data from La Noira (France) in Context. </w:t>
      </w:r>
      <w:r w:rsidRPr="000D3AD4">
        <w:rPr>
          <w:i/>
        </w:rPr>
        <w:t>PLoS One</w:t>
      </w:r>
      <w:r w:rsidRPr="000D3AD4">
        <w:t xml:space="preserve"> 12(5):e0177063. DOI: 10.1371/journal.pone.0177063</w:t>
      </w:r>
    </w:p>
    <w:bookmarkEnd w:id="1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8" w:name="_ENREF_18"/>
      <w:r w:rsidRPr="000D3AD4">
        <w:t>Ivanovait</w:t>
      </w:r>
      <w:r w:rsidRPr="000D3AD4">
        <w:rPr>
          <w:rFonts w:ascii="Calibri" w:hAnsi="Calibri"/>
        </w:rPr>
        <w:t>ė</w:t>
      </w:r>
      <w:r w:rsidRPr="000D3AD4">
        <w:t>, Livija, Kamil Serwatka, Christian Steven Hoggard, Florian Sauer and Felix Riede</w:t>
      </w:r>
    </w:p>
    <w:p w:rsidR="000D3AD4" w:rsidRPr="000D3AD4" w:rsidRDefault="000D3AD4" w:rsidP="000D3AD4">
      <w:pPr>
        <w:pStyle w:val="EndNoteBibliography"/>
        <w:ind w:left="720" w:hanging="720"/>
      </w:pPr>
      <w:r w:rsidRPr="000D3AD4">
        <w:tab/>
        <w:t>2019</w:t>
      </w:r>
      <w:r w:rsidRPr="000D3AD4">
        <w:tab/>
        <w:t xml:space="preserve">All these Fantastic Cultures? Research History and Regionalization in the Late Palaeolithic Tanged Point Cultures of Eastern Europe. </w:t>
      </w:r>
      <w:r w:rsidRPr="000D3AD4">
        <w:rPr>
          <w:i/>
        </w:rPr>
        <w:t>European Journal of Archaeology</w:t>
      </w:r>
      <w:r w:rsidRPr="000D3AD4">
        <w:t xml:space="preserve"> 23(2):162-185. DOI: 10.1017/eaa.2019.59</w:t>
      </w:r>
    </w:p>
    <w:bookmarkEnd w:id="1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9" w:name="_ENREF_19"/>
      <w:r w:rsidRPr="000D3AD4">
        <w:t>Luedtke, Barbara E.</w:t>
      </w:r>
    </w:p>
    <w:p w:rsidR="000D3AD4" w:rsidRPr="000D3AD4" w:rsidRDefault="000D3AD4" w:rsidP="000D3AD4">
      <w:pPr>
        <w:pStyle w:val="EndNoteBibliography"/>
        <w:ind w:left="720" w:hanging="720"/>
      </w:pPr>
      <w:r w:rsidRPr="000D3AD4">
        <w:tab/>
        <w:t>1992</w:t>
      </w:r>
      <w:r w:rsidRPr="000D3AD4">
        <w:tab/>
      </w:r>
      <w:r w:rsidRPr="000D3AD4">
        <w:rPr>
          <w:i/>
        </w:rPr>
        <w:t>An Archaeologist's Guide to Chert and Flint</w:t>
      </w:r>
      <w:r w:rsidRPr="000D3AD4">
        <w:t xml:space="preserve">. Institute of Archaeology. </w:t>
      </w:r>
    </w:p>
    <w:bookmarkEnd w:id="1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0" w:name="_ENREF_20"/>
      <w:r w:rsidRPr="000D3AD4">
        <w:t>Middlebrook, Tom A.</w:t>
      </w:r>
    </w:p>
    <w:p w:rsidR="000D3AD4" w:rsidRPr="000D3AD4" w:rsidRDefault="000D3AD4" w:rsidP="000D3AD4">
      <w:pPr>
        <w:pStyle w:val="EndNoteBibliography"/>
        <w:ind w:left="720" w:hanging="720"/>
      </w:pPr>
      <w:r w:rsidRPr="000D3AD4">
        <w:tab/>
        <w:t>2010</w:t>
      </w:r>
      <w:r w:rsidRPr="000D3AD4">
        <w:tab/>
        <w:t xml:space="preserve">The Jack Walton Site (41SA135), San Augustine County, Texas. </w:t>
      </w:r>
      <w:r w:rsidRPr="000D3AD4">
        <w:rPr>
          <w:i/>
        </w:rPr>
        <w:t>Journal of Northeast Texas Archaeology</w:t>
      </w:r>
      <w:r w:rsidRPr="000D3AD4">
        <w:t xml:space="preserve"> 33:1-23. </w:t>
      </w:r>
    </w:p>
    <w:bookmarkEnd w:id="2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1" w:name="_ENREF_21"/>
      <w:r w:rsidRPr="000D3AD4">
        <w:t>Monnier, Gilliane F.</w:t>
      </w:r>
    </w:p>
    <w:p w:rsidR="000D3AD4" w:rsidRPr="000D3AD4" w:rsidRDefault="000D3AD4" w:rsidP="000D3AD4">
      <w:pPr>
        <w:pStyle w:val="EndNoteBibliography"/>
        <w:ind w:left="720" w:hanging="720"/>
      </w:pPr>
      <w:r w:rsidRPr="000D3AD4">
        <w:tab/>
        <w:t>2007</w:t>
      </w:r>
      <w:r w:rsidRPr="000D3AD4">
        <w:tab/>
        <w:t xml:space="preserve">Middle Palaeolithic Scraper Morphology, Flaking Mechanics and Imposed Form: Revisitng Bisson's ‘Interview with a Neanderthal’. </w:t>
      </w:r>
      <w:r w:rsidRPr="000D3AD4">
        <w:rPr>
          <w:i/>
        </w:rPr>
        <w:t>Cambridge Archaeological Journal</w:t>
      </w:r>
      <w:r w:rsidRPr="000D3AD4">
        <w:t xml:space="preserve"> 17(3):341-350. DOI: 10.1017/s0959774307000406</w:t>
      </w:r>
    </w:p>
    <w:bookmarkEnd w:id="2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2" w:name="_ENREF_22"/>
      <w:r w:rsidRPr="000D3AD4">
        <w:t>Perttula, Timothy K.</w:t>
      </w:r>
    </w:p>
    <w:p w:rsidR="000D3AD4" w:rsidRPr="000D3AD4" w:rsidRDefault="000D3AD4" w:rsidP="000D3AD4">
      <w:pPr>
        <w:pStyle w:val="EndNoteBibliography"/>
        <w:ind w:left="720" w:hanging="720"/>
      </w:pPr>
      <w:r w:rsidRPr="000D3AD4">
        <w:tab/>
        <w:t>2009</w:t>
      </w:r>
      <w:r w:rsidRPr="000D3AD4">
        <w:tab/>
        <w:t xml:space="preserve">Caddo Ceramic and Lithic Artifacts from the Washington Square Mound Site (41NA49) in Nacogdoches County, Texas: 1985 Texas Archeological Society Field School Investigations. </w:t>
      </w:r>
      <w:r w:rsidRPr="000D3AD4">
        <w:rPr>
          <w:i/>
        </w:rPr>
        <w:t xml:space="preserve">Bulletin of the Texas Archeological Society </w:t>
      </w:r>
      <w:r w:rsidRPr="000D3AD4">
        <w:t xml:space="preserve">80:145-193. </w:t>
      </w:r>
    </w:p>
    <w:bookmarkEnd w:id="2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3" w:name="_ENREF_23"/>
      <w:r w:rsidRPr="000D3AD4">
        <w:tab/>
        <w:t>2018</w:t>
      </w:r>
      <w:r w:rsidRPr="000D3AD4">
        <w:tab/>
        <w:t xml:space="preserve">Analysis of Aboriginal Ceramic and Lithic Artifacts from Sites on National Forest Lands in East Texas. </w:t>
      </w:r>
      <w:r w:rsidRPr="000D3AD4">
        <w:rPr>
          <w:i/>
        </w:rPr>
        <w:t xml:space="preserve">Journal of Northeast Texas Archaeology </w:t>
      </w:r>
      <w:r w:rsidRPr="000D3AD4">
        <w:t xml:space="preserve">77:1-122. </w:t>
      </w:r>
    </w:p>
    <w:bookmarkEnd w:id="2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4" w:name="_ENREF_24"/>
      <w:r w:rsidRPr="000D3AD4">
        <w:lastRenderedPageBreak/>
        <w:t>Perttula, Timothy K. and P. Shawn Marceaux</w:t>
      </w:r>
    </w:p>
    <w:p w:rsidR="000D3AD4" w:rsidRPr="000D3AD4" w:rsidRDefault="000D3AD4" w:rsidP="000D3AD4">
      <w:pPr>
        <w:pStyle w:val="EndNoteBibliography"/>
        <w:ind w:left="720" w:hanging="720"/>
      </w:pPr>
      <w:r w:rsidRPr="000D3AD4">
        <w:tab/>
        <w:t>2018</w:t>
      </w:r>
      <w:r w:rsidRPr="000D3AD4">
        <w:tab/>
      </w:r>
      <w:r w:rsidRPr="000D3AD4">
        <w:rPr>
          <w:i/>
        </w:rPr>
        <w:t>Documentation of Associated and Unassociated Caddo Funerary Objects in the Stephen F. Austin State University Collections</w:t>
      </w:r>
      <w:r w:rsidRPr="000D3AD4">
        <w:t xml:space="preserve">. Special Publication No. 50. Friends of Northeast Texas Archaeology. </w:t>
      </w:r>
    </w:p>
    <w:bookmarkEnd w:id="2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5" w:name="_ENREF_25"/>
      <w:r w:rsidRPr="000D3AD4">
        <w:t>Perttula, Timothy K. and Mason D. Miller</w:t>
      </w:r>
    </w:p>
    <w:p w:rsidR="000D3AD4" w:rsidRPr="000D3AD4" w:rsidRDefault="000D3AD4" w:rsidP="000D3AD4">
      <w:pPr>
        <w:pStyle w:val="EndNoteBibliography"/>
        <w:ind w:left="720" w:hanging="720"/>
      </w:pPr>
      <w:r w:rsidRPr="000D3AD4">
        <w:tab/>
        <w:t>2014</w:t>
      </w:r>
      <w:r w:rsidRPr="000D3AD4">
        <w:tab/>
      </w:r>
      <w:r w:rsidRPr="000D3AD4">
        <w:rPr>
          <w:i/>
        </w:rPr>
        <w:t>Archeological Investigations at the Kitchen Branch (41CP220), B. J. Horton (41CP20), and Keering (41CP21) Sites, Big Cypress Creek Basin, Camp County, Texas</w:t>
      </w:r>
      <w:r w:rsidRPr="000D3AD4">
        <w:t xml:space="preserve">. Technical Report No. 82. AmaTerra Environmental, Inc. </w:t>
      </w:r>
    </w:p>
    <w:bookmarkEnd w:id="2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6" w:name="_ENREF_26"/>
      <w:r w:rsidRPr="000D3AD4">
        <w:t>Perttula, Timothy K., Mark Walters and Rodney B. Nelson</w:t>
      </w:r>
    </w:p>
    <w:p w:rsidR="000D3AD4" w:rsidRPr="000D3AD4" w:rsidRDefault="000D3AD4" w:rsidP="000D3AD4">
      <w:pPr>
        <w:pStyle w:val="EndNoteBibliography"/>
        <w:ind w:left="720" w:hanging="720"/>
      </w:pPr>
      <w:r w:rsidRPr="000D3AD4">
        <w:tab/>
        <w:t>2010a</w:t>
      </w:r>
      <w:r w:rsidRPr="000D3AD4">
        <w:tab/>
      </w:r>
      <w:r w:rsidRPr="000D3AD4">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0D3AD4">
        <w:t xml:space="preserve"> Special Publication No. 10. Friends of Northeast Texas Archaeology, Pittsburg and Austin. </w:t>
      </w:r>
    </w:p>
    <w:bookmarkEnd w:id="2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7" w:name="_ENREF_27"/>
      <w:r w:rsidRPr="000D3AD4">
        <w:tab/>
        <w:t>2010b</w:t>
      </w:r>
      <w:r w:rsidRPr="000D3AD4">
        <w:tab/>
      </w:r>
      <w:r w:rsidRPr="000D3AD4">
        <w:rPr>
          <w:i/>
        </w:rPr>
        <w:t>Caddo Pottery Vessels and Pipes from the Johns Site (41CP12) in the Big Cypress Creek Basin in the Turner and Johns Collections, Camp County, Texas</w:t>
      </w:r>
      <w:r w:rsidRPr="000D3AD4">
        <w:t xml:space="preserve"> Special Publication No. 11. Friends of Northeast Texas Archaeology, Austin and Pittsburg. </w:t>
      </w:r>
    </w:p>
    <w:bookmarkEnd w:id="2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8" w:name="_ENREF_28"/>
      <w:r w:rsidRPr="000D3AD4">
        <w:t>Perttula, Timothy K., Mark Walters, Rodney B. Nelson and Robert Cast</w:t>
      </w:r>
    </w:p>
    <w:p w:rsidR="000D3AD4" w:rsidRPr="000D3AD4" w:rsidRDefault="000D3AD4" w:rsidP="000D3AD4">
      <w:pPr>
        <w:pStyle w:val="EndNoteBibliography"/>
        <w:ind w:left="720" w:hanging="720"/>
      </w:pPr>
      <w:r w:rsidRPr="000D3AD4">
        <w:tab/>
        <w:t>2010</w:t>
      </w:r>
      <w:r w:rsidRPr="000D3AD4">
        <w:tab/>
      </w:r>
      <w:r w:rsidRPr="000D3AD4">
        <w:rPr>
          <w:i/>
        </w:rPr>
        <w:t>Documentation of Associated and Unassociated Caddo Funerary Objects in the Stephen F. Austin State University Collections, Nacogdoches, Texas.</w:t>
      </w:r>
      <w:r w:rsidRPr="000D3AD4">
        <w:t xml:space="preserve"> Stephen F. Austin State University Press, Nacogdoches, Texas. </w:t>
      </w:r>
    </w:p>
    <w:bookmarkEnd w:id="2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9" w:name="_ENREF_29"/>
      <w:r w:rsidRPr="000D3AD4">
        <w:t>Perttula, Timothy K., Mark Walters, Kevin Stingley and Tom A. Middlebrook</w:t>
      </w:r>
    </w:p>
    <w:p w:rsidR="000D3AD4" w:rsidRPr="000D3AD4" w:rsidRDefault="000D3AD4" w:rsidP="000D3AD4">
      <w:pPr>
        <w:pStyle w:val="EndNoteBibliography"/>
        <w:ind w:left="720" w:hanging="720"/>
      </w:pPr>
      <w:r w:rsidRPr="000D3AD4">
        <w:tab/>
        <w:t>2017</w:t>
      </w:r>
      <w:r w:rsidRPr="000D3AD4">
        <w:tab/>
      </w:r>
      <w:r w:rsidRPr="000D3AD4">
        <w:rPr>
          <w:i/>
        </w:rPr>
        <w:t>Ceramic Vessels and Other Funerary Objects in the Titus Phase Cemetery at the Tuck Carpenter Site, Camp County, Texas</w:t>
      </w:r>
      <w:r w:rsidRPr="000D3AD4">
        <w:t xml:space="preserve">. Special Publication No. 48. Friends of Northeast Texas Archaeology. </w:t>
      </w:r>
    </w:p>
    <w:bookmarkEnd w:id="2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0" w:name="_ENREF_30"/>
      <w:r w:rsidRPr="000D3AD4">
        <w:t>R Core Development Team</w:t>
      </w:r>
    </w:p>
    <w:p w:rsidR="000D3AD4" w:rsidRPr="000D3AD4" w:rsidRDefault="000D3AD4" w:rsidP="000D3AD4">
      <w:pPr>
        <w:pStyle w:val="EndNoteBibliography"/>
        <w:ind w:left="720" w:hanging="720"/>
      </w:pPr>
      <w:r w:rsidRPr="000D3AD4">
        <w:tab/>
        <w:t>2020</w:t>
      </w:r>
      <w:r w:rsidRPr="000D3AD4">
        <w:tab/>
      </w:r>
      <w:r w:rsidRPr="000D3AD4">
        <w:rPr>
          <w:i/>
        </w:rPr>
        <w:t>R: A Language and Environment for Statistical Computing. Electronic resource,</w:t>
      </w:r>
      <w:r w:rsidRPr="000D3AD4">
        <w:t xml:space="preserve">. R Foundation for Statistical Computing, Vienna, Austria. </w:t>
      </w:r>
    </w:p>
    <w:bookmarkEnd w:id="3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1" w:name="_ENREF_31"/>
      <w:r w:rsidRPr="000D3AD4">
        <w:t>Sackett, James R.</w:t>
      </w:r>
    </w:p>
    <w:p w:rsidR="000D3AD4" w:rsidRPr="000D3AD4" w:rsidRDefault="000D3AD4" w:rsidP="000D3AD4">
      <w:pPr>
        <w:pStyle w:val="EndNoteBibliography"/>
        <w:ind w:left="720" w:hanging="720"/>
      </w:pPr>
      <w:r w:rsidRPr="000D3AD4">
        <w:lastRenderedPageBreak/>
        <w:tab/>
        <w:t>1982</w:t>
      </w:r>
      <w:r w:rsidRPr="000D3AD4">
        <w:tab/>
        <w:t xml:space="preserve">Approaches to Style in Lithic Archaeology. </w:t>
      </w:r>
      <w:r w:rsidRPr="000D3AD4">
        <w:rPr>
          <w:i/>
        </w:rPr>
        <w:t>Journal of Anthropological Archaeology</w:t>
      </w:r>
      <w:r w:rsidRPr="000D3AD4">
        <w:t xml:space="preserve"> 1:59-112. </w:t>
      </w:r>
    </w:p>
    <w:bookmarkEnd w:id="3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2" w:name="_ENREF_32"/>
      <w:r w:rsidRPr="000D3AD4">
        <w:t>Saragusti, Idit, Avshalom Karasik, Ilan Sharon and Uzy Smilansky</w:t>
      </w:r>
    </w:p>
    <w:p w:rsidR="000D3AD4" w:rsidRPr="000D3AD4" w:rsidRDefault="000D3AD4" w:rsidP="000D3AD4">
      <w:pPr>
        <w:pStyle w:val="EndNoteBibliography"/>
        <w:ind w:left="720" w:hanging="720"/>
      </w:pPr>
      <w:r w:rsidRPr="000D3AD4">
        <w:tab/>
        <w:t>2005</w:t>
      </w:r>
      <w:r w:rsidRPr="000D3AD4">
        <w:tab/>
        <w:t xml:space="preserve">Quantitative analysis of shape attributes based on contours and section profiles in artifact analysis. </w:t>
      </w:r>
      <w:r w:rsidRPr="000D3AD4">
        <w:rPr>
          <w:i/>
        </w:rPr>
        <w:t>Journal of Archaeological Science</w:t>
      </w:r>
      <w:r w:rsidRPr="000D3AD4">
        <w:t xml:space="preserve"> 32(6):841-853. DOI: 10.1016/j.jas.2005.01.002</w:t>
      </w:r>
    </w:p>
    <w:bookmarkEnd w:id="3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3" w:name="_ENREF_33"/>
      <w:r w:rsidRPr="000D3AD4">
        <w:t>Schillinger, Kerstin, Alex Mesoudi and Stephen J. Lycett</w:t>
      </w:r>
    </w:p>
    <w:p w:rsidR="000D3AD4" w:rsidRPr="000D3AD4" w:rsidRDefault="000D3AD4" w:rsidP="000D3AD4">
      <w:pPr>
        <w:pStyle w:val="EndNoteBibliography"/>
        <w:ind w:left="720" w:hanging="720"/>
      </w:pPr>
      <w:r w:rsidRPr="000D3AD4">
        <w:tab/>
        <w:t>2016</w:t>
      </w:r>
      <w:r w:rsidRPr="000D3AD4">
        <w:tab/>
        <w:t xml:space="preserve">Differences in Manufacturing Traditions and Assemblage-Level Patterns: the Origins of Cultural Differences in Archaeological Data. </w:t>
      </w:r>
      <w:r w:rsidRPr="000D3AD4">
        <w:rPr>
          <w:i/>
        </w:rPr>
        <w:t>Journal of Archaeological Method and Theory</w:t>
      </w:r>
      <w:r w:rsidRPr="000D3AD4">
        <w:t xml:space="preserve"> 24(2):640-658. DOI: 10.1007/s10816-016-9280-4</w:t>
      </w:r>
    </w:p>
    <w:bookmarkEnd w:id="3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4" w:name="_ENREF_34"/>
      <w:r w:rsidRPr="000D3AD4">
        <w:t>Selden Jr., Robert Z.</w:t>
      </w:r>
    </w:p>
    <w:p w:rsidR="000D3AD4" w:rsidRPr="000D3AD4" w:rsidRDefault="000D3AD4" w:rsidP="000D3AD4">
      <w:pPr>
        <w:pStyle w:val="EndNoteBibliography"/>
        <w:ind w:left="720" w:hanging="720"/>
      </w:pPr>
      <w:r w:rsidRPr="000D3AD4">
        <w:tab/>
        <w:t>2017</w:t>
      </w:r>
      <w:r w:rsidRPr="000D3AD4">
        <w:tab/>
        <w:t xml:space="preserve">Asymmetry of Caddo Ceramics from the Washington Square Mound Site: An Exploratory Analysis. </w:t>
      </w:r>
      <w:r w:rsidRPr="000D3AD4">
        <w:rPr>
          <w:i/>
        </w:rPr>
        <w:t>Digital Applications in Archaeology and Cultural Heritage</w:t>
      </w:r>
      <w:r w:rsidRPr="000D3AD4">
        <w:t xml:space="preserve"> 5:21-28. DOI: 10.1016/j.daach.2017.04.003</w:t>
      </w:r>
    </w:p>
    <w:bookmarkEnd w:id="3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5" w:name="_ENREF_35"/>
      <w:r w:rsidRPr="000D3AD4">
        <w:tab/>
        <w:t>2018a</w:t>
      </w:r>
      <w:r w:rsidRPr="000D3AD4">
        <w:tab/>
        <w:t xml:space="preserve">Ceramic Morphological Organisation in the Southern Caddo Area: Quiddity of Shape for Hickory Engraved Bottles. </w:t>
      </w:r>
      <w:r w:rsidRPr="000D3AD4">
        <w:rPr>
          <w:i/>
        </w:rPr>
        <w:t>Journal of Archaeological Science: Reports</w:t>
      </w:r>
      <w:r w:rsidRPr="000D3AD4">
        <w:t xml:space="preserve"> 21:884-896. DOI: 10.1016/j.jasrep.2018.08.045</w:t>
      </w:r>
    </w:p>
    <w:bookmarkEnd w:id="3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6" w:name="_ENREF_36"/>
      <w:r w:rsidRPr="000D3AD4">
        <w:tab/>
        <w:t>2018b</w:t>
      </w:r>
      <w:r w:rsidRPr="000D3AD4">
        <w:tab/>
        <w:t xml:space="preserve">A Preliminary Study of Smithport Plain Bottle Morphology in the Southern Caddo Area. </w:t>
      </w:r>
      <w:r w:rsidRPr="000D3AD4">
        <w:rPr>
          <w:i/>
        </w:rPr>
        <w:t>Bulletin of the Texas Archeological Society</w:t>
      </w:r>
      <w:r w:rsidRPr="000D3AD4">
        <w:t xml:space="preserve"> 89:63-89. </w:t>
      </w:r>
    </w:p>
    <w:bookmarkEnd w:id="3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7" w:name="_ENREF_37"/>
      <w:r w:rsidRPr="000D3AD4">
        <w:tab/>
        <w:t>2019</w:t>
      </w:r>
      <w:r w:rsidRPr="000D3AD4">
        <w:tab/>
        <w:t xml:space="preserve">Ceramic Morphological Organisation in the Southern Caddo Area: The Clarence H. Webb Collections. </w:t>
      </w:r>
      <w:r w:rsidRPr="000D3AD4">
        <w:rPr>
          <w:i/>
        </w:rPr>
        <w:t>Journal of Cultural Heritage</w:t>
      </w:r>
      <w:r w:rsidRPr="000D3AD4">
        <w:t xml:space="preserve"> 35:41-55. DOI: </w:t>
      </w:r>
      <w:hyperlink r:id="rId13" w:history="1">
        <w:r w:rsidRPr="000D3AD4">
          <w:rPr>
            <w:rStyle w:val="Hyperlink"/>
          </w:rPr>
          <w:t>https://doi.org/10.1016/j.culher.2018.07.002</w:t>
        </w:r>
      </w:hyperlink>
    </w:p>
    <w:bookmarkEnd w:id="3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8" w:name="_ENREF_38"/>
      <w:r w:rsidRPr="000D3AD4">
        <w:tab/>
        <w:t>2021a</w:t>
      </w:r>
      <w:r w:rsidRPr="000D3AD4">
        <w:tab/>
        <w:t>An Exploratory Network Analysis of the Historic Caddo Period in Northeast Texas</w:t>
      </w:r>
      <w:r w:rsidRPr="000D3AD4">
        <w:rPr>
          <w:i/>
        </w:rPr>
        <w:t>.</w:t>
      </w:r>
      <w:r w:rsidRPr="000D3AD4">
        <w:t xml:space="preserve"> In </w:t>
      </w:r>
      <w:r w:rsidRPr="000D3AD4">
        <w:rPr>
          <w:i/>
        </w:rPr>
        <w:t>Ancestral Caddo Ceramic Traditions</w:t>
      </w:r>
      <w:r w:rsidRPr="000D3AD4">
        <w:t xml:space="preserve">, edited by Duncan P. McKinnon, Timothy K. Perttula and Jeffrey S. Girard, pp. (in review). LSU Press, Baton Rouge. </w:t>
      </w:r>
    </w:p>
    <w:bookmarkEnd w:id="3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9" w:name="_ENREF_39"/>
      <w:r w:rsidRPr="000D3AD4">
        <w:tab/>
        <w:t>2021b</w:t>
      </w:r>
      <w:r w:rsidRPr="000D3AD4">
        <w:tab/>
        <w:t>Louisiana Limitrophe: An Iterative Morphological Exegesis of Caddo Bottle and Biface Production</w:t>
      </w:r>
      <w:r w:rsidRPr="000D3AD4">
        <w:rPr>
          <w:i/>
        </w:rPr>
        <w:t>.</w:t>
      </w:r>
      <w:r w:rsidRPr="000D3AD4">
        <w:t xml:space="preserve"> In </w:t>
      </w:r>
      <w:r w:rsidRPr="000D3AD4">
        <w:rPr>
          <w:i/>
        </w:rPr>
        <w:t>Ancestral Caddo Ceramic Traditions</w:t>
      </w:r>
      <w:r w:rsidRPr="000D3AD4">
        <w:t xml:space="preserve">, edited by Duncan P. McKinnon, Jeffrey S. Girard and Timothy K. Perttula, pp. (in press). LSU Press, Baton Rouge. </w:t>
      </w:r>
    </w:p>
    <w:bookmarkEnd w:id="3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0" w:name="_ENREF_40"/>
      <w:r w:rsidRPr="000D3AD4">
        <w:lastRenderedPageBreak/>
        <w:t>Selden Jr., Robert Z., John E. Dockall and Morgane Dubied</w:t>
      </w:r>
    </w:p>
    <w:p w:rsidR="000D3AD4" w:rsidRPr="000D3AD4" w:rsidRDefault="000D3AD4" w:rsidP="000D3AD4">
      <w:pPr>
        <w:pStyle w:val="EndNoteBibliography"/>
        <w:ind w:left="720" w:hanging="720"/>
      </w:pPr>
      <w:r w:rsidRPr="000D3AD4">
        <w:tab/>
        <w:t>2020</w:t>
      </w:r>
      <w:r w:rsidRPr="000D3AD4">
        <w:tab/>
        <w:t xml:space="preserve">A quantitative assessment of intraspecific morphological variation in Gahagan bifaces from the southern Caddo area and central Texas. </w:t>
      </w:r>
      <w:r w:rsidRPr="000D3AD4">
        <w:rPr>
          <w:i/>
        </w:rPr>
        <w:t>Southeastern Archaeology</w:t>
      </w:r>
      <w:r w:rsidRPr="000D3AD4">
        <w:t xml:space="preserve"> 10.1080/0734578x.2020.1744416:1-21. DOI: 10.1080/0734578x.2020.1744416</w:t>
      </w:r>
    </w:p>
    <w:bookmarkEnd w:id="4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1" w:name="_ENREF_41"/>
      <w:r w:rsidRPr="000D3AD4">
        <w:t>Selden Jr., Robert Z. and Timothy K. Perttula</w:t>
      </w:r>
    </w:p>
    <w:p w:rsidR="000D3AD4" w:rsidRPr="000D3AD4" w:rsidRDefault="000D3AD4" w:rsidP="000D3AD4">
      <w:pPr>
        <w:pStyle w:val="EndNoteBibliography"/>
        <w:ind w:left="720" w:hanging="720"/>
      </w:pPr>
      <w:r w:rsidRPr="000D3AD4">
        <w:tab/>
        <w:t>2013</w:t>
      </w:r>
      <w:r w:rsidRPr="000D3AD4">
        <w:tab/>
        <w:t xml:space="preserve">Radiocarbon Trends and the East Texas Caddo Tradition. </w:t>
      </w:r>
      <w:r w:rsidRPr="000D3AD4">
        <w:rPr>
          <w:i/>
        </w:rPr>
        <w:t>Southeastern Archaeology</w:t>
      </w:r>
      <w:r w:rsidRPr="000D3AD4">
        <w:t xml:space="preserve"> 32(1):85-96. DOI: 10.1179/sea.2013.32.1.007</w:t>
      </w:r>
    </w:p>
    <w:bookmarkEnd w:id="4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2" w:name="_ENREF_42"/>
      <w:r w:rsidRPr="000D3AD4">
        <w:t>Selden Jr., Robert Z., Timothy K. Perttula and Michael J. O'Brien</w:t>
      </w:r>
    </w:p>
    <w:p w:rsidR="000D3AD4" w:rsidRPr="000D3AD4" w:rsidRDefault="000D3AD4" w:rsidP="000D3AD4">
      <w:pPr>
        <w:pStyle w:val="EndNoteBibliography"/>
        <w:ind w:left="720" w:hanging="720"/>
      </w:pPr>
      <w:r w:rsidRPr="000D3AD4">
        <w:tab/>
        <w:t>2014</w:t>
      </w:r>
      <w:r w:rsidRPr="000D3AD4">
        <w:tab/>
        <w:t xml:space="preserve">Advances in Documentation, Digital Curation, Virtual Exhibition, and a Test of 3D Geometric Morphometrics: A Case Study of the Vanderpool Vessels from the Ancestral Caddo Territory. </w:t>
      </w:r>
      <w:r w:rsidRPr="000D3AD4">
        <w:rPr>
          <w:i/>
        </w:rPr>
        <w:t>Advances in Archaeological Practice</w:t>
      </w:r>
      <w:r w:rsidRPr="000D3AD4">
        <w:t xml:space="preserve"> 2(2):1-15. DOI: 10.7183/2326-3768.2.2.64</w:t>
      </w:r>
    </w:p>
    <w:bookmarkEnd w:id="4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3" w:name="_ENREF_43"/>
      <w:r w:rsidRPr="000D3AD4">
        <w:t>Selden, Robert Z., John E. Dockall and Harry J. Shafer</w:t>
      </w:r>
    </w:p>
    <w:p w:rsidR="000D3AD4" w:rsidRPr="000D3AD4" w:rsidRDefault="000D3AD4" w:rsidP="000D3AD4">
      <w:pPr>
        <w:pStyle w:val="EndNoteBibliography"/>
        <w:ind w:left="720" w:hanging="720"/>
      </w:pPr>
      <w:r w:rsidRPr="000D3AD4">
        <w:tab/>
        <w:t>2018</w:t>
      </w:r>
      <w:r w:rsidRPr="000D3AD4">
        <w:tab/>
        <w:t xml:space="preserve">Lithic Morphological Organisation: Gahagan Bifaces from the Southern Caddo Area. </w:t>
      </w:r>
      <w:r w:rsidRPr="000D3AD4">
        <w:rPr>
          <w:i/>
        </w:rPr>
        <w:t>Digital Applications in Archaeology and Cultural Heritage</w:t>
      </w:r>
      <w:r w:rsidRPr="000D3AD4">
        <w:t xml:space="preserve"> 10. DOI: 10.1016/j.daach.2018.e00080</w:t>
      </w:r>
    </w:p>
    <w:bookmarkEnd w:id="4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4" w:name="_ENREF_44"/>
      <w:r w:rsidRPr="000D3AD4">
        <w:t>Serwatka, Kamil</w:t>
      </w:r>
    </w:p>
    <w:p w:rsidR="000D3AD4" w:rsidRPr="000D3AD4" w:rsidRDefault="000D3AD4" w:rsidP="000D3AD4">
      <w:pPr>
        <w:pStyle w:val="EndNoteBibliography"/>
        <w:ind w:left="720" w:hanging="720"/>
      </w:pPr>
      <w:r w:rsidRPr="000D3AD4">
        <w:tab/>
        <w:t>2015</w:t>
      </w:r>
      <w:r w:rsidRPr="000D3AD4">
        <w:tab/>
        <w:t xml:space="preserve">Shape Variation of Middle Palaeolithic Bifacial Tools from Southern Poland: A Geometric Morphometric Approach to Keilmessergruppen Handaxes and Backed Knives. </w:t>
      </w:r>
      <w:r w:rsidRPr="000D3AD4">
        <w:rPr>
          <w:i/>
        </w:rPr>
        <w:t>Lithics</w:t>
      </w:r>
      <w:r w:rsidRPr="000D3AD4">
        <w:t xml:space="preserve"> 35:18-32. </w:t>
      </w:r>
    </w:p>
    <w:bookmarkEnd w:id="4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5" w:name="_ENREF_45"/>
      <w:r w:rsidRPr="000D3AD4">
        <w:t>Turner, Robert L.</w:t>
      </w:r>
    </w:p>
    <w:p w:rsidR="000D3AD4" w:rsidRPr="000D3AD4" w:rsidRDefault="000D3AD4" w:rsidP="000D3AD4">
      <w:pPr>
        <w:pStyle w:val="EndNoteBibliography"/>
        <w:ind w:left="720" w:hanging="720"/>
      </w:pPr>
      <w:r w:rsidRPr="000D3AD4">
        <w:tab/>
        <w:t>1978</w:t>
      </w:r>
      <w:r w:rsidRPr="000D3AD4">
        <w:tab/>
        <w:t xml:space="preserve">The Tuck Carpenter Site and Its Relations to Other Sites within the Titus Focus. </w:t>
      </w:r>
      <w:r w:rsidRPr="000D3AD4">
        <w:rPr>
          <w:i/>
        </w:rPr>
        <w:t>Bulletin of the Texas Archeological Society</w:t>
      </w:r>
      <w:r w:rsidRPr="000D3AD4">
        <w:t xml:space="preserve"> 49:1-110. </w:t>
      </w:r>
    </w:p>
    <w:bookmarkEnd w:id="4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6" w:name="_ENREF_46"/>
      <w:r w:rsidRPr="000D3AD4">
        <w:tab/>
        <w:t>1992</w:t>
      </w:r>
      <w:r w:rsidRPr="000D3AD4">
        <w:tab/>
      </w:r>
      <w:r w:rsidRPr="000D3AD4">
        <w:rPr>
          <w:i/>
        </w:rPr>
        <w:t>Prehistoric Mortuary Remains at the Tuck Carpenter Site, Camp County, Texas</w:t>
      </w:r>
      <w:r w:rsidRPr="000D3AD4">
        <w:t xml:space="preserve">. Texas Archeological Research Laboratory, The University of Texas. </w:t>
      </w:r>
    </w:p>
    <w:bookmarkEnd w:id="4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7" w:name="_ENREF_47"/>
      <w:r w:rsidRPr="000D3AD4">
        <w:t>Vaquero, Manuel and Francesca Romagnoli</w:t>
      </w:r>
    </w:p>
    <w:p w:rsidR="000D3AD4" w:rsidRPr="000D3AD4" w:rsidRDefault="000D3AD4" w:rsidP="000D3AD4">
      <w:pPr>
        <w:pStyle w:val="EndNoteBibliography"/>
        <w:ind w:left="720" w:hanging="720"/>
      </w:pPr>
      <w:r w:rsidRPr="000D3AD4">
        <w:tab/>
        <w:t>2017</w:t>
      </w:r>
      <w:r w:rsidRPr="000D3AD4">
        <w:tab/>
        <w:t xml:space="preserve">Searching for Lazy People: the Significance of Expedient Behavior in the Interpretation of Paleolithic Assemblages. </w:t>
      </w:r>
      <w:r w:rsidRPr="000D3AD4">
        <w:rPr>
          <w:i/>
        </w:rPr>
        <w:t>Journal of Archaeological Method and Theory</w:t>
      </w:r>
      <w:r w:rsidRPr="000D3AD4">
        <w:t xml:space="preserve"> 25(2):334-367. DOI: 10.1007/s10816-017-9339-x</w:t>
      </w:r>
    </w:p>
    <w:bookmarkEnd w:id="4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8" w:name="_ENREF_48"/>
      <w:r w:rsidRPr="000D3AD4">
        <w:t>Walters, Mark and Patti Haskins</w:t>
      </w:r>
    </w:p>
    <w:p w:rsidR="000D3AD4" w:rsidRPr="000D3AD4" w:rsidRDefault="000D3AD4" w:rsidP="000D3AD4">
      <w:pPr>
        <w:pStyle w:val="EndNoteBibliography"/>
        <w:ind w:left="720" w:hanging="720"/>
      </w:pPr>
      <w:r w:rsidRPr="000D3AD4">
        <w:tab/>
        <w:t>1998</w:t>
      </w:r>
      <w:r w:rsidRPr="000D3AD4">
        <w:tab/>
        <w:t xml:space="preserve">Archaeological Investigations at the Redwine Site (41SM193), Smith County, Texas. </w:t>
      </w:r>
      <w:r w:rsidRPr="000D3AD4">
        <w:rPr>
          <w:i/>
        </w:rPr>
        <w:t>Journal of Northeast Texas Archaeology</w:t>
      </w:r>
      <w:r w:rsidRPr="000D3AD4">
        <w:t xml:space="preserve"> 11:1-38. </w:t>
      </w:r>
    </w:p>
    <w:bookmarkEnd w:id="4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9" w:name="_ENREF_49"/>
      <w:r w:rsidRPr="000D3AD4">
        <w:t>Wilson, Lucy</w:t>
      </w:r>
    </w:p>
    <w:p w:rsidR="000D3AD4" w:rsidRPr="000D3AD4" w:rsidRDefault="000D3AD4" w:rsidP="000D3AD4">
      <w:pPr>
        <w:pStyle w:val="EndNoteBibliography"/>
        <w:ind w:left="720" w:hanging="720"/>
      </w:pPr>
      <w:r w:rsidRPr="000D3AD4">
        <w:tab/>
        <w:t>2007</w:t>
      </w:r>
      <w:r w:rsidRPr="000D3AD4">
        <w:tab/>
        <w:t xml:space="preserve">Understanding Prehistoric Lithic Raw Material Selection: Application of a Gravity Model. </w:t>
      </w:r>
      <w:r w:rsidRPr="000D3AD4">
        <w:rPr>
          <w:i/>
        </w:rPr>
        <w:t>Journal of Archaeological Method and Theory</w:t>
      </w:r>
      <w:r w:rsidRPr="000D3AD4">
        <w:t xml:space="preserve"> 14(4):388-411. DOI: 10.1007/s10816-007-9042-4</w:t>
      </w:r>
    </w:p>
    <w:bookmarkEnd w:id="49"/>
    <w:p w:rsidR="000D3AD4" w:rsidRPr="000D3AD4" w:rsidRDefault="000D3AD4" w:rsidP="000D3AD4">
      <w:pPr>
        <w:pStyle w:val="EndNoteBibliography"/>
      </w:pPr>
    </w:p>
    <w:p w:rsidR="0093027E" w:rsidRPr="000D3AD4" w:rsidRDefault="00E93C61" w:rsidP="00EF13AB">
      <w:pPr>
        <w:rPr>
          <w:rFonts w:ascii="Lato Light" w:hAnsi="Lato Light"/>
          <w:sz w:val="20"/>
          <w:szCs w:val="20"/>
        </w:rPr>
      </w:pPr>
      <w:r w:rsidRPr="000D3AD4">
        <w:rPr>
          <w:rFonts w:ascii="Lato Light" w:hAnsi="Lato Light"/>
          <w:sz w:val="20"/>
          <w:szCs w:val="20"/>
        </w:rPr>
        <w:fldChar w:fldCharType="end"/>
      </w:r>
    </w:p>
    <w:p w:rsidR="009A653B" w:rsidRPr="000D3AD4" w:rsidRDefault="009A653B">
      <w:pPr>
        <w:rPr>
          <w:rFonts w:ascii="Lato Light" w:hAnsi="Lato Light"/>
          <w:sz w:val="20"/>
          <w:szCs w:val="20"/>
        </w:rPr>
      </w:pPr>
    </w:p>
    <w:sectPr w:rsidR="009A653B" w:rsidRPr="000D3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7BBED147-502C-4FE6-A22E-8DD6191C83E8}"/>
  </w:font>
  <w:font w:name="Lato Light">
    <w:panose1 w:val="020F0502020204030203"/>
    <w:charset w:val="00"/>
    <w:family w:val="swiss"/>
    <w:pitch w:val="variable"/>
    <w:sig w:usb0="A00002AF" w:usb1="5000604B" w:usb2="00000000" w:usb3="00000000" w:csb0="0000019F" w:csb1="00000000"/>
    <w:embedRegular r:id="rId2" w:fontKey="{EED74CA2-BC9D-4A6A-B6D4-D240016FB54A}"/>
    <w:embedBold r:id="rId3" w:fontKey="{00C3EB37-4295-4917-93A9-39E5D9CD38A0}"/>
    <w:embedItalic r:id="rId4" w:fontKey="{9B4EED5C-8FCC-4B02-8B21-078A775C18EA}"/>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363&lt;/item&gt;&lt;item&gt;477&lt;/item&gt;&lt;item&gt;1489&lt;/item&gt;&lt;item&gt;1779&lt;/item&gt;&lt;item&gt;1993&lt;/item&gt;&lt;item&gt;2008&lt;/item&gt;&lt;item&gt;2698&lt;/item&gt;&lt;item&gt;3274&lt;/item&gt;&lt;item&gt;3275&lt;/item&gt;&lt;item&gt;3770&lt;/item&gt;&lt;item&gt;3795&lt;/item&gt;&lt;item&gt;4196&lt;/item&gt;&lt;item&gt;4219&lt;/item&gt;&lt;item&gt;4343&lt;/item&gt;&lt;item&gt;4346&lt;/item&gt;&lt;item&gt;4347&lt;/item&gt;&lt;item&gt;4366&lt;/item&gt;&lt;item&gt;4372&lt;/item&gt;&lt;item&gt;4683&lt;/item&gt;&lt;item&gt;5155&lt;/item&gt;&lt;item&gt;5156&lt;/item&gt;&lt;item&gt;5232&lt;/item&gt;&lt;item&gt;9531&lt;/item&gt;&lt;item&gt;11473&lt;/item&gt;&lt;item&gt;11520&lt;/item&gt;&lt;item&gt;11548&lt;/item&gt;&lt;item&gt;11716&lt;/item&gt;&lt;item&gt;11748&lt;/item&gt;&lt;item&gt;11769&lt;/item&gt;&lt;item&gt;11976&lt;/item&gt;&lt;item&gt;20672&lt;/item&gt;&lt;item&gt;20678&lt;/item&gt;&lt;item&gt;20783&lt;/item&gt;&lt;item&gt;20787&lt;/item&gt;&lt;item&gt;20896&lt;/item&gt;&lt;item&gt;20897&lt;/item&gt;&lt;item&gt;20898&lt;/item&gt;&lt;item&gt;20899&lt;/item&gt;&lt;item&gt;20922&lt;/item&gt;&lt;item&gt;20928&lt;/item&gt;&lt;item&gt;21014&lt;/item&gt;&lt;item&gt;21015&lt;/item&gt;&lt;item&gt;21021&lt;/item&gt;&lt;item&gt;21033&lt;/item&gt;&lt;item&gt;21043&lt;/item&gt;&lt;item&gt;21044&lt;/item&gt;&lt;item&gt;21045&lt;/item&gt;&lt;item&gt;21046&lt;/item&gt;&lt;item&gt;21047&lt;/item&gt;&lt;/record-ids&gt;&lt;/item&gt;&lt;/Libraries&gt;"/>
  </w:docVars>
  <w:rsids>
    <w:rsidRoot w:val="002C0150"/>
    <w:rsid w:val="000004CB"/>
    <w:rsid w:val="00011246"/>
    <w:rsid w:val="0001521E"/>
    <w:rsid w:val="00015B17"/>
    <w:rsid w:val="00022489"/>
    <w:rsid w:val="00024029"/>
    <w:rsid w:val="00043A43"/>
    <w:rsid w:val="00060D0E"/>
    <w:rsid w:val="00086621"/>
    <w:rsid w:val="000A3B30"/>
    <w:rsid w:val="000B4CC5"/>
    <w:rsid w:val="000B5BBF"/>
    <w:rsid w:val="000C2515"/>
    <w:rsid w:val="000C5563"/>
    <w:rsid w:val="000C6782"/>
    <w:rsid w:val="000D245A"/>
    <w:rsid w:val="000D3AD4"/>
    <w:rsid w:val="00122EA2"/>
    <w:rsid w:val="00157B13"/>
    <w:rsid w:val="0019577F"/>
    <w:rsid w:val="001966B9"/>
    <w:rsid w:val="001A67B1"/>
    <w:rsid w:val="001B045A"/>
    <w:rsid w:val="001B6C12"/>
    <w:rsid w:val="001B6EF1"/>
    <w:rsid w:val="001C4449"/>
    <w:rsid w:val="001D164A"/>
    <w:rsid w:val="001D78CD"/>
    <w:rsid w:val="001E3FA2"/>
    <w:rsid w:val="001E4E0D"/>
    <w:rsid w:val="001E51D9"/>
    <w:rsid w:val="001F02F6"/>
    <w:rsid w:val="00212F60"/>
    <w:rsid w:val="00217179"/>
    <w:rsid w:val="002225DA"/>
    <w:rsid w:val="00246787"/>
    <w:rsid w:val="00246D55"/>
    <w:rsid w:val="00273F53"/>
    <w:rsid w:val="00280B1F"/>
    <w:rsid w:val="00285CDA"/>
    <w:rsid w:val="00294276"/>
    <w:rsid w:val="002C0150"/>
    <w:rsid w:val="002E1F9D"/>
    <w:rsid w:val="002F30B0"/>
    <w:rsid w:val="002F53EB"/>
    <w:rsid w:val="0030055D"/>
    <w:rsid w:val="00302DD7"/>
    <w:rsid w:val="00314F84"/>
    <w:rsid w:val="00315E68"/>
    <w:rsid w:val="0034150E"/>
    <w:rsid w:val="003641CD"/>
    <w:rsid w:val="00366DE0"/>
    <w:rsid w:val="0037121A"/>
    <w:rsid w:val="00381E33"/>
    <w:rsid w:val="00392692"/>
    <w:rsid w:val="003B49C0"/>
    <w:rsid w:val="003D265B"/>
    <w:rsid w:val="003E1F2A"/>
    <w:rsid w:val="003E4877"/>
    <w:rsid w:val="003E61B1"/>
    <w:rsid w:val="003E7707"/>
    <w:rsid w:val="003F2898"/>
    <w:rsid w:val="00434AE9"/>
    <w:rsid w:val="00474A16"/>
    <w:rsid w:val="004776F7"/>
    <w:rsid w:val="004809CF"/>
    <w:rsid w:val="0048389A"/>
    <w:rsid w:val="004A3796"/>
    <w:rsid w:val="004B75D1"/>
    <w:rsid w:val="004C2A3A"/>
    <w:rsid w:val="004C6995"/>
    <w:rsid w:val="004D1434"/>
    <w:rsid w:val="004E28BC"/>
    <w:rsid w:val="004E339B"/>
    <w:rsid w:val="00500B64"/>
    <w:rsid w:val="005067C6"/>
    <w:rsid w:val="00523244"/>
    <w:rsid w:val="005616AD"/>
    <w:rsid w:val="00564ED4"/>
    <w:rsid w:val="00597509"/>
    <w:rsid w:val="005A0151"/>
    <w:rsid w:val="005A6B1D"/>
    <w:rsid w:val="005C1F7E"/>
    <w:rsid w:val="005E36C7"/>
    <w:rsid w:val="00601DE8"/>
    <w:rsid w:val="00611445"/>
    <w:rsid w:val="0062241D"/>
    <w:rsid w:val="00652FD3"/>
    <w:rsid w:val="00657F82"/>
    <w:rsid w:val="006603E0"/>
    <w:rsid w:val="00682453"/>
    <w:rsid w:val="006861D2"/>
    <w:rsid w:val="00692A5C"/>
    <w:rsid w:val="006A339A"/>
    <w:rsid w:val="006C4637"/>
    <w:rsid w:val="006D43BF"/>
    <w:rsid w:val="006E6CB6"/>
    <w:rsid w:val="006F004A"/>
    <w:rsid w:val="006F16BE"/>
    <w:rsid w:val="00702B25"/>
    <w:rsid w:val="00776598"/>
    <w:rsid w:val="007E0556"/>
    <w:rsid w:val="007F54E8"/>
    <w:rsid w:val="00800F84"/>
    <w:rsid w:val="008028B0"/>
    <w:rsid w:val="008075DC"/>
    <w:rsid w:val="00815894"/>
    <w:rsid w:val="00842012"/>
    <w:rsid w:val="0084208E"/>
    <w:rsid w:val="008479A6"/>
    <w:rsid w:val="008533DA"/>
    <w:rsid w:val="00866804"/>
    <w:rsid w:val="00870339"/>
    <w:rsid w:val="0089284C"/>
    <w:rsid w:val="00892C0B"/>
    <w:rsid w:val="008A5962"/>
    <w:rsid w:val="008B6751"/>
    <w:rsid w:val="0093027E"/>
    <w:rsid w:val="009324A8"/>
    <w:rsid w:val="00936ABF"/>
    <w:rsid w:val="00943F35"/>
    <w:rsid w:val="00944EA4"/>
    <w:rsid w:val="00945B10"/>
    <w:rsid w:val="00951E8A"/>
    <w:rsid w:val="00956FDC"/>
    <w:rsid w:val="00963CA9"/>
    <w:rsid w:val="009877A8"/>
    <w:rsid w:val="009941CA"/>
    <w:rsid w:val="00996375"/>
    <w:rsid w:val="009A653B"/>
    <w:rsid w:val="009D1314"/>
    <w:rsid w:val="009D44BD"/>
    <w:rsid w:val="009D7C90"/>
    <w:rsid w:val="009F036E"/>
    <w:rsid w:val="009F484E"/>
    <w:rsid w:val="00A707CD"/>
    <w:rsid w:val="00A725CE"/>
    <w:rsid w:val="00A72E30"/>
    <w:rsid w:val="00A8327A"/>
    <w:rsid w:val="00A8588C"/>
    <w:rsid w:val="00A9180F"/>
    <w:rsid w:val="00AB44CE"/>
    <w:rsid w:val="00AC0EB4"/>
    <w:rsid w:val="00AD17FC"/>
    <w:rsid w:val="00AD73A3"/>
    <w:rsid w:val="00AF127B"/>
    <w:rsid w:val="00AF3157"/>
    <w:rsid w:val="00B2420B"/>
    <w:rsid w:val="00B43F17"/>
    <w:rsid w:val="00B4536A"/>
    <w:rsid w:val="00B47846"/>
    <w:rsid w:val="00B5223D"/>
    <w:rsid w:val="00B56FF6"/>
    <w:rsid w:val="00B61D9C"/>
    <w:rsid w:val="00B64964"/>
    <w:rsid w:val="00B71CB5"/>
    <w:rsid w:val="00B90C21"/>
    <w:rsid w:val="00B94019"/>
    <w:rsid w:val="00B947E4"/>
    <w:rsid w:val="00BA35E7"/>
    <w:rsid w:val="00BB199E"/>
    <w:rsid w:val="00BB2E88"/>
    <w:rsid w:val="00BB4D4D"/>
    <w:rsid w:val="00BE12B3"/>
    <w:rsid w:val="00BE71A8"/>
    <w:rsid w:val="00BF171C"/>
    <w:rsid w:val="00BF1E7D"/>
    <w:rsid w:val="00C04443"/>
    <w:rsid w:val="00C0714B"/>
    <w:rsid w:val="00C3410F"/>
    <w:rsid w:val="00C35A3F"/>
    <w:rsid w:val="00C95933"/>
    <w:rsid w:val="00CB4FB9"/>
    <w:rsid w:val="00CD0343"/>
    <w:rsid w:val="00CD5C64"/>
    <w:rsid w:val="00CE3D22"/>
    <w:rsid w:val="00CF3AE9"/>
    <w:rsid w:val="00D23D60"/>
    <w:rsid w:val="00D312A7"/>
    <w:rsid w:val="00D40AC9"/>
    <w:rsid w:val="00D610A4"/>
    <w:rsid w:val="00DA05B8"/>
    <w:rsid w:val="00DA7391"/>
    <w:rsid w:val="00DB0777"/>
    <w:rsid w:val="00DC1326"/>
    <w:rsid w:val="00DD275F"/>
    <w:rsid w:val="00DD34C8"/>
    <w:rsid w:val="00DD76A3"/>
    <w:rsid w:val="00E1192C"/>
    <w:rsid w:val="00E20CF0"/>
    <w:rsid w:val="00E63AE4"/>
    <w:rsid w:val="00E70889"/>
    <w:rsid w:val="00E771D3"/>
    <w:rsid w:val="00E84AB2"/>
    <w:rsid w:val="00E92AF0"/>
    <w:rsid w:val="00E92E6B"/>
    <w:rsid w:val="00E93C61"/>
    <w:rsid w:val="00EB0BDA"/>
    <w:rsid w:val="00ED470C"/>
    <w:rsid w:val="00EF13AB"/>
    <w:rsid w:val="00EF6090"/>
    <w:rsid w:val="00F00C67"/>
    <w:rsid w:val="00F041EC"/>
    <w:rsid w:val="00F12CC0"/>
    <w:rsid w:val="00F15B4E"/>
    <w:rsid w:val="00F177F1"/>
    <w:rsid w:val="00F20734"/>
    <w:rsid w:val="00F24769"/>
    <w:rsid w:val="00F34BD2"/>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oi.org/10.1016/j.culher.2018.07.002"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1235</TotalTime>
  <Pages>1</Pages>
  <Words>11572</Words>
  <Characters>65966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176</cp:revision>
  <dcterms:created xsi:type="dcterms:W3CDTF">2020-09-24T21:59:00Z</dcterms:created>
  <dcterms:modified xsi:type="dcterms:W3CDTF">2020-10-16T14:29:00Z</dcterms:modified>
</cp:coreProperties>
</file>