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2C0150" w:rsidRDefault="001E3FA2" w:rsidP="002C0150">
      <w:pPr>
        <w:jc w:val="center"/>
        <w:rPr>
          <w:rFonts w:ascii="Lato Light" w:hAnsi="Lato Light"/>
          <w:b/>
          <w:sz w:val="32"/>
          <w:szCs w:val="32"/>
        </w:rPr>
      </w:pPr>
      <w:r>
        <w:rPr>
          <w:rFonts w:ascii="Lato Light" w:hAnsi="Lato Light"/>
          <w:b/>
          <w:sz w:val="32"/>
          <w:szCs w:val="32"/>
        </w:rPr>
        <w:t xml:space="preserve">DIFFERENTIAL </w:t>
      </w:r>
      <w:r w:rsidR="003D265B">
        <w:rPr>
          <w:rFonts w:ascii="Lato Light" w:hAnsi="Lato Light"/>
          <w:b/>
          <w:sz w:val="32"/>
          <w:szCs w:val="32"/>
        </w:rPr>
        <w:t xml:space="preserve">PERDIZ ARROW POINT </w:t>
      </w:r>
      <w:r w:rsidR="00963CA9">
        <w:rPr>
          <w:rFonts w:ascii="Lato Light" w:hAnsi="Lato Light"/>
          <w:b/>
          <w:sz w:val="32"/>
          <w:szCs w:val="32"/>
        </w:rPr>
        <w:t>SHAP</w:t>
      </w:r>
      <w:r w:rsidR="00FD59AD">
        <w:rPr>
          <w:rFonts w:ascii="Lato Light" w:hAnsi="Lato Light"/>
          <w:b/>
          <w:sz w:val="32"/>
          <w:szCs w:val="32"/>
        </w:rPr>
        <w:t xml:space="preserve">E AS </w:t>
      </w:r>
      <w:proofErr w:type="gramStart"/>
      <w:r w:rsidR="00FD59AD">
        <w:rPr>
          <w:rFonts w:ascii="Lato Light" w:hAnsi="Lato Light"/>
          <w:b/>
          <w:sz w:val="32"/>
          <w:szCs w:val="32"/>
        </w:rPr>
        <w:t>A</w:t>
      </w:r>
      <w:proofErr w:type="gramEnd"/>
      <w:r w:rsidR="00FD59AD">
        <w:rPr>
          <w:rFonts w:ascii="Lato Light" w:hAnsi="Lato Light"/>
          <w:b/>
          <w:sz w:val="32"/>
          <w:szCs w:val="32"/>
        </w:rPr>
        <w:t xml:space="preserve"> FUNCTION OF RAW MATERIAL:</w:t>
      </w:r>
      <w:r w:rsidR="00963CA9">
        <w:rPr>
          <w:rFonts w:ascii="Lato Light" w:hAnsi="Lato Light"/>
          <w:b/>
          <w:sz w:val="32"/>
          <w:szCs w:val="32"/>
        </w:rPr>
        <w:t xml:space="preserve"> PRELIMINARY RESULTS FROM THE SOUTHERN CADDO AREA</w:t>
      </w:r>
    </w:p>
    <w:p w:rsidR="002C0150" w:rsidRDefault="002C0150" w:rsidP="002C0150">
      <w:pPr>
        <w:jc w:val="center"/>
        <w:rPr>
          <w:rFonts w:ascii="Lato Light" w:hAnsi="Lato Light"/>
          <w:sz w:val="32"/>
          <w:szCs w:val="32"/>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rsidR="002C0150" w:rsidRDefault="002C0150" w:rsidP="002C0150">
      <w:pPr>
        <w:jc w:val="center"/>
        <w:rPr>
          <w:rFonts w:ascii="Lato Light" w:hAnsi="Lato Light"/>
          <w:sz w:val="20"/>
          <w:szCs w:val="20"/>
          <w:vertAlign w:val="superscript"/>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3E1F2A" w:rsidRDefault="003E1F2A"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rPr>
          <w:rFonts w:ascii="Lato Light" w:hAnsi="Lato Light"/>
          <w:sz w:val="20"/>
          <w:szCs w:val="20"/>
        </w:rPr>
      </w:pPr>
      <w:r>
        <w:rPr>
          <w:rFonts w:ascii="Lato Light" w:hAnsi="Lato Light"/>
          <w:b/>
          <w:sz w:val="20"/>
          <w:szCs w:val="20"/>
        </w:rPr>
        <w:t>Robert Z. Selden, Jr.</w:t>
      </w:r>
      <w:r w:rsidR="00280B1F">
        <w:rPr>
          <w:rFonts w:ascii="Lato Light" w:hAnsi="Lato Light"/>
          <w:sz w:val="20"/>
          <w:szCs w:val="20"/>
        </w:rPr>
        <w:t xml:space="preserve">, </w:t>
      </w:r>
      <w:r>
        <w:rPr>
          <w:rFonts w:ascii="Lato Light" w:hAnsi="Lato Light"/>
          <w:sz w:val="20"/>
          <w:szCs w:val="20"/>
        </w:rPr>
        <w:t>Heritage Research Center, Stephen F. Austin State University, USA and Cultural Heritage Department, Jean Monnet University, FR. PO Box 13028, SFA Station, Nacogdoches, Texas 75962 ([zselden@sfasu.edu], corresponding author)</w:t>
      </w:r>
    </w:p>
    <w:p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rsidR="00294276" w:rsidRDefault="00294276" w:rsidP="0062241D">
      <w:pPr>
        <w:spacing w:after="0"/>
        <w:ind w:left="864" w:right="864"/>
        <w:contextualSpacing/>
        <w:jc w:val="both"/>
        <w:rPr>
          <w:rFonts w:ascii="Lato Light" w:hAnsi="Lato Light"/>
          <w:i/>
        </w:rPr>
      </w:pPr>
      <w:r>
        <w:rPr>
          <w:rFonts w:ascii="Lato Light" w:hAnsi="Lato Light"/>
          <w:i/>
        </w:rPr>
        <w:lastRenderedPageBreak/>
        <w:t xml:space="preserve">It is widely assumed that differences in raw material articulate with stone tool morphology.  </w:t>
      </w:r>
    </w:p>
    <w:p w:rsidR="00294276" w:rsidRDefault="00294276" w:rsidP="0062241D">
      <w:pPr>
        <w:spacing w:after="0"/>
        <w:ind w:left="864" w:right="864"/>
        <w:contextualSpacing/>
        <w:jc w:val="both"/>
        <w:rPr>
          <w:rFonts w:ascii="Lato Light" w:hAnsi="Lato Light"/>
          <w:i/>
        </w:rPr>
      </w:pPr>
    </w:p>
    <w:p w:rsidR="00D312A7" w:rsidRPr="0062241D" w:rsidRDefault="00A72E30" w:rsidP="0062241D">
      <w:pPr>
        <w:spacing w:after="0"/>
        <w:ind w:left="864" w:right="864"/>
        <w:contextualSpacing/>
        <w:jc w:val="both"/>
        <w:rPr>
          <w:rFonts w:ascii="Lato Light" w:hAnsi="Lato Light"/>
          <w:i/>
        </w:rPr>
      </w:pPr>
      <w:r>
        <w:rPr>
          <w:rFonts w:ascii="Lato Light" w:hAnsi="Lato Light"/>
          <w:i/>
        </w:rPr>
        <w:t>T</w:t>
      </w:r>
      <w:r w:rsidRPr="0062241D">
        <w:rPr>
          <w:rFonts w:ascii="Lato Light" w:hAnsi="Lato Light"/>
          <w:i/>
        </w:rPr>
        <w:t xml:space="preserve">o test the hypothesis that </w:t>
      </w:r>
      <w:proofErr w:type="spellStart"/>
      <w:r w:rsidRPr="0062241D">
        <w:rPr>
          <w:rFonts w:ascii="Lato Light" w:hAnsi="Lato Light"/>
          <w:i/>
        </w:rPr>
        <w:t>Perdiz</w:t>
      </w:r>
      <w:proofErr w:type="spellEnd"/>
      <w:r w:rsidRPr="0062241D">
        <w:rPr>
          <w:rFonts w:ascii="Lato Light" w:hAnsi="Lato Light"/>
          <w:i/>
        </w:rPr>
        <w:t xml:space="preserve"> </w:t>
      </w:r>
      <w:r>
        <w:rPr>
          <w:rFonts w:ascii="Lato Light" w:hAnsi="Lato Light"/>
          <w:i/>
        </w:rPr>
        <w:t xml:space="preserve">arrow </w:t>
      </w:r>
      <w:r w:rsidRPr="0062241D">
        <w:rPr>
          <w:rFonts w:ascii="Lato Light" w:hAnsi="Lato Light"/>
          <w:i/>
        </w:rPr>
        <w:t>point shape differs by raw material</w:t>
      </w:r>
      <w:r>
        <w:rPr>
          <w:rFonts w:ascii="Lato Light" w:hAnsi="Lato Light"/>
          <w:i/>
        </w:rPr>
        <w:t xml:space="preserve"> type,</w:t>
      </w:r>
      <w:r w:rsidRPr="0062241D">
        <w:rPr>
          <w:rFonts w:ascii="Lato Light" w:hAnsi="Lato Light"/>
          <w:i/>
        </w:rPr>
        <w:t xml:space="preserve"> </w:t>
      </w:r>
      <w:proofErr w:type="spellStart"/>
      <w:r w:rsidR="00086621" w:rsidRPr="0062241D">
        <w:rPr>
          <w:rFonts w:ascii="Lato Light" w:hAnsi="Lato Light"/>
          <w:i/>
        </w:rPr>
        <w:t>Perdiz</w:t>
      </w:r>
      <w:proofErr w:type="spellEnd"/>
      <w:r w:rsidR="00086621" w:rsidRPr="0062241D">
        <w:rPr>
          <w:rFonts w:ascii="Lato Light" w:hAnsi="Lato Light"/>
          <w:i/>
        </w:rPr>
        <w:t xml:space="preserve"> arrow points from </w:t>
      </w:r>
      <w:r w:rsidR="00EF6090" w:rsidRPr="0062241D">
        <w:rPr>
          <w:rFonts w:ascii="Lato Light" w:hAnsi="Lato Light"/>
          <w:i/>
        </w:rPr>
        <w:t>10</w:t>
      </w:r>
      <w:r w:rsidR="00086621" w:rsidRPr="0062241D">
        <w:rPr>
          <w:rFonts w:ascii="Lato Light" w:hAnsi="Lato Light"/>
          <w:i/>
        </w:rPr>
        <w:t xml:space="preserve"> Caddo sites </w:t>
      </w:r>
      <w:proofErr w:type="gramStart"/>
      <w:r w:rsidR="00086621" w:rsidRPr="0062241D">
        <w:rPr>
          <w:rFonts w:ascii="Lato Light" w:hAnsi="Lato Light"/>
          <w:i/>
        </w:rPr>
        <w:t>were</w:t>
      </w:r>
      <w:r>
        <w:rPr>
          <w:rFonts w:ascii="Lato Light" w:hAnsi="Lato Light"/>
          <w:i/>
        </w:rPr>
        <w:t xml:space="preserve"> aggregated</w:t>
      </w:r>
      <w:proofErr w:type="gramEnd"/>
      <w:r>
        <w:rPr>
          <w:rFonts w:ascii="Lato Light" w:hAnsi="Lato Light"/>
          <w:i/>
        </w:rPr>
        <w:t xml:space="preserve"> for a study of</w:t>
      </w:r>
      <w:r w:rsidR="00C0714B" w:rsidRPr="0062241D">
        <w:rPr>
          <w:rFonts w:ascii="Lato Light" w:hAnsi="Lato Light"/>
          <w:i/>
        </w:rPr>
        <w:t xml:space="preserve"> two-dimensional geometric morphometric</w:t>
      </w:r>
      <w:r>
        <w:rPr>
          <w:rFonts w:ascii="Lato Light" w:hAnsi="Lato Light"/>
          <w:i/>
        </w:rPr>
        <w:t>s</w:t>
      </w:r>
      <w:r w:rsidR="00C0714B" w:rsidRPr="0062241D">
        <w:rPr>
          <w:rFonts w:ascii="Lato Light" w:hAnsi="Lato Light"/>
          <w:i/>
        </w:rPr>
        <w:t>. R</w:t>
      </w:r>
      <w:r w:rsidR="00086621" w:rsidRPr="0062241D">
        <w:rPr>
          <w:rFonts w:ascii="Lato Light" w:hAnsi="Lato Light"/>
          <w:i/>
        </w:rPr>
        <w:t xml:space="preserve">esults </w:t>
      </w:r>
      <w:r w:rsidR="00C0714B" w:rsidRPr="0062241D">
        <w:rPr>
          <w:rFonts w:ascii="Lato Light" w:hAnsi="Lato Light"/>
          <w:i/>
        </w:rPr>
        <w:t>demonstrate</w:t>
      </w:r>
      <w:r w:rsidR="00086621" w:rsidRPr="0062241D">
        <w:rPr>
          <w:rFonts w:ascii="Lato Light" w:hAnsi="Lato Light"/>
          <w:i/>
        </w:rPr>
        <w:t xml:space="preserve"> some significant differences in </w:t>
      </w:r>
      <w:proofErr w:type="spellStart"/>
      <w:r w:rsidR="00086621" w:rsidRPr="0062241D">
        <w:rPr>
          <w:rFonts w:ascii="Lato Light" w:hAnsi="Lato Light"/>
          <w:i/>
        </w:rPr>
        <w:t>Perdiz</w:t>
      </w:r>
      <w:proofErr w:type="spellEnd"/>
      <w:r w:rsidR="00086621" w:rsidRPr="0062241D">
        <w:rPr>
          <w:rFonts w:ascii="Lato Light" w:hAnsi="Lato Light"/>
          <w:i/>
        </w:rPr>
        <w:t xml:space="preserve">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 xml:space="preserve">oints made from chert were found to differ in shape significantly from those made from jasper, quartzite, and silicified wood, and points made from silicified wood differ from chert, jasper, and quartzite. However, </w:t>
      </w:r>
      <w:proofErr w:type="spellStart"/>
      <w:r w:rsidR="00EF6090" w:rsidRPr="0062241D">
        <w:rPr>
          <w:rFonts w:ascii="Lato Light" w:hAnsi="Lato Light"/>
          <w:i/>
        </w:rPr>
        <w:t>Perdiz</w:t>
      </w:r>
      <w:proofErr w:type="spellEnd"/>
      <w:r w:rsidR="00EF6090" w:rsidRPr="0062241D">
        <w:rPr>
          <w:rFonts w:ascii="Lato Light" w:hAnsi="Lato Light"/>
          <w:i/>
        </w:rPr>
        <w:t xml:space="preserve"> points made from jasper and quartzite do not differ significantly in shape.</w:t>
      </w:r>
      <w:r w:rsidR="00C0714B" w:rsidRPr="0062241D">
        <w:rPr>
          <w:rFonts w:ascii="Lato Light" w:hAnsi="Lato Light"/>
          <w:i/>
        </w:rPr>
        <w:t xml:space="preserve"> Additional tests </w:t>
      </w:r>
      <w:proofErr w:type="gramStart"/>
      <w:r w:rsidR="00C0714B" w:rsidRPr="0062241D">
        <w:rPr>
          <w:rFonts w:ascii="Lato Light" w:hAnsi="Lato Light"/>
          <w:i/>
        </w:rPr>
        <w:t>were run</w:t>
      </w:r>
      <w:proofErr w:type="gramEnd"/>
      <w:r w:rsidR="008533DA" w:rsidRPr="0062241D">
        <w:rPr>
          <w:rFonts w:ascii="Lato Light" w:hAnsi="Lato Light"/>
          <w:i/>
        </w:rPr>
        <w:t xml:space="preserve"> to assess whether </w:t>
      </w:r>
      <w:proofErr w:type="spellStart"/>
      <w:r w:rsidR="008533DA" w:rsidRPr="0062241D">
        <w:rPr>
          <w:rFonts w:ascii="Lato Light" w:hAnsi="Lato Light"/>
          <w:i/>
        </w:rPr>
        <w:t>Perdiz</w:t>
      </w:r>
      <w:proofErr w:type="spellEnd"/>
      <w:r w:rsidR="008533DA" w:rsidRPr="0062241D">
        <w:rPr>
          <w:rFonts w:ascii="Lato Light" w:hAnsi="Lato Light"/>
          <w:i/>
        </w:rPr>
        <w:t xml:space="preserve">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w:t>
      </w:r>
      <w:r>
        <w:rPr>
          <w:rFonts w:ascii="Lato Light" w:hAnsi="Lato Light"/>
          <w:i/>
        </w:rPr>
        <w:t xml:space="preserve">potential </w:t>
      </w:r>
      <w:r w:rsidR="00302DD7" w:rsidRPr="0062241D">
        <w:rPr>
          <w:rFonts w:ascii="Lato Light" w:hAnsi="Lato Light"/>
          <w:i/>
        </w:rPr>
        <w:t>geographic constraints</w:t>
      </w:r>
      <w:r w:rsidR="00B90C21" w:rsidRPr="0062241D">
        <w:rPr>
          <w:rFonts w:ascii="Lato Light" w:hAnsi="Lato Light"/>
          <w:i/>
        </w:rPr>
        <w:t xml:space="preserve">; however, there was not a significant difference in shape for </w:t>
      </w:r>
      <w:proofErr w:type="spellStart"/>
      <w:r w:rsidR="00B90C21" w:rsidRPr="0062241D">
        <w:rPr>
          <w:rFonts w:ascii="Lato Light" w:hAnsi="Lato Light"/>
          <w:i/>
        </w:rPr>
        <w:t>Perdiz</w:t>
      </w:r>
      <w:proofErr w:type="spellEnd"/>
      <w:r w:rsidR="00B90C21" w:rsidRPr="0062241D">
        <w:rPr>
          <w:rFonts w:ascii="Lato Light" w:hAnsi="Lato Light"/>
          <w:i/>
        </w:rPr>
        <w:t xml:space="preserve"> points found in or out of mortuary contexts.</w:t>
      </w:r>
    </w:p>
    <w:p w:rsidR="00086621" w:rsidRDefault="00086621" w:rsidP="00122EA2">
      <w:pPr>
        <w:spacing w:after="0"/>
        <w:contextualSpacing/>
        <w:jc w:val="center"/>
        <w:rPr>
          <w:rFonts w:ascii="Lato Light" w:hAnsi="Lato Light"/>
          <w:sz w:val="20"/>
          <w:szCs w:val="20"/>
        </w:rPr>
      </w:pPr>
    </w:p>
    <w:p w:rsidR="00086621" w:rsidRDefault="00086621" w:rsidP="00122EA2">
      <w:pPr>
        <w:spacing w:after="0"/>
        <w:contextualSpacing/>
        <w:rPr>
          <w:rFonts w:ascii="Lato Light" w:hAnsi="Lato Light"/>
          <w:sz w:val="20"/>
          <w:szCs w:val="20"/>
        </w:rPr>
      </w:pPr>
      <w:r>
        <w:rPr>
          <w:rFonts w:ascii="Lato Light" w:hAnsi="Lato Light"/>
          <w:sz w:val="20"/>
          <w:szCs w:val="20"/>
        </w:rPr>
        <w:br w:type="page"/>
      </w:r>
    </w:p>
    <w:p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 xml:space="preserve">The assumption is that the ability to execute formal technological designs </w:t>
      </w:r>
      <w:proofErr w:type="gramStart"/>
      <w:r w:rsidRPr="00DD275F">
        <w:rPr>
          <w:rFonts w:ascii="Lato Light" w:hAnsi="Lato Light"/>
        </w:rPr>
        <w:t>is severely limited</w:t>
      </w:r>
      <w:proofErr w:type="gramEnd"/>
      <w:r w:rsidRPr="00DD275F">
        <w:rPr>
          <w:rFonts w:ascii="Lato Light" w:hAnsi="Lato Light"/>
        </w:rPr>
        <w:t xml:space="preserve">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A72E30">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A72E30" w:rsidRPr="00A72E30">
          <w:rPr>
            <w:rStyle w:val="Hyperlink"/>
          </w:rPr>
          <w:t>Goodyear 1989:3</w:t>
        </w:r>
      </w:hyperlink>
      <w:r w:rsidR="008B6751">
        <w:rPr>
          <w:rFonts w:ascii="Lato Light" w:hAnsi="Lato Light"/>
          <w:noProof/>
        </w:rPr>
        <w:t xml:space="preserve">; </w:t>
      </w:r>
      <w:hyperlink w:anchor="_ENREF_11" w:tooltip="Luedtke, 1992 #20899" w:history="1">
        <w:r w:rsidR="00A72E30" w:rsidRPr="00A72E30">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A72E30" w:rsidRPr="00A72E30">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rsidR="00DD275F" w:rsidRDefault="00DD275F" w:rsidP="003E7707">
      <w:pPr>
        <w:spacing w:after="0"/>
        <w:contextualSpacing/>
        <w:rPr>
          <w:rFonts w:ascii="Lato Light" w:hAnsi="Lato Light"/>
        </w:rPr>
      </w:pPr>
    </w:p>
    <w:p w:rsidR="00FD59AD" w:rsidRDefault="00FD59AD" w:rsidP="003E7707">
      <w:pPr>
        <w:spacing w:after="0"/>
        <w:contextualSpacing/>
        <w:rPr>
          <w:rFonts w:ascii="Lato Light" w:hAnsi="Lato Light"/>
        </w:rPr>
      </w:pPr>
    </w:p>
    <w:p w:rsidR="003E7707" w:rsidRDefault="003E7707" w:rsidP="00122EA2">
      <w:pPr>
        <w:spacing w:after="0"/>
        <w:contextualSpacing/>
        <w:jc w:val="center"/>
        <w:rPr>
          <w:rFonts w:ascii="Lato Light" w:hAnsi="Lato Light"/>
        </w:rPr>
      </w:pPr>
    </w:p>
    <w:p w:rsidR="0084208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rsidR="0084208E" w:rsidRDefault="0084208E" w:rsidP="00122EA2">
      <w:pPr>
        <w:spacing w:after="0"/>
        <w:contextualSpacing/>
        <w:jc w:val="center"/>
        <w:rPr>
          <w:rFonts w:ascii="Lato Light" w:hAnsi="Lato Light"/>
          <w:sz w:val="24"/>
          <w:szCs w:val="24"/>
        </w:rPr>
      </w:pPr>
    </w:p>
    <w:p w:rsidR="0084208E" w:rsidRDefault="001B6EF1" w:rsidP="00122EA2">
      <w:pPr>
        <w:spacing w:after="0"/>
        <w:contextualSpacing/>
        <w:jc w:val="center"/>
        <w:rPr>
          <w:rFonts w:ascii="Lato Light" w:hAnsi="Lato Light"/>
          <w:sz w:val="24"/>
          <w:szCs w:val="24"/>
        </w:rPr>
      </w:pPr>
      <w:r>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05pt;height:284.25pt" o:ole="">
            <v:imagedata r:id="rId4" o:title=""/>
          </v:shape>
          <o:OLEObject Type="Embed" ProgID="Acrobat.Document.DC" ShapeID="_x0000_i1029" DrawAspect="Content" ObjectID="_1664111527" r:id="rId5"/>
        </w:object>
      </w:r>
    </w:p>
    <w:p w:rsidR="001B6EF1" w:rsidRDefault="001B6EF1" w:rsidP="00122EA2">
      <w:pPr>
        <w:spacing w:after="0"/>
        <w:contextualSpacing/>
        <w:jc w:val="center"/>
        <w:rPr>
          <w:rFonts w:ascii="Lato Light" w:hAnsi="Lato Light"/>
          <w:sz w:val="20"/>
          <w:szCs w:val="20"/>
        </w:rPr>
      </w:pPr>
      <w:r>
        <w:rPr>
          <w:rFonts w:ascii="Lato Light" w:hAnsi="Lato Light"/>
          <w:sz w:val="20"/>
          <w:szCs w:val="20"/>
        </w:rPr>
        <w:t>Figure int1. Raw materials a, by site; b, by mortuary context; and c, by temporal period (Middle, Late, or Historic Caddo).</w:t>
      </w:r>
    </w:p>
    <w:p w:rsidR="001B6EF1" w:rsidRDefault="001B6EF1" w:rsidP="00122EA2">
      <w:pPr>
        <w:spacing w:after="0"/>
        <w:contextualSpacing/>
        <w:jc w:val="center"/>
        <w:rPr>
          <w:rFonts w:ascii="Lato Light" w:hAnsi="Lato Light"/>
          <w:sz w:val="20"/>
          <w:szCs w:val="20"/>
        </w:rPr>
      </w:pPr>
    </w:p>
    <w:p w:rsidR="001B6EF1" w:rsidRPr="001B6EF1" w:rsidRDefault="001B6EF1" w:rsidP="00122EA2">
      <w:pPr>
        <w:spacing w:after="0"/>
        <w:contextualSpacing/>
        <w:jc w:val="center"/>
        <w:rPr>
          <w:rFonts w:ascii="Lato Light" w:hAnsi="Lato Light"/>
          <w:sz w:val="20"/>
          <w:szCs w:val="20"/>
        </w:rPr>
      </w:pPr>
      <w:r>
        <w:rPr>
          <w:rFonts w:ascii="Lato Light" w:hAnsi="Lato Light"/>
          <w:sz w:val="20"/>
          <w:szCs w:val="20"/>
        </w:rPr>
        <w:object w:dxaOrig="15119" w:dyaOrig="9180">
          <v:shape id="_x0000_i1035" type="#_x0000_t75" style="width:470.8pt;height:286.1pt" o:ole="">
            <v:imagedata r:id="rId6" o:title=""/>
          </v:shape>
          <o:OLEObject Type="Embed" ProgID="Acrobat.Document.DC" ShapeID="_x0000_i1035" DrawAspect="Content" ObjectID="_1664111528" r:id="rId7"/>
        </w:object>
      </w:r>
    </w:p>
    <w:p w:rsidR="0084208E" w:rsidRPr="009877A8" w:rsidRDefault="0084208E" w:rsidP="00122EA2">
      <w:pPr>
        <w:spacing w:after="0"/>
        <w:contextualSpacing/>
        <w:jc w:val="center"/>
        <w:rPr>
          <w:rFonts w:ascii="Lato Light" w:hAnsi="Lato Light"/>
          <w:sz w:val="20"/>
          <w:szCs w:val="20"/>
        </w:rPr>
      </w:pPr>
      <w:r w:rsidRPr="009877A8">
        <w:rPr>
          <w:rFonts w:ascii="Lato Light" w:hAnsi="Lato Light"/>
          <w:sz w:val="20"/>
          <w:szCs w:val="20"/>
        </w:rPr>
        <w:t>Figure int1. Temporal span of contexts used in this sample.</w:t>
      </w:r>
    </w:p>
    <w:p w:rsidR="00122EA2" w:rsidRPr="007637D4" w:rsidRDefault="00122EA2" w:rsidP="00122EA2">
      <w:pPr>
        <w:spacing w:after="0"/>
        <w:contextualSpacing/>
        <w:jc w:val="center"/>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bookmarkStart w:id="0" w:name="_GoBack"/>
      <w:bookmarkEnd w:id="0"/>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Tuck Carpenter site is a well-studied Late Caddo period Titus phase cemetery on Dry Creek in the Big Cypress Creek basin </w:t>
      </w:r>
      <w:r w:rsidR="00BE12B3">
        <w:rPr>
          <w:rFonts w:ascii="Lato Light" w:hAnsi="Lato Light"/>
        </w:rPr>
        <w:t xml:space="preserve">that </w:t>
      </w:r>
      <w:proofErr w:type="gramStart"/>
      <w:r w:rsidR="00BE12B3">
        <w:rPr>
          <w:rFonts w:ascii="Lato Light" w:hAnsi="Lato Light"/>
        </w:rPr>
        <w:t>was inhabited</w:t>
      </w:r>
      <w:proofErr w:type="gramEnd"/>
      <w:r w:rsidR="00BE12B3">
        <w:rPr>
          <w:rFonts w:ascii="Lato Light" w:hAnsi="Lato Light"/>
        </w:rPr>
        <w:t xml:space="preserve">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w:t>
      </w:r>
      <w:proofErr w:type="spellStart"/>
      <w:r w:rsidRPr="007637D4">
        <w:rPr>
          <w:rFonts w:ascii="Lato Light" w:hAnsi="Lato Light"/>
        </w:rPr>
        <w:t>Perdiz</w:t>
      </w:r>
      <w:proofErr w:type="spellEnd"/>
      <w:r w:rsidRPr="007637D4">
        <w:rPr>
          <w:rFonts w:ascii="Lato Light" w:hAnsi="Lato Light"/>
        </w:rPr>
        <w:t xml:space="preserve"> points are the earliest in the cemetery, and likely date from ca. A.D. 1430-1500 (Perttula et al. 2017:197). A single radiocarbon date </w:t>
      </w:r>
      <w:proofErr w:type="gramStart"/>
      <w:r w:rsidRPr="007637D4">
        <w:rPr>
          <w:rFonts w:ascii="Lato Light" w:hAnsi="Lato Light"/>
        </w:rPr>
        <w:t>has been obtained</w:t>
      </w:r>
      <w:proofErr w:type="gramEnd"/>
      <w:r w:rsidRPr="007637D4">
        <w:rPr>
          <w:rFonts w:ascii="Lato Light" w:hAnsi="Lato Light"/>
        </w:rPr>
        <w:t xml:space="preserve"> from Burial 10: 360 </w:t>
      </w:r>
      <w:r w:rsidRPr="007637D4">
        <w:rPr>
          <w:rFonts w:ascii="Lato Light" w:hAnsi="Lato Light"/>
          <w:u w:val="single"/>
        </w:rPr>
        <w:t>+</w:t>
      </w:r>
      <w:r w:rsidRPr="007637D4">
        <w:rPr>
          <w:rFonts w:ascii="Lato Light" w:hAnsi="Lato Light"/>
        </w:rPr>
        <w:t xml:space="preserve"> 60 B.P. Its calibrated age (using </w:t>
      </w:r>
      <w:proofErr w:type="spellStart"/>
      <w:r w:rsidRPr="007637D4">
        <w:rPr>
          <w:rFonts w:ascii="Lato Light" w:hAnsi="Lato Light"/>
        </w:rPr>
        <w:t>INTCal</w:t>
      </w:r>
      <w:proofErr w:type="spellEnd"/>
      <w:r w:rsidRPr="007637D4">
        <w:rPr>
          <w:rFonts w:ascii="Lato Light" w:hAnsi="Lato Light"/>
        </w:rPr>
        <w:t xml:space="preserve"> 20 and </w:t>
      </w:r>
      <w:proofErr w:type="spellStart"/>
      <w:r w:rsidRPr="007637D4">
        <w:rPr>
          <w:rFonts w:ascii="Lato Light" w:hAnsi="Lato Light"/>
        </w:rPr>
        <w:t>Calib</w:t>
      </w:r>
      <w:proofErr w:type="spellEnd"/>
      <w:r w:rsidRPr="007637D4">
        <w:rPr>
          <w:rFonts w:ascii="Lato Light" w:hAnsi="Lato Light"/>
        </w:rPr>
        <w:t xml:space="preserve"> 8.20) range at </w:t>
      </w:r>
      <w:proofErr w:type="gramStart"/>
      <w:r w:rsidRPr="007637D4">
        <w:rPr>
          <w:rFonts w:ascii="Lato Light" w:hAnsi="Lato Light"/>
        </w:rPr>
        <w:t>2</w:t>
      </w:r>
      <w:proofErr w:type="gramEnd"/>
      <w:r w:rsidRPr="007637D4">
        <w:rPr>
          <w:rFonts w:ascii="Lato Light" w:hAnsi="Lato Light"/>
        </w:rPr>
        <w:t xml:space="preserve"> sigma is A.D. 1442-1646, with a median probability of A.D. 1546.</w:t>
      </w:r>
    </w:p>
    <w:p w:rsidR="00122EA2" w:rsidRPr="007637D4" w:rsidRDefault="00122EA2" w:rsidP="009A653B">
      <w:pPr>
        <w:spacing w:after="0"/>
        <w:contextualSpacing/>
        <w:jc w:val="both"/>
        <w:rPr>
          <w:rFonts w:ascii="Lato Light" w:hAnsi="Lato Light"/>
        </w:rPr>
      </w:pPr>
    </w:p>
    <w:p w:rsidR="00122EA2" w:rsidRPr="007637D4" w:rsidRDefault="00BE12B3" w:rsidP="009A653B">
      <w:pPr>
        <w:spacing w:after="0"/>
        <w:contextualSpacing/>
        <w:jc w:val="both"/>
        <w:rPr>
          <w:rFonts w:ascii="Lato Light" w:hAnsi="Lato Light"/>
        </w:rPr>
      </w:pPr>
      <w:proofErr w:type="gramStart"/>
      <w:r>
        <w:rPr>
          <w:rFonts w:ascii="Lato Light" w:hAnsi="Lato Light"/>
        </w:rPr>
        <w:t>Fifty seven</w:t>
      </w:r>
      <w:proofErr w:type="gramEnd"/>
      <w:r>
        <w:rPr>
          <w:rFonts w:ascii="Lato Light" w:hAnsi="Lato Light"/>
        </w:rPr>
        <w:t xml:space="preserve"> </w:t>
      </w:r>
      <w:proofErr w:type="spellStart"/>
      <w:r>
        <w:rPr>
          <w:rFonts w:ascii="Lato Light" w:hAnsi="Lato Light"/>
        </w:rPr>
        <w:t>Perdiz</w:t>
      </w:r>
      <w:proofErr w:type="spellEnd"/>
      <w:r>
        <w:rPr>
          <w:rFonts w:ascii="Lato Light" w:hAnsi="Lato Light"/>
        </w:rPr>
        <w:t xml:space="preserve">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has an additional 18 </w:t>
      </w:r>
      <w:proofErr w:type="spellStart"/>
      <w:r w:rsidR="00122EA2" w:rsidRPr="007637D4">
        <w:rPr>
          <w:rFonts w:ascii="Lato Light" w:hAnsi="Lato Light"/>
        </w:rPr>
        <w:t>Perdiz</w:t>
      </w:r>
      <w:proofErr w:type="spellEnd"/>
      <w:r w:rsidR="00122EA2" w:rsidRPr="007637D4">
        <w:rPr>
          <w:rFonts w:ascii="Lato Light" w:hAnsi="Lato Light"/>
        </w:rPr>
        <w:t xml:space="preserve">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w:t>
      </w:r>
      <w:proofErr w:type="spellStart"/>
      <w:r w:rsidR="00122EA2" w:rsidRPr="007637D4">
        <w:rPr>
          <w:rFonts w:ascii="Lato Light" w:hAnsi="Lato Light"/>
        </w:rPr>
        <w:t>novaculite</w:t>
      </w:r>
      <w:proofErr w:type="spellEnd"/>
      <w:r w:rsidR="00122EA2" w:rsidRPr="007637D4">
        <w:rPr>
          <w:rFonts w:ascii="Lato Light" w:hAnsi="Lato Light"/>
        </w:rPr>
        <w:t xml:space="preserve"> (Perttula et al. 2017:Table 2)</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have been obtained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w:t>
      </w:r>
      <w:proofErr w:type="gramStart"/>
      <w:r w:rsidR="00A725CE">
        <w:rPr>
          <w:rFonts w:ascii="Lato Light" w:hAnsi="Lato Light"/>
        </w:rPr>
        <w:t xml:space="preserve">from </w:t>
      </w:r>
      <w:r w:rsidRPr="007637D4">
        <w:rPr>
          <w:rFonts w:ascii="Lato Light" w:hAnsi="Lato Light"/>
        </w:rPr>
        <w:t xml:space="preserve"> A.D</w:t>
      </w:r>
      <w:proofErr w:type="gramEnd"/>
      <w:r w:rsidRPr="007637D4">
        <w:rPr>
          <w:rFonts w:ascii="Lato Light" w:hAnsi="Lato Light"/>
        </w:rPr>
        <w:t xml:space="preserve">. 1430-1600 (Perttula et al. 2010a). Forty-eight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Pr="007637D4">
        <w:rPr>
          <w:rFonts w:ascii="Lato Light" w:hAnsi="Lato Light"/>
        </w:rPr>
        <w:t>were recovered</w:t>
      </w:r>
      <w:proofErr w:type="gramEnd"/>
      <w:r w:rsidRPr="007637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lastRenderedPageBreak/>
        <w:t>41CP20, B. J. Horton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and two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00F56CDD">
        <w:rPr>
          <w:rFonts w:ascii="Lato Light" w:hAnsi="Lato Light"/>
        </w:rPr>
        <w:t>were recovered</w:t>
      </w:r>
      <w:proofErr w:type="gramEnd"/>
      <w:r w:rsidR="00F56CDD">
        <w:rPr>
          <w:rFonts w:ascii="Lato Light" w:hAnsi="Lato Light"/>
        </w:rPr>
        <w:t xml:space="preserve"> from</w:t>
      </w:r>
      <w:r w:rsidRPr="007637D4">
        <w:rPr>
          <w:rFonts w:ascii="Lato Light" w:hAnsi="Lato Light"/>
        </w:rPr>
        <w:t xml:space="preserve"> burial features (Perttula et al. 2009:9).</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Pine Tree Mound site is a large Titus phase mound center with associated habitation deposits, family cemeteries, and a large community cemetery (Fields and Gadus 2012). </w:t>
      </w:r>
      <w:proofErr w:type="spellStart"/>
      <w:r w:rsidRPr="007637D4">
        <w:rPr>
          <w:rFonts w:ascii="Lato Light" w:hAnsi="Lato Light"/>
        </w:rPr>
        <w:t>Perdiz</w:t>
      </w:r>
      <w:proofErr w:type="spellEnd"/>
      <w:r w:rsidRPr="007637D4">
        <w:rPr>
          <w:rFonts w:ascii="Lato Light" w:hAnsi="Lato Light"/>
        </w:rPr>
        <w:t xml:space="preserve">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 xml:space="preserve">50) from burial contexts and the remainder from habitation deposits. </w:t>
      </w:r>
      <w:proofErr w:type="spellStart"/>
      <w:r w:rsidRPr="007637D4">
        <w:rPr>
          <w:rFonts w:ascii="Lato Light" w:hAnsi="Lato Light"/>
        </w:rPr>
        <w:t>Perdiz</w:t>
      </w:r>
      <w:proofErr w:type="spellEnd"/>
      <w:r w:rsidRPr="007637D4">
        <w:rPr>
          <w:rFonts w:ascii="Lato Light" w:hAnsi="Lato Light"/>
        </w:rPr>
        <w:t xml:space="preserve"> points from burial contexts tend to have been made from non-local lithic raw materials, typically chert (42 percent), while none of the non-mortuary </w:t>
      </w:r>
      <w:proofErr w:type="spellStart"/>
      <w:r w:rsidRPr="007637D4">
        <w:rPr>
          <w:rFonts w:ascii="Lato Light" w:hAnsi="Lato Light"/>
        </w:rPr>
        <w:t>Perdiz</w:t>
      </w:r>
      <w:proofErr w:type="spellEnd"/>
      <w:r w:rsidRPr="007637D4">
        <w:rPr>
          <w:rFonts w:ascii="Lato Light" w:hAnsi="Lato Light"/>
        </w:rPr>
        <w:t xml:space="preserve"> points are made on non-local raw material (Fields and Gadus 2012:566).</w:t>
      </w:r>
    </w:p>
    <w:p w:rsidR="00122EA2" w:rsidRPr="007637D4" w:rsidRDefault="00122EA2" w:rsidP="009A653B">
      <w:pPr>
        <w:spacing w:after="0"/>
        <w:contextualSpacing/>
        <w:jc w:val="both"/>
        <w:rPr>
          <w:rFonts w:ascii="Lato Light" w:hAnsi="Lato Light"/>
        </w:rPr>
      </w:pPr>
    </w:p>
    <w:p w:rsidR="00122EA2" w:rsidRPr="007637D4" w:rsidRDefault="00122EA2" w:rsidP="009A653B">
      <w:pPr>
        <w:spacing w:after="0"/>
        <w:contextualSpacing/>
        <w:jc w:val="both"/>
        <w:rPr>
          <w:rFonts w:ascii="Lato Light" w:hAnsi="Lato Light"/>
        </w:rPr>
      </w:pPr>
      <w:r w:rsidRPr="007637D4">
        <w:rPr>
          <w:rFonts w:ascii="Lato Light" w:hAnsi="Lato Light"/>
        </w:rPr>
        <w:t>There are 92 radiocarbon dates available from the Pine Tree Mound site (Fields and Gadus 2012</w:t>
      </w:r>
      <w:proofErr w:type="gramStart"/>
      <w:r w:rsidRPr="007637D4">
        <w:rPr>
          <w:rFonts w:ascii="Lato Light" w:hAnsi="Lato Light"/>
        </w:rPr>
        <w:t>:Table</w:t>
      </w:r>
      <w:proofErr w:type="gramEnd"/>
      <w:r w:rsidRPr="007637D4">
        <w:rPr>
          <w:rFonts w:ascii="Lato Light" w:hAnsi="Lato Light"/>
        </w:rPr>
        <w:t xml:space="preserve"> 4.13; Selden and Perttula 2013:Table 2). Most of the calibrated dates fall between A.D. 1451-1495 and A.D. 1397-1429 (Selden and Perttula 2013</w:t>
      </w:r>
      <w:proofErr w:type="gramStart"/>
      <w:r w:rsidRPr="007637D4">
        <w:rPr>
          <w:rFonts w:ascii="Lato Light" w:hAnsi="Lato Light"/>
        </w:rPr>
        <w:t>:Table</w:t>
      </w:r>
      <w:proofErr w:type="gramEnd"/>
      <w:r w:rsidRPr="007637D4">
        <w:rPr>
          <w:rFonts w:ascii="Lato Light" w:hAnsi="Lato Light"/>
        </w:rPr>
        <w:t xml:space="preserve"> 3), but calibrated age ranges suggest that the settlement “was established in the A.D. 1300s and persisted until at least the </w:t>
      </w:r>
      <w:proofErr w:type="spellStart"/>
      <w:r w:rsidRPr="007637D4">
        <w:rPr>
          <w:rFonts w:ascii="Lato Light" w:hAnsi="Lato Light"/>
        </w:rPr>
        <w:t>mid 1600s</w:t>
      </w:r>
      <w:proofErr w:type="spellEnd"/>
      <w:r w:rsidRPr="007637D4">
        <w:rPr>
          <w:rFonts w:ascii="Lato Light" w:hAnsi="Lato Light"/>
        </w:rPr>
        <w:t>” (Fields and Gadus 2012:299)</w:t>
      </w:r>
      <w:r w:rsidR="00892C0B">
        <w:rPr>
          <w:rFonts w:ascii="Lato Light" w:hAnsi="Lato Light"/>
        </w:rPr>
        <w: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w:t>
      </w:r>
      <w:proofErr w:type="spellStart"/>
      <w:r w:rsidRPr="007637D4">
        <w:rPr>
          <w:rFonts w:ascii="Lato Light" w:hAnsi="Lato Light"/>
        </w:rPr>
        <w:t>Perdiz</w:t>
      </w:r>
      <w:proofErr w:type="spellEnd"/>
      <w:r w:rsidRPr="007637D4">
        <w:rPr>
          <w:rFonts w:ascii="Lato Light" w:hAnsi="Lato Light"/>
        </w:rPr>
        <w:t xml:space="preserve"> offerings (Corbin and Hart 1998; Perttula et al. 2010b). Fourteen </w:t>
      </w:r>
      <w:proofErr w:type="spellStart"/>
      <w:r w:rsidRPr="007637D4">
        <w:rPr>
          <w:rFonts w:ascii="Lato Light" w:hAnsi="Lato Light"/>
        </w:rPr>
        <w:t>Perdiz</w:t>
      </w:r>
      <w:proofErr w:type="spellEnd"/>
      <w:r w:rsidRPr="007637D4">
        <w:rPr>
          <w:rFonts w:ascii="Lato Light" w:hAnsi="Lato Light"/>
        </w:rPr>
        <w:t xml:space="preserve"> points were recovered, however, from a burial feature in the Oak Grove cemetery portion of the Washington Square Mound site (Perttula et al. 2010b</w:t>
      </w:r>
      <w:proofErr w:type="gramStart"/>
      <w:r w:rsidRPr="007637D4">
        <w:rPr>
          <w:rFonts w:ascii="Lato Light" w:hAnsi="Lato Light"/>
        </w:rPr>
        <w:t>:Figure</w:t>
      </w:r>
      <w:proofErr w:type="gramEnd"/>
      <w:r w:rsidRPr="007637D4">
        <w:rPr>
          <w:rFonts w:ascii="Lato Light" w:hAnsi="Lato Light"/>
        </w:rPr>
        <w:t xml:space="preserve"> 77). Another seven </w:t>
      </w:r>
      <w:proofErr w:type="spellStart"/>
      <w:r w:rsidRPr="007637D4">
        <w:rPr>
          <w:rFonts w:ascii="Lato Light" w:hAnsi="Lato Light"/>
        </w:rPr>
        <w:t>Perdiz</w:t>
      </w:r>
      <w:proofErr w:type="spellEnd"/>
      <w:r w:rsidRPr="007637D4">
        <w:rPr>
          <w:rFonts w:ascii="Lato Light" w:hAnsi="Lato Light"/>
        </w:rPr>
        <w:t xml:space="preserve"> points came from habitation </w:t>
      </w:r>
      <w:r w:rsidR="00DD34C8">
        <w:rPr>
          <w:rFonts w:ascii="Lato Light" w:hAnsi="Lato Light"/>
        </w:rPr>
        <w:t>areas</w:t>
      </w:r>
      <w:r w:rsidRPr="007637D4">
        <w:rPr>
          <w:rFonts w:ascii="Lato Light" w:hAnsi="Lato Light"/>
        </w:rPr>
        <w:t xml:space="preserve"> near the main burial mound (Perttula 2009</w:t>
      </w:r>
      <w:proofErr w:type="gramStart"/>
      <w:r w:rsidRPr="007637D4">
        <w:rPr>
          <w:rFonts w:ascii="Lato Light" w:hAnsi="Lato Light"/>
        </w:rPr>
        <w:t>:Table</w:t>
      </w:r>
      <w:proofErr w:type="gramEnd"/>
      <w:r w:rsidRPr="007637D4">
        <w:rPr>
          <w:rFonts w:ascii="Lato Light" w:hAnsi="Lato Light"/>
        </w:rPr>
        <w:t xml:space="preserv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Twelve radiocarbon dates have been obtained from the Washington Square Mound site (Corbin and Hart 1998</w:t>
      </w:r>
      <w:proofErr w:type="gramStart"/>
      <w:r w:rsidRPr="007637D4">
        <w:rPr>
          <w:rFonts w:ascii="Lato Light" w:hAnsi="Lato Light"/>
        </w:rPr>
        <w:t>:Table</w:t>
      </w:r>
      <w:proofErr w:type="gramEnd"/>
      <w:r w:rsidRPr="007637D4">
        <w:rPr>
          <w:rFonts w:ascii="Lato Light" w:hAnsi="Lato Light"/>
        </w:rPr>
        <w:t xml:space="preserve"> 4; Selden and Perttula 2013; East Texas Radiocarbon Database), indicating use of the site in both Early (ca. A.D. 900-1200) and Middle Caddo periods. The best dates that can be associated with </w:t>
      </w:r>
      <w:proofErr w:type="spellStart"/>
      <w:r w:rsidRPr="007637D4">
        <w:rPr>
          <w:rFonts w:ascii="Lato Light" w:hAnsi="Lato Light"/>
        </w:rPr>
        <w:t>Perdiz</w:t>
      </w:r>
      <w:proofErr w:type="spellEnd"/>
      <w:r w:rsidRPr="007637D4">
        <w:rPr>
          <w:rFonts w:ascii="Lato Light" w:hAnsi="Lato Light"/>
        </w:rPr>
        <w:t xml:space="preserve"> points at the site range from cal. A.D. 1238-1445.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41NA206, </w:t>
      </w:r>
      <w:proofErr w:type="spellStart"/>
      <w:r w:rsidRPr="00122EA2">
        <w:rPr>
          <w:rFonts w:ascii="Lato Light" w:hAnsi="Lato Light"/>
          <w:i/>
        </w:rPr>
        <w:t>Spradley</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Spradley</w:t>
      </w:r>
      <w:proofErr w:type="spellEnd"/>
      <w:r w:rsidRPr="007637D4">
        <w:rPr>
          <w:rFonts w:ascii="Lato Light" w:hAnsi="Lato Light"/>
        </w:rPr>
        <w:t xml:space="preserve">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xml:space="preserve">, contain numerous </w:t>
      </w:r>
      <w:proofErr w:type="spellStart"/>
      <w:r w:rsidRPr="007637D4">
        <w:rPr>
          <w:rFonts w:ascii="Lato Light" w:hAnsi="Lato Light"/>
        </w:rPr>
        <w:t>Perdiz</w:t>
      </w:r>
      <w:proofErr w:type="spellEnd"/>
      <w:r w:rsidRPr="007637D4">
        <w:rPr>
          <w:rFonts w:ascii="Lato Light" w:hAnsi="Lato Light"/>
        </w:rPr>
        <w:t xml:space="preserve">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41SA135, Jack Walton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 xml:space="preserve">on </w:t>
      </w:r>
      <w:proofErr w:type="spellStart"/>
      <w:r w:rsidRPr="007637D4">
        <w:rPr>
          <w:rFonts w:ascii="Lato Light" w:hAnsi="Lato Light"/>
        </w:rPr>
        <w:t>Attoyac</w:t>
      </w:r>
      <w:proofErr w:type="spellEnd"/>
      <w:r w:rsidRPr="007637D4">
        <w:rPr>
          <w:rFonts w:ascii="Lato Light" w:hAnsi="Lato Light"/>
        </w:rPr>
        <w:t xml:space="preserve">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 xml:space="preserve">recovered seven </w:t>
      </w:r>
      <w:proofErr w:type="spellStart"/>
      <w:r w:rsidRPr="007637D4">
        <w:rPr>
          <w:rFonts w:ascii="Lato Light" w:hAnsi="Lato Light"/>
        </w:rPr>
        <w:t>Perdiz</w:t>
      </w:r>
      <w:proofErr w:type="spellEnd"/>
      <w:r w:rsidRPr="007637D4">
        <w:rPr>
          <w:rFonts w:ascii="Lato Light" w:hAnsi="Lato Light"/>
        </w:rPr>
        <w:t xml:space="preserve"> points.</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41SM193, </w:t>
      </w:r>
      <w:proofErr w:type="spellStart"/>
      <w:r w:rsidRPr="00122EA2">
        <w:rPr>
          <w:rFonts w:ascii="Lato Light" w:hAnsi="Lato Light"/>
          <w:i/>
        </w:rPr>
        <w:t>Redwine</w:t>
      </w:r>
      <w:proofErr w:type="spellEnd"/>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Redwine</w:t>
      </w:r>
      <w:proofErr w:type="spellEnd"/>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w:t>
      </w:r>
      <w:proofErr w:type="gramStart"/>
      <w:r w:rsidRPr="007637D4">
        <w:rPr>
          <w:rFonts w:ascii="Lato Light" w:hAnsi="Lato Light"/>
        </w:rPr>
        <w:t>2</w:t>
      </w:r>
      <w:proofErr w:type="gramEnd"/>
      <w:r w:rsidRPr="007637D4">
        <w:rPr>
          <w:rFonts w:ascii="Lato Light" w:hAnsi="Lato Light"/>
        </w:rPr>
        <w:t xml:space="preserve"> sigma, with a median calibrated probability of A.D. 1356. The 11 </w:t>
      </w:r>
      <w:proofErr w:type="spellStart"/>
      <w:r w:rsidRPr="007637D4">
        <w:rPr>
          <w:rFonts w:ascii="Lato Light" w:hAnsi="Lato Light"/>
        </w:rPr>
        <w:t>Perdiz</w:t>
      </w:r>
      <w:proofErr w:type="spellEnd"/>
      <w:r w:rsidRPr="007637D4">
        <w:rPr>
          <w:rFonts w:ascii="Lato Light" w:hAnsi="Lato Light"/>
        </w:rPr>
        <w:t xml:space="preserve"> points from habitation deposits </w:t>
      </w:r>
      <w:proofErr w:type="gramStart"/>
      <w:r w:rsidRPr="007637D4">
        <w:rPr>
          <w:rFonts w:ascii="Lato Light" w:hAnsi="Lato Light"/>
        </w:rPr>
        <w:t>were manufactured</w:t>
      </w:r>
      <w:proofErr w:type="gramEnd"/>
      <w:r w:rsidRPr="007637D4">
        <w:rPr>
          <w:rFonts w:ascii="Lato Light" w:hAnsi="Lato Light"/>
        </w:rPr>
        <w:t xml:space="preserve">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w:t>
      </w:r>
      <w:proofErr w:type="spellStart"/>
      <w:r w:rsidRPr="007637D4">
        <w:rPr>
          <w:rFonts w:ascii="Lato Light" w:hAnsi="Lato Light"/>
        </w:rPr>
        <w:t>Perdiz</w:t>
      </w:r>
      <w:proofErr w:type="spellEnd"/>
      <w:r w:rsidRPr="007637D4">
        <w:rPr>
          <w:rFonts w:ascii="Lato Light" w:hAnsi="Lato Light"/>
        </w:rPr>
        <w:t xml:space="preserve">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xml:space="preserve">. Excavations recovered eight </w:t>
      </w:r>
      <w:proofErr w:type="spellStart"/>
      <w:r w:rsidRPr="007637D4">
        <w:rPr>
          <w:rFonts w:ascii="Lato Light" w:hAnsi="Lato Light"/>
        </w:rPr>
        <w:t>Perdiz</w:t>
      </w:r>
      <w:proofErr w:type="spellEnd"/>
      <w:r w:rsidRPr="007637D4">
        <w:rPr>
          <w:rFonts w:ascii="Lato Light" w:hAnsi="Lato Light"/>
        </w:rPr>
        <w:t xml:space="preserve">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41SY280, </w:t>
      </w:r>
      <w:proofErr w:type="spellStart"/>
      <w:r w:rsidRPr="00122EA2">
        <w:rPr>
          <w:rFonts w:ascii="Lato Light" w:hAnsi="Lato Light"/>
          <w:i/>
        </w:rPr>
        <w:t>Syb’s</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proofErr w:type="gramStart"/>
      <w:r w:rsidR="000B5BBF">
        <w:rPr>
          <w:rFonts w:ascii="Lato Light" w:hAnsi="Lato Light"/>
        </w:rPr>
        <w:t>at</w:t>
      </w:r>
      <w:r w:rsidRPr="007637D4">
        <w:rPr>
          <w:rFonts w:ascii="Lato Light" w:hAnsi="Lato Light"/>
        </w:rPr>
        <w:t xml:space="preserve">  A.D</w:t>
      </w:r>
      <w:proofErr w:type="gramEnd"/>
      <w:r w:rsidRPr="007637D4">
        <w:rPr>
          <w:rFonts w:ascii="Lato Light" w:hAnsi="Lato Light"/>
        </w:rPr>
        <w:t>. 1400</w:t>
      </w:r>
      <w:r w:rsidR="000B5BBF">
        <w:rPr>
          <w:rFonts w:ascii="Lato Light" w:hAnsi="Lato Light"/>
        </w:rPr>
        <w:t xml:space="preserve"> through</w:t>
      </w:r>
      <w:r w:rsidRPr="007637D4">
        <w:rPr>
          <w:rFonts w:ascii="Lato Light" w:hAnsi="Lato Light"/>
        </w:rPr>
        <w:t xml:space="preserve"> the late A.D. 1500s. Only a single </w:t>
      </w:r>
      <w:proofErr w:type="spellStart"/>
      <w:r w:rsidRPr="007637D4">
        <w:rPr>
          <w:rFonts w:ascii="Lato Light" w:hAnsi="Lato Light"/>
        </w:rPr>
        <w:t>Perdiz</w:t>
      </w:r>
      <w:proofErr w:type="spellEnd"/>
      <w:r w:rsidRPr="007637D4">
        <w:rPr>
          <w:rFonts w:ascii="Lato Light" w:hAnsi="Lato Light"/>
        </w:rPr>
        <w:t xml:space="preserve"> arrow point was recovered from Area 13 of the site (Perttula 2018</w:t>
      </w:r>
      <w:proofErr w:type="gramStart"/>
      <w:r w:rsidRPr="007637D4">
        <w:rPr>
          <w:rFonts w:ascii="Lato Light" w:hAnsi="Lato Light"/>
        </w:rPr>
        <w:t>:Table</w:t>
      </w:r>
      <w:proofErr w:type="gramEnd"/>
      <w:r w:rsidRPr="007637D4">
        <w:rPr>
          <w:rFonts w:ascii="Lato Light" w:hAnsi="Lato Light"/>
        </w:rPr>
        <w:t xml:space="preserve"> 33).</w:t>
      </w:r>
    </w:p>
    <w:p w:rsidR="00EF13AB" w:rsidRPr="004E28BC" w:rsidRDefault="00EF13AB" w:rsidP="009A653B">
      <w:pPr>
        <w:spacing w:after="0"/>
        <w:contextualSpacing/>
        <w:jc w:val="both"/>
        <w:rPr>
          <w:rFonts w:ascii="Lato Light" w:hAnsi="Lato Light"/>
          <w:sz w:val="24"/>
          <w:szCs w:val="24"/>
        </w:rPr>
      </w:pPr>
    </w:p>
    <w:p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rsidR="000B5BBF" w:rsidRPr="004E28BC" w:rsidRDefault="000B5BBF" w:rsidP="009A653B">
      <w:pPr>
        <w:spacing w:after="0"/>
        <w:contextualSpacing/>
        <w:jc w:val="both"/>
        <w:rPr>
          <w:rFonts w:ascii="Lato Light" w:hAnsi="Lato Light"/>
          <w:sz w:val="24"/>
          <w:szCs w:val="24"/>
        </w:rPr>
      </w:pPr>
    </w:p>
    <w:p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w:t>
      </w:r>
      <w:proofErr w:type="spellStart"/>
      <w:r w:rsidR="00963CA9">
        <w:rPr>
          <w:rFonts w:ascii="Lato Light" w:hAnsi="Lato Light"/>
          <w:sz w:val="24"/>
          <w:szCs w:val="24"/>
        </w:rPr>
        <w:t>Perdiz</w:t>
      </w:r>
      <w:proofErr w:type="spellEnd"/>
      <w:r w:rsidR="00963CA9">
        <w:rPr>
          <w:rFonts w:ascii="Lato Light" w:hAnsi="Lato Light"/>
          <w:sz w:val="24"/>
          <w:szCs w:val="24"/>
        </w:rPr>
        <w:t xml:space="preserve"> </w:t>
      </w:r>
      <w:r w:rsidR="005616AD">
        <w:rPr>
          <w:rFonts w:ascii="Lato Light" w:hAnsi="Lato Light"/>
          <w:sz w:val="24"/>
          <w:szCs w:val="24"/>
        </w:rPr>
        <w:t xml:space="preserve">arrow </w:t>
      </w:r>
      <w:r w:rsidR="00963CA9">
        <w:rPr>
          <w:rFonts w:ascii="Lato Light" w:hAnsi="Lato Light"/>
          <w:sz w:val="24"/>
          <w:szCs w:val="24"/>
        </w:rPr>
        <w:t xml:space="preserve">points </w:t>
      </w:r>
      <w:proofErr w:type="gramStart"/>
      <w:r w:rsidR="00EF13AB" w:rsidRPr="004E28BC">
        <w:rPr>
          <w:rFonts w:ascii="Lato Light" w:hAnsi="Lato Light"/>
          <w:sz w:val="24"/>
          <w:szCs w:val="24"/>
        </w:rPr>
        <w:t>were collected</w:t>
      </w:r>
      <w:proofErr w:type="gramEnd"/>
      <w:r w:rsidR="00EF13AB" w:rsidRPr="004E28BC">
        <w:rPr>
          <w:rFonts w:ascii="Lato Light" w:hAnsi="Lato Light"/>
          <w:sz w:val="24"/>
          <w:szCs w:val="24"/>
        </w:rPr>
        <w:t xml:space="preserve">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masked in Adobe 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and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2" w:tooltip="R Development Core Team, 2020 #477" w:history="1">
        <w:r w:rsidR="00A72E30" w:rsidRPr="00A72E30">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w:t>
      </w:r>
      <w:proofErr w:type="spellStart"/>
      <w:r w:rsidR="00E20CF0" w:rsidRPr="00122EA2">
        <w:rPr>
          <w:rFonts w:ascii="Lato Light" w:hAnsi="Lato Light"/>
          <w:sz w:val="24"/>
          <w:szCs w:val="24"/>
        </w:rPr>
        <w:t>Momocs</w:t>
      </w:r>
      <w:proofErr w:type="spellEnd"/>
      <w:r w:rsidR="00E20CF0" w:rsidRPr="00122EA2">
        <w:rPr>
          <w:rFonts w:ascii="Lato Light" w:hAnsi="Lato Light"/>
          <w:sz w:val="24"/>
          <w:szCs w:val="24"/>
        </w:rPr>
        <w:t xml:space="preserve">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 </w:instrText>
      </w:r>
      <w:r w:rsidR="00A72E30">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EN.CITE.DATA </w:instrText>
      </w:r>
      <w:r w:rsidR="00A72E30">
        <w:rPr>
          <w:rFonts w:ascii="Lato Light" w:hAnsi="Lato Light"/>
          <w:sz w:val="24"/>
          <w:szCs w:val="24"/>
        </w:rPr>
      </w:r>
      <w:r w:rsidR="00A72E30">
        <w:rPr>
          <w:rFonts w:ascii="Lato Light" w:hAnsi="Lato Light"/>
          <w:sz w:val="24"/>
          <w:szCs w:val="24"/>
        </w:rPr>
        <w:fldChar w:fldCharType="end"/>
      </w:r>
      <w:r w:rsidR="004B75D1" w:rsidRPr="00122EA2">
        <w:rPr>
          <w:rFonts w:ascii="Lato Light" w:hAnsi="Lato Light"/>
          <w:sz w:val="24"/>
          <w:szCs w:val="24"/>
        </w:rPr>
      </w:r>
      <w:r w:rsidR="004B75D1" w:rsidRPr="00122EA2">
        <w:rPr>
          <w:rFonts w:ascii="Lato Light" w:hAnsi="Lato Light"/>
          <w:sz w:val="24"/>
          <w:szCs w:val="24"/>
        </w:rPr>
        <w:fldChar w:fldCharType="separate"/>
      </w:r>
      <w:r w:rsidR="00A72E30">
        <w:rPr>
          <w:rFonts w:ascii="Lato Light" w:hAnsi="Lato Light"/>
          <w:noProof/>
          <w:sz w:val="24"/>
          <w:szCs w:val="24"/>
        </w:rPr>
        <w:t>(</w:t>
      </w:r>
      <w:hyperlink w:anchor="_ENREF_4" w:tooltip="Gero, 1984 #4372" w:history="1">
        <w:r w:rsidR="00A72E30" w:rsidRPr="00A72E30">
          <w:rPr>
            <w:rStyle w:val="Hyperlink"/>
          </w:rPr>
          <w:t>Gero and Mazzullo 1984</w:t>
        </w:r>
      </w:hyperlink>
      <w:r w:rsidR="00A72E30">
        <w:rPr>
          <w:rFonts w:ascii="Lato Light" w:hAnsi="Lato Light"/>
          <w:noProof/>
          <w:sz w:val="24"/>
          <w:szCs w:val="24"/>
        </w:rPr>
        <w:t xml:space="preserve">; </w:t>
      </w:r>
      <w:hyperlink w:anchor="_ENREF_6" w:tooltip="Ioviţă, 2009 #4343" w:history="1">
        <w:r w:rsidR="00A72E30" w:rsidRPr="00A72E30">
          <w:rPr>
            <w:rStyle w:val="Hyperlink"/>
          </w:rPr>
          <w:t>Ioviţă 2009</w:t>
        </w:r>
      </w:hyperlink>
      <w:r w:rsidR="00A72E30">
        <w:rPr>
          <w:rFonts w:ascii="Lato Light" w:hAnsi="Lato Light"/>
          <w:noProof/>
          <w:sz w:val="24"/>
          <w:szCs w:val="24"/>
        </w:rPr>
        <w:t xml:space="preserve">, </w:t>
      </w:r>
      <w:hyperlink w:anchor="_ENREF_7" w:tooltip="Ioviţă, 2010 #4366" w:history="1">
        <w:r w:rsidR="00A72E30" w:rsidRPr="00A72E30">
          <w:rPr>
            <w:rStyle w:val="Hyperlink"/>
          </w:rPr>
          <w:t>2010</w:t>
        </w:r>
      </w:hyperlink>
      <w:r w:rsidR="00A72E30">
        <w:rPr>
          <w:rFonts w:ascii="Lato Light" w:hAnsi="Lato Light"/>
          <w:noProof/>
          <w:sz w:val="24"/>
          <w:szCs w:val="24"/>
        </w:rPr>
        <w:t xml:space="preserve">; </w:t>
      </w:r>
      <w:hyperlink w:anchor="_ENREF_8" w:tooltip="Ioviţă, 2011 #4346" w:history="1">
        <w:r w:rsidR="00A72E30" w:rsidRPr="00A72E30">
          <w:rPr>
            <w:rStyle w:val="Hyperlink"/>
          </w:rPr>
          <w:t>Ioviţă and McPherron 2011</w:t>
        </w:r>
      </w:hyperlink>
      <w:r w:rsidR="00A72E30">
        <w:rPr>
          <w:rFonts w:ascii="Lato Light" w:hAnsi="Lato Light"/>
          <w:noProof/>
          <w:sz w:val="24"/>
          <w:szCs w:val="24"/>
        </w:rPr>
        <w:t xml:space="preserve">; </w:t>
      </w:r>
      <w:hyperlink w:anchor="_ENREF_9" w:tooltip="Ioviţă, 2017 #11976" w:history="1">
        <w:r w:rsidR="00A72E30" w:rsidRPr="00A72E30">
          <w:rPr>
            <w:rStyle w:val="Hyperlink"/>
          </w:rPr>
          <w:t>Ioviţă, et al. 2017</w:t>
        </w:r>
      </w:hyperlink>
      <w:r w:rsidR="00A72E30">
        <w:rPr>
          <w:rFonts w:ascii="Lato Light" w:hAnsi="Lato Light"/>
          <w:noProof/>
          <w:sz w:val="24"/>
          <w:szCs w:val="24"/>
        </w:rPr>
        <w:t xml:space="preserve">; </w:t>
      </w:r>
      <w:hyperlink w:anchor="_ENREF_10" w:tooltip="Ivanovaitė, 2019 #20897" w:history="1">
        <w:r w:rsidR="00A72E30" w:rsidRPr="00A72E30">
          <w:rPr>
            <w:rStyle w:val="Hyperlink"/>
          </w:rPr>
          <w:t>Ivanovaitė, et al. 2019</w:t>
        </w:r>
      </w:hyperlink>
      <w:r w:rsidR="00A72E30">
        <w:rPr>
          <w:rFonts w:ascii="Lato Light" w:hAnsi="Lato Light"/>
          <w:noProof/>
          <w:sz w:val="24"/>
          <w:szCs w:val="24"/>
        </w:rPr>
        <w:t xml:space="preserve">; </w:t>
      </w:r>
      <w:hyperlink w:anchor="_ENREF_13" w:tooltip="Saragusti, 2005 #4347" w:history="1">
        <w:r w:rsidR="00A72E30" w:rsidRPr="00A72E30">
          <w:rPr>
            <w:rStyle w:val="Hyperlink"/>
          </w:rPr>
          <w:t>Saragusti, et al. 2005</w:t>
        </w:r>
      </w:hyperlink>
      <w:r w:rsidR="00A72E30">
        <w:rPr>
          <w:rFonts w:ascii="Lato Light" w:hAnsi="Lato Light"/>
          <w:noProof/>
          <w:sz w:val="24"/>
          <w:szCs w:val="24"/>
        </w:rPr>
        <w:t xml:space="preserve">; </w:t>
      </w:r>
      <w:hyperlink w:anchor="_ENREF_14" w:tooltip="Serwatka, 2015 #11548" w:history="1">
        <w:r w:rsidR="00A72E30" w:rsidRPr="00A72E30">
          <w:rPr>
            <w:rStyle w:val="Hyperlink"/>
          </w:rPr>
          <w:t>Serwatka 2015</w:t>
        </w:r>
      </w:hyperlink>
      <w:r w:rsidR="00A72E30">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can contribute meaningfully to standard descriptions and linear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centroid size </w:t>
      </w:r>
      <w:r w:rsidR="00A9180F"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A72E30" w:rsidRPr="00A72E30">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 xml:space="preserve">function was used to identify </w:t>
      </w:r>
      <w:r w:rsidR="00523244" w:rsidRPr="00122EA2">
        <w:rPr>
          <w:rFonts w:ascii="Lato Light" w:hAnsi="Lato Light"/>
          <w:sz w:val="24"/>
          <w:szCs w:val="24"/>
        </w:rPr>
        <w:lastRenderedPageBreak/>
        <w:t xml:space="preserve">the number of harmonics necessary to capture </w:t>
      </w:r>
      <w:proofErr w:type="spellStart"/>
      <w:r w:rsidR="00523244" w:rsidRPr="00122EA2">
        <w:rPr>
          <w:rFonts w:ascii="Lato Light" w:hAnsi="Lato Light"/>
          <w:sz w:val="24"/>
          <w:szCs w:val="24"/>
        </w:rPr>
        <w:t>Perdiz</w:t>
      </w:r>
      <w:proofErr w:type="spellEnd"/>
      <w:r w:rsidR="00523244" w:rsidRPr="00122EA2">
        <w:rPr>
          <w:rFonts w:ascii="Lato Light" w:hAnsi="Lato Light"/>
          <w:sz w:val="24"/>
          <w:szCs w:val="24"/>
        </w:rPr>
        <w:t xml:space="preserve">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rsidR="003E1F2A" w:rsidRDefault="003E1F2A" w:rsidP="00122EA2">
      <w:pPr>
        <w:spacing w:after="0"/>
        <w:contextualSpacing/>
        <w:rPr>
          <w:rFonts w:ascii="Lato Light" w:hAnsi="Lato Light"/>
          <w:sz w:val="24"/>
          <w:szCs w:val="24"/>
        </w:rPr>
      </w:pPr>
    </w:p>
    <w:p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t>
      </w:r>
      <w:proofErr w:type="gramStart"/>
      <w:r w:rsidR="00C95933">
        <w:rPr>
          <w:rFonts w:ascii="Lato Light" w:hAnsi="Lato Light"/>
          <w:sz w:val="24"/>
          <w:szCs w:val="24"/>
        </w:rPr>
        <w:t xml:space="preserve">was </w:t>
      </w:r>
      <w:r w:rsidR="00EB0BDA">
        <w:rPr>
          <w:rFonts w:ascii="Lato Light" w:hAnsi="Lato Light"/>
          <w:sz w:val="24"/>
          <w:szCs w:val="24"/>
        </w:rPr>
        <w:t>employed</w:t>
      </w:r>
      <w:proofErr w:type="gramEnd"/>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among the raw materials (Figure R1). The primary differences among PC1 occur most notably in blade width, while differences in PC2 relate most readily to stem length.</w:t>
      </w:r>
      <w:r w:rsidR="00AD73A3">
        <w:rPr>
          <w:rFonts w:ascii="Lato Light" w:hAnsi="Lato Light"/>
          <w:sz w:val="24"/>
          <w:szCs w:val="24"/>
        </w:rPr>
        <w:t xml:space="preserve"> This can be seen in the graph where a broader blade with a long stem occurs at the bottom </w:t>
      </w:r>
      <w:proofErr w:type="gramStart"/>
      <w:r w:rsidR="00AD73A3">
        <w:rPr>
          <w:rFonts w:ascii="Lato Light" w:hAnsi="Lato Light"/>
          <w:sz w:val="24"/>
          <w:szCs w:val="24"/>
        </w:rPr>
        <w:t>right,</w:t>
      </w:r>
      <w:proofErr w:type="gramEnd"/>
      <w:r w:rsidR="00AD73A3">
        <w:rPr>
          <w:rFonts w:ascii="Lato Light" w:hAnsi="Lato Light"/>
          <w:sz w:val="24"/>
          <w:szCs w:val="24"/>
        </w:rPr>
        <w:t xml:space="preserve"> and a narrower blade with a shorter stem at top left.</w:t>
      </w:r>
    </w:p>
    <w:p w:rsidR="00963CA9" w:rsidRDefault="00963CA9" w:rsidP="00963CA9">
      <w:pPr>
        <w:spacing w:after="0"/>
        <w:contextualSpacing/>
        <w:rPr>
          <w:rFonts w:ascii="Lato Light" w:hAnsi="Lato Light"/>
          <w:sz w:val="24"/>
          <w:szCs w:val="24"/>
        </w:rPr>
      </w:pPr>
    </w:p>
    <w:p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v:shape id="_x0000_i1026" type="#_x0000_t75" style="width:333.1pt;height:289.9pt" o:ole="">
            <v:imagedata r:id="rId8" o:title=""/>
          </v:shape>
          <o:OLEObject Type="Embed" ProgID="Acrobat.Document.DC" ShapeID="_x0000_i1026" DrawAspect="Content" ObjectID="_1664111529" r:id="rId9"/>
        </w:object>
      </w:r>
    </w:p>
    <w:p w:rsidR="00963CA9" w:rsidRPr="009877A8" w:rsidRDefault="00963CA9" w:rsidP="00963CA9">
      <w:pPr>
        <w:spacing w:after="0"/>
        <w:contextualSpacing/>
        <w:jc w:val="center"/>
        <w:rPr>
          <w:rFonts w:ascii="Lato Light" w:hAnsi="Lato Light"/>
          <w:sz w:val="20"/>
          <w:szCs w:val="20"/>
        </w:rPr>
      </w:pPr>
      <w:r w:rsidRPr="009877A8">
        <w:rPr>
          <w:rFonts w:ascii="Lato Light" w:hAnsi="Lato Light"/>
          <w:sz w:val="20"/>
          <w:szCs w:val="20"/>
        </w:rPr>
        <w:t xml:space="preserve">Figure R1.  EFA-PCA for </w:t>
      </w:r>
      <w:proofErr w:type="spellStart"/>
      <w:r w:rsidRPr="009877A8">
        <w:rPr>
          <w:rFonts w:ascii="Lato Light" w:hAnsi="Lato Light"/>
          <w:sz w:val="20"/>
          <w:szCs w:val="20"/>
        </w:rPr>
        <w:t>Perdiz</w:t>
      </w:r>
      <w:proofErr w:type="spellEnd"/>
      <w:r w:rsidRPr="009877A8">
        <w:rPr>
          <w:rFonts w:ascii="Lato Light" w:hAnsi="Lato Light"/>
          <w:sz w:val="20"/>
          <w:szCs w:val="20"/>
        </w:rPr>
        <w:t xml:space="preserve"> points by raw material type.</w:t>
      </w:r>
    </w:p>
    <w:p w:rsidR="003F2898" w:rsidRDefault="003F2898" w:rsidP="00963CA9">
      <w:pPr>
        <w:spacing w:after="0"/>
        <w:contextualSpacing/>
        <w:jc w:val="center"/>
        <w:rPr>
          <w:rFonts w:ascii="Lato Light" w:hAnsi="Lato Light"/>
          <w:sz w:val="24"/>
          <w:szCs w:val="24"/>
        </w:rPr>
      </w:pPr>
    </w:p>
    <w:p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rsidR="00E93C61" w:rsidRDefault="00E93C61">
      <w:pPr>
        <w:rPr>
          <w:rFonts w:ascii="Lato Light" w:hAnsi="Lato Light"/>
          <w:sz w:val="20"/>
          <w:szCs w:val="20"/>
        </w:rPr>
      </w:pPr>
      <w:r>
        <w:rPr>
          <w:rFonts w:ascii="Lato Light" w:hAnsi="Lato Light"/>
          <w:sz w:val="20"/>
          <w:szCs w:val="20"/>
        </w:rPr>
        <w:br w:type="page"/>
      </w:r>
    </w:p>
    <w:p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rsidR="00A72E30" w:rsidRPr="00A72E30" w:rsidRDefault="00E93C61" w:rsidP="00A72E30">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1" w:name="_ENREF_1"/>
      <w:r w:rsidR="00A72E30" w:rsidRPr="00A72E30">
        <w:t>Bonhomme, Vincent, Emily Forster, Michael Wallace, Eleanor Stillman, Michael Charles and Glynis Jones</w:t>
      </w:r>
    </w:p>
    <w:p w:rsidR="00A72E30" w:rsidRPr="00A72E30" w:rsidRDefault="00A72E30" w:rsidP="00A72E30">
      <w:pPr>
        <w:pStyle w:val="EndNoteBibliography"/>
        <w:ind w:left="720" w:hanging="720"/>
      </w:pPr>
      <w:r w:rsidRPr="00A72E30">
        <w:tab/>
        <w:t>2017</w:t>
      </w:r>
      <w:r w:rsidRPr="00A72E30">
        <w:tab/>
        <w:t xml:space="preserve">Identification of inter- and intra-species variation in cereal grains through geometric morphometric analysis, and its resilience under experimental charring. </w:t>
      </w:r>
      <w:r w:rsidRPr="00A72E30">
        <w:rPr>
          <w:i/>
        </w:rPr>
        <w:t>Journal of Archaeological Science</w:t>
      </w:r>
      <w:r w:rsidRPr="00A72E30">
        <w:t xml:space="preserve"> 86:60-67. DOI: 10.1016/j.jas.2017.09.010</w:t>
      </w:r>
    </w:p>
    <w:bookmarkEnd w:id="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2" w:name="_ENREF_2"/>
      <w:r w:rsidRPr="00A72E30">
        <w:t>Bonhomme, Vincent, Sandrine Picq, Cédric Gaucherel and Julien Claude</w:t>
      </w:r>
    </w:p>
    <w:p w:rsidR="00A72E30" w:rsidRPr="00A72E30" w:rsidRDefault="00A72E30" w:rsidP="00A72E30">
      <w:pPr>
        <w:pStyle w:val="EndNoteBibliography"/>
        <w:ind w:left="720" w:hanging="720"/>
      </w:pPr>
      <w:r w:rsidRPr="00A72E30">
        <w:tab/>
        <w:t>2014</w:t>
      </w:r>
      <w:r w:rsidRPr="00A72E30">
        <w:tab/>
        <w:t xml:space="preserve">Momocs: Outline Analysis UsingR. </w:t>
      </w:r>
      <w:r w:rsidRPr="00A72E30">
        <w:rPr>
          <w:i/>
        </w:rPr>
        <w:t>Journal of Statistical Software</w:t>
      </w:r>
      <w:r w:rsidRPr="00A72E30">
        <w:t xml:space="preserve"> 56(13). DOI: 10.18637/jss.v056.i13</w:t>
      </w:r>
    </w:p>
    <w:bookmarkEnd w:id="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3" w:name="_ENREF_3"/>
      <w:r w:rsidRPr="00A72E30">
        <w:t>Brantingham, P. Jeffrey, John W. Olsen, Jason A. Rech and Andrei I. Krivoshapkin</w:t>
      </w:r>
    </w:p>
    <w:p w:rsidR="00A72E30" w:rsidRPr="00A72E30" w:rsidRDefault="00A72E30" w:rsidP="00A72E30">
      <w:pPr>
        <w:pStyle w:val="EndNoteBibliography"/>
        <w:ind w:left="720" w:hanging="720"/>
      </w:pPr>
      <w:r w:rsidRPr="00A72E30">
        <w:tab/>
        <w:t>2000</w:t>
      </w:r>
      <w:r w:rsidRPr="00A72E30">
        <w:tab/>
        <w:t xml:space="preserve">Raw Material Quality and Prepared Core Technologies in Northeast Asia. </w:t>
      </w:r>
      <w:r w:rsidRPr="00A72E30">
        <w:rPr>
          <w:i/>
        </w:rPr>
        <w:t>Journal of Archaeological Science</w:t>
      </w:r>
      <w:r w:rsidRPr="00A72E30">
        <w:t xml:space="preserve"> 27(3):255-271. DOI: 10.1006/jasc.1999.0456</w:t>
      </w:r>
    </w:p>
    <w:bookmarkEnd w:id="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4" w:name="_ENREF_4"/>
      <w:r w:rsidRPr="00A72E30">
        <w:t>Gero, Joan and Jim Mazzullo</w:t>
      </w:r>
    </w:p>
    <w:p w:rsidR="00A72E30" w:rsidRPr="00A72E30" w:rsidRDefault="00A72E30" w:rsidP="00A72E30">
      <w:pPr>
        <w:pStyle w:val="EndNoteBibliography"/>
        <w:ind w:left="720" w:hanging="720"/>
      </w:pPr>
      <w:r w:rsidRPr="00A72E30">
        <w:tab/>
        <w:t>1984</w:t>
      </w:r>
      <w:r w:rsidRPr="00A72E30">
        <w:tab/>
        <w:t xml:space="preserve">Analysis of Artifact Shape Using Fourier Series in Closed Form. </w:t>
      </w:r>
      <w:r w:rsidRPr="00A72E30">
        <w:rPr>
          <w:i/>
        </w:rPr>
        <w:t>Journal of Field Archaeology</w:t>
      </w:r>
      <w:r w:rsidRPr="00A72E30">
        <w:t xml:space="preserve"> 11(3):315. DOI: 10.2307/529282</w:t>
      </w:r>
    </w:p>
    <w:bookmarkEnd w:id="4"/>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5" w:name="_ENREF_5"/>
      <w:r w:rsidRPr="00A72E30">
        <w:t>Goodyear, A. C.</w:t>
      </w:r>
    </w:p>
    <w:p w:rsidR="00A72E30" w:rsidRPr="00A72E30" w:rsidRDefault="00A72E30" w:rsidP="00A72E30">
      <w:pPr>
        <w:pStyle w:val="EndNoteBibliography"/>
        <w:ind w:left="720" w:hanging="720"/>
      </w:pPr>
      <w:r w:rsidRPr="00A72E30">
        <w:tab/>
        <w:t>1989</w:t>
      </w:r>
      <w:r w:rsidRPr="00A72E30">
        <w:tab/>
      </w:r>
      <w:r w:rsidRPr="00A72E30">
        <w:rPr>
          <w:i/>
        </w:rPr>
        <w:t>An Hypothesis on the Use of Cryptocrystalline Raw Materials among Paleoindian Groups of North America</w:t>
      </w:r>
      <w:r w:rsidRPr="00A72E30">
        <w:t xml:space="preserve">. Eastern Paleoindian Lithic Resource Use. Westview, Boulder. </w:t>
      </w:r>
    </w:p>
    <w:bookmarkEnd w:id="5"/>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6" w:name="_ENREF_6"/>
      <w:r w:rsidRPr="00A72E30">
        <w:t>Iovi</w:t>
      </w:r>
      <w:r w:rsidRPr="00A72E30">
        <w:rPr>
          <w:rFonts w:ascii="Calibri" w:hAnsi="Calibri"/>
        </w:rPr>
        <w:t>ţă</w:t>
      </w:r>
      <w:r w:rsidRPr="00A72E30">
        <w:t>, Radu</w:t>
      </w:r>
    </w:p>
    <w:p w:rsidR="00A72E30" w:rsidRPr="00A72E30" w:rsidRDefault="00A72E30" w:rsidP="00A72E30">
      <w:pPr>
        <w:pStyle w:val="EndNoteBibliography"/>
        <w:ind w:left="720" w:hanging="720"/>
      </w:pPr>
      <w:r w:rsidRPr="00A72E30">
        <w:tab/>
        <w:t>2009</w:t>
      </w:r>
      <w:r w:rsidRPr="00A72E30">
        <w:tab/>
        <w:t xml:space="preserve">Ontogenetic Scaling and Lithic Systematics: Method and Application. </w:t>
      </w:r>
      <w:r w:rsidRPr="00A72E30">
        <w:rPr>
          <w:i/>
        </w:rPr>
        <w:t>Journal of Archaeological Science</w:t>
      </w:r>
      <w:r w:rsidRPr="00A72E30">
        <w:t xml:space="preserve"> 36(7):1447-1457. DOI: 10.1016/j.jas.2009.02.008</w:t>
      </w:r>
    </w:p>
    <w:bookmarkEnd w:id="6"/>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7" w:name="_ENREF_7"/>
      <w:r w:rsidRPr="00A72E30">
        <w:tab/>
        <w:t>2010</w:t>
      </w:r>
      <w:r w:rsidRPr="00A72E30">
        <w:tab/>
        <w:t>Comparing Stone Tool Resharpening Trajectories with the Aid of Elliptical Fourier Analysis</w:t>
      </w:r>
      <w:r w:rsidRPr="00A72E30">
        <w:rPr>
          <w:i/>
        </w:rPr>
        <w:t>.</w:t>
      </w:r>
      <w:r w:rsidRPr="00A72E30">
        <w:t xml:space="preserve"> In </w:t>
      </w:r>
      <w:r w:rsidRPr="00A72E30">
        <w:rPr>
          <w:i/>
        </w:rPr>
        <w:t>New Perspectives on Old Stones: Analytical Approaches to Paleolithic Technologies</w:t>
      </w:r>
      <w:r w:rsidRPr="00A72E30">
        <w:t>, edited by S. J. Lycett and P. Chauhan, pp. 235-25310.1007/978-1-4419-6861-6_10. Springer-Verlag New York, New York. DOI: 10.1007/978-1-4419-6861-6_10</w:t>
      </w:r>
    </w:p>
    <w:bookmarkEnd w:id="7"/>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8" w:name="_ENREF_8"/>
      <w:r w:rsidRPr="00A72E30">
        <w:t>Iovi</w:t>
      </w:r>
      <w:r w:rsidRPr="00A72E30">
        <w:rPr>
          <w:rFonts w:ascii="Arial" w:hAnsi="Arial" w:cs="Arial"/>
        </w:rPr>
        <w:t xml:space="preserve">ţă, </w:t>
      </w:r>
      <w:r w:rsidRPr="00A72E30">
        <w:t>Radu and Shannon P. McPherron</w:t>
      </w:r>
    </w:p>
    <w:p w:rsidR="00A72E30" w:rsidRPr="00A72E30" w:rsidRDefault="00A72E30" w:rsidP="00A72E30">
      <w:pPr>
        <w:pStyle w:val="EndNoteBibliography"/>
        <w:ind w:left="720" w:hanging="720"/>
      </w:pPr>
      <w:r w:rsidRPr="00A72E30">
        <w:lastRenderedPageBreak/>
        <w:tab/>
        <w:t>2011</w:t>
      </w:r>
      <w:r w:rsidRPr="00A72E30">
        <w:tab/>
        <w:t xml:space="preserve">The Handaxe Reloaded: A Morphometric Reassessment of Acheulian and Middle Paleolithic Handaxes. </w:t>
      </w:r>
      <w:r w:rsidRPr="00A72E30">
        <w:rPr>
          <w:i/>
        </w:rPr>
        <w:t>Journal of Human Evolution</w:t>
      </w:r>
      <w:r w:rsidRPr="00A72E30">
        <w:t xml:space="preserve"> 61(1):61-74. DOI: 10.1016/j.jhevol.2011.02.007</w:t>
      </w:r>
    </w:p>
    <w:bookmarkEnd w:id="8"/>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9" w:name="_ENREF_9"/>
      <w:r w:rsidRPr="00A72E30">
        <w:t>Iovi</w:t>
      </w:r>
      <w:r w:rsidRPr="00A72E30">
        <w:rPr>
          <w:rFonts w:ascii="Arial" w:hAnsi="Arial" w:cs="Arial"/>
        </w:rPr>
        <w:t xml:space="preserve">ţă, </w:t>
      </w:r>
      <w:r w:rsidRPr="00A72E30">
        <w:t>Radu, Inbal Tuvi-Arad, Marie-He</w:t>
      </w:r>
      <w:r w:rsidRPr="00A72E30">
        <w:rPr>
          <w:rFonts w:cs="Lato Light"/>
        </w:rPr>
        <w:t>´</w:t>
      </w:r>
      <w:r w:rsidRPr="00A72E30">
        <w:t>l</w:t>
      </w:r>
      <w:r w:rsidRPr="00A72E30">
        <w:rPr>
          <w:rFonts w:cs="Lato Light"/>
        </w:rPr>
        <w:t>è</w:t>
      </w:r>
      <w:r w:rsidRPr="00A72E30">
        <w:t>ne Moncel, Jackie Desprie´e, Pierre Voinchet and Jean-Jacques Bahain</w:t>
      </w:r>
    </w:p>
    <w:p w:rsidR="00A72E30" w:rsidRPr="00A72E30" w:rsidRDefault="00A72E30" w:rsidP="00A72E30">
      <w:pPr>
        <w:pStyle w:val="EndNoteBibliography"/>
        <w:ind w:left="720" w:hanging="720"/>
      </w:pPr>
      <w:r w:rsidRPr="00A72E30">
        <w:tab/>
        <w:t>2017</w:t>
      </w:r>
      <w:r w:rsidRPr="00A72E30">
        <w:tab/>
        <w:t xml:space="preserve">High Handaxe Symmetry at the Beginning of the European Acheulian: The Data from La Noira (France) in Context. </w:t>
      </w:r>
      <w:r w:rsidRPr="00A72E30">
        <w:rPr>
          <w:i/>
        </w:rPr>
        <w:t>PLoS One</w:t>
      </w:r>
      <w:r w:rsidRPr="00A72E30">
        <w:t xml:space="preserve"> 12(5):e0177063. DOI: 10.1371/journal.pone.0177063</w:t>
      </w:r>
    </w:p>
    <w:bookmarkEnd w:id="9"/>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0" w:name="_ENREF_10"/>
      <w:r w:rsidRPr="00A72E30">
        <w:t>Ivanovait</w:t>
      </w:r>
      <w:r w:rsidRPr="00A72E30">
        <w:rPr>
          <w:rFonts w:ascii="Calibri" w:hAnsi="Calibri"/>
        </w:rPr>
        <w:t>ė</w:t>
      </w:r>
      <w:r w:rsidRPr="00A72E30">
        <w:t>, Livija, Kamil Serwatka, Christian Steven Hoggard, Florian Sauer and Felix Riede</w:t>
      </w:r>
    </w:p>
    <w:p w:rsidR="00A72E30" w:rsidRPr="00A72E30" w:rsidRDefault="00A72E30" w:rsidP="00A72E30">
      <w:pPr>
        <w:pStyle w:val="EndNoteBibliography"/>
        <w:ind w:left="720" w:hanging="720"/>
      </w:pPr>
      <w:r w:rsidRPr="00A72E30">
        <w:tab/>
        <w:t>2019</w:t>
      </w:r>
      <w:r w:rsidRPr="00A72E30">
        <w:tab/>
        <w:t xml:space="preserve">All these Fantastic Cultures? Research History and Regionalization in the Late Palaeolithic Tanged Point Cultures of Eastern Europe. </w:t>
      </w:r>
      <w:r w:rsidRPr="00A72E30">
        <w:rPr>
          <w:i/>
        </w:rPr>
        <w:t>European Journal of Archaeology</w:t>
      </w:r>
      <w:r w:rsidRPr="00A72E30">
        <w:t xml:space="preserve"> 23(2):162-185. DOI: 10.1017/eaa.2019.59</w:t>
      </w:r>
    </w:p>
    <w:bookmarkEnd w:id="10"/>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1" w:name="_ENREF_11"/>
      <w:r w:rsidRPr="00A72E30">
        <w:t>Luedtke, Barbara E.</w:t>
      </w:r>
    </w:p>
    <w:p w:rsidR="00A72E30" w:rsidRPr="00A72E30" w:rsidRDefault="00A72E30" w:rsidP="00A72E30">
      <w:pPr>
        <w:pStyle w:val="EndNoteBibliography"/>
        <w:ind w:left="720" w:hanging="720"/>
      </w:pPr>
      <w:r w:rsidRPr="00A72E30">
        <w:tab/>
        <w:t>1992</w:t>
      </w:r>
      <w:r w:rsidRPr="00A72E30">
        <w:tab/>
      </w:r>
      <w:r w:rsidRPr="00A72E30">
        <w:rPr>
          <w:i/>
        </w:rPr>
        <w:t>An Archaeologist's Guide to Chert and Flint</w:t>
      </w:r>
      <w:r w:rsidRPr="00A72E30">
        <w:t xml:space="preserve">. Institute of Archaeology. </w:t>
      </w:r>
    </w:p>
    <w:bookmarkEnd w:id="1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2" w:name="_ENREF_12"/>
      <w:r w:rsidRPr="00A72E30">
        <w:t>R Development Core Team</w:t>
      </w:r>
    </w:p>
    <w:p w:rsidR="00A72E30" w:rsidRPr="00A72E30" w:rsidRDefault="00A72E30" w:rsidP="00A72E30">
      <w:pPr>
        <w:pStyle w:val="EndNoteBibliography"/>
        <w:ind w:left="720" w:hanging="720"/>
      </w:pPr>
      <w:r w:rsidRPr="00A72E30">
        <w:tab/>
        <w:t>2020</w:t>
      </w:r>
      <w:r w:rsidRPr="00A72E30">
        <w:tab/>
        <w:t xml:space="preserve">R: A Language and Environment for Statistical Computing. Electronic resource,. </w:t>
      </w:r>
      <w:hyperlink r:id="rId10" w:history="1">
        <w:r w:rsidRPr="00A72E30">
          <w:rPr>
            <w:rStyle w:val="Hyperlink"/>
            <w:i/>
          </w:rPr>
          <w:t>http://www.R-project.org</w:t>
        </w:r>
      </w:hyperlink>
      <w:r w:rsidRPr="00A72E30">
        <w:t>, accessed</w:t>
      </w:r>
      <w:r w:rsidRPr="00A72E30">
        <w:rPr>
          <w:i/>
        </w:rPr>
        <w:t xml:space="preserve"> </w:t>
      </w:r>
      <w:r w:rsidRPr="00A72E30">
        <w:t>October 15, 2020.</w:t>
      </w:r>
    </w:p>
    <w:bookmarkEnd w:id="1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3" w:name="_ENREF_13"/>
      <w:r w:rsidRPr="00A72E30">
        <w:t>Saragusti, Idit, Avshalom Karasik, Ilan Sharon and Uzy Smilansky</w:t>
      </w:r>
    </w:p>
    <w:p w:rsidR="00A72E30" w:rsidRPr="00A72E30" w:rsidRDefault="00A72E30" w:rsidP="00A72E30">
      <w:pPr>
        <w:pStyle w:val="EndNoteBibliography"/>
        <w:ind w:left="720" w:hanging="720"/>
      </w:pPr>
      <w:r w:rsidRPr="00A72E30">
        <w:tab/>
        <w:t>2005</w:t>
      </w:r>
      <w:r w:rsidRPr="00A72E30">
        <w:tab/>
        <w:t xml:space="preserve">Quantitative analysis of shape attributes based on contours and section profiles in artifact analysis. </w:t>
      </w:r>
      <w:r w:rsidRPr="00A72E30">
        <w:rPr>
          <w:i/>
        </w:rPr>
        <w:t>Journal of Archaeological Science</w:t>
      </w:r>
      <w:r w:rsidRPr="00A72E30">
        <w:t xml:space="preserve"> 32(6):841-853. DOI: 10.1016/j.jas.2005.01.002</w:t>
      </w:r>
    </w:p>
    <w:bookmarkEnd w:id="1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4" w:name="_ENREF_14"/>
      <w:r w:rsidRPr="00A72E30">
        <w:t>Serwatka, Kamil</w:t>
      </w:r>
    </w:p>
    <w:p w:rsidR="00A72E30" w:rsidRPr="00A72E30" w:rsidRDefault="00A72E30" w:rsidP="00A72E30">
      <w:pPr>
        <w:pStyle w:val="EndNoteBibliography"/>
        <w:ind w:left="720" w:hanging="720"/>
      </w:pPr>
      <w:r w:rsidRPr="00A72E30">
        <w:tab/>
        <w:t>2015</w:t>
      </w:r>
      <w:r w:rsidRPr="00A72E30">
        <w:tab/>
        <w:t xml:space="preserve">Shape Variation of Middle Palaeolithic Bifacial Tools from Southern Poland: A Geometric Morphometric Approach to Keilmessergruppen Handaxes and Backed Knives. </w:t>
      </w:r>
      <w:r w:rsidRPr="00A72E30">
        <w:rPr>
          <w:i/>
        </w:rPr>
        <w:t>Lithics</w:t>
      </w:r>
      <w:r w:rsidRPr="00A72E30">
        <w:t xml:space="preserve"> 35:18-32. </w:t>
      </w:r>
    </w:p>
    <w:bookmarkEnd w:id="14"/>
    <w:p w:rsidR="00A72E30" w:rsidRPr="00A72E30" w:rsidRDefault="00A72E30" w:rsidP="00A72E30">
      <w:pPr>
        <w:pStyle w:val="EndNoteBibliography"/>
      </w:pPr>
    </w:p>
    <w:p w:rsidR="0093027E" w:rsidRPr="002C0150" w:rsidRDefault="00E93C61" w:rsidP="00EF13AB">
      <w:pPr>
        <w:rPr>
          <w:rFonts w:ascii="Lato Light" w:hAnsi="Lato Light"/>
          <w:sz w:val="20"/>
          <w:szCs w:val="20"/>
        </w:rPr>
      </w:pPr>
      <w:r>
        <w:rPr>
          <w:rFonts w:ascii="Lato Light" w:hAnsi="Lato Light"/>
          <w:sz w:val="20"/>
          <w:szCs w:val="20"/>
        </w:rPr>
        <w:fldChar w:fldCharType="end"/>
      </w:r>
    </w:p>
    <w:p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7&lt;/item&gt;&lt;item&gt;20898&lt;/item&gt;&lt;item&gt;20899&lt;/item&gt;&lt;/record-ids&gt;&lt;/item&gt;&lt;/Libraries&gt;"/>
  </w:docVars>
  <w:rsids>
    <w:rsidRoot w:val="002C0150"/>
    <w:rsid w:val="00086621"/>
    <w:rsid w:val="000B5BBF"/>
    <w:rsid w:val="00122EA2"/>
    <w:rsid w:val="00157B13"/>
    <w:rsid w:val="001A67B1"/>
    <w:rsid w:val="001B6EF1"/>
    <w:rsid w:val="001E3FA2"/>
    <w:rsid w:val="001E51D9"/>
    <w:rsid w:val="00212F60"/>
    <w:rsid w:val="002225DA"/>
    <w:rsid w:val="00280B1F"/>
    <w:rsid w:val="00294276"/>
    <w:rsid w:val="002C0150"/>
    <w:rsid w:val="002E1F9D"/>
    <w:rsid w:val="002F53EB"/>
    <w:rsid w:val="00302DD7"/>
    <w:rsid w:val="00315E68"/>
    <w:rsid w:val="003D265B"/>
    <w:rsid w:val="003E1F2A"/>
    <w:rsid w:val="003E7707"/>
    <w:rsid w:val="003F2898"/>
    <w:rsid w:val="004A3796"/>
    <w:rsid w:val="004B75D1"/>
    <w:rsid w:val="004E28BC"/>
    <w:rsid w:val="00523244"/>
    <w:rsid w:val="005616AD"/>
    <w:rsid w:val="00564ED4"/>
    <w:rsid w:val="005C1F7E"/>
    <w:rsid w:val="00601DE8"/>
    <w:rsid w:val="0062241D"/>
    <w:rsid w:val="006861D2"/>
    <w:rsid w:val="006A339A"/>
    <w:rsid w:val="008028B0"/>
    <w:rsid w:val="0084208E"/>
    <w:rsid w:val="008479A6"/>
    <w:rsid w:val="008533DA"/>
    <w:rsid w:val="00892C0B"/>
    <w:rsid w:val="008B6751"/>
    <w:rsid w:val="0093027E"/>
    <w:rsid w:val="00963CA9"/>
    <w:rsid w:val="009877A8"/>
    <w:rsid w:val="009A653B"/>
    <w:rsid w:val="009D7C90"/>
    <w:rsid w:val="009F484E"/>
    <w:rsid w:val="00A725CE"/>
    <w:rsid w:val="00A72E30"/>
    <w:rsid w:val="00A8327A"/>
    <w:rsid w:val="00A9180F"/>
    <w:rsid w:val="00AB44CE"/>
    <w:rsid w:val="00AD73A3"/>
    <w:rsid w:val="00AF127B"/>
    <w:rsid w:val="00AF3157"/>
    <w:rsid w:val="00B90C21"/>
    <w:rsid w:val="00B94019"/>
    <w:rsid w:val="00BE12B3"/>
    <w:rsid w:val="00BF1E7D"/>
    <w:rsid w:val="00C0714B"/>
    <w:rsid w:val="00C35A3F"/>
    <w:rsid w:val="00C95933"/>
    <w:rsid w:val="00CD5C64"/>
    <w:rsid w:val="00CE3D22"/>
    <w:rsid w:val="00D312A7"/>
    <w:rsid w:val="00DD275F"/>
    <w:rsid w:val="00DD34C8"/>
    <w:rsid w:val="00E20CF0"/>
    <w:rsid w:val="00E771D3"/>
    <w:rsid w:val="00E92E6B"/>
    <w:rsid w:val="00E93C61"/>
    <w:rsid w:val="00EB0BDA"/>
    <w:rsid w:val="00EF13AB"/>
    <w:rsid w:val="00EF6090"/>
    <w:rsid w:val="00F12CC0"/>
    <w:rsid w:val="00F56CDD"/>
    <w:rsid w:val="00F9260E"/>
    <w:rsid w:val="00FC21D5"/>
    <w:rsid w:val="00FD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0D567"/>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oleObject" Target="embeddings/oleObject1.bin"/><Relationship Id="rId10" Type="http://schemas.openxmlformats.org/officeDocument/2006/relationships/hyperlink" Target="http://www.R-project.org" TargetMode="External"/><Relationship Id="rId4" Type="http://schemas.openxmlformats.org/officeDocument/2006/relationships/image" Target="media/image1.emf"/><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9</Pages>
  <Words>3212</Words>
  <Characters>18315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62</cp:revision>
  <dcterms:created xsi:type="dcterms:W3CDTF">2020-09-24T21:59:00Z</dcterms:created>
  <dcterms:modified xsi:type="dcterms:W3CDTF">2020-10-13T21:26:00Z</dcterms:modified>
</cp:coreProperties>
</file>