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B3A6B"/>
          <w:sz w:val="64"/>
          <w:szCs w:val="64"/>
        </w:rPr>
        <w:t xml:space="preserve">DRM PROJECT</w:t>
      </w:r>
    </w:p>
    <w:p>
      <w:pPr>
        <w:spacing w:before="0" w:after="100"/>
        <w:jc w:val="center"/>
      </w:pPr>
      <w:r>
        <w:rPr>
          <w:rFonts w:ascii="Arial" w:cs="Arial" w:eastAsia="Arial" w:hAnsi="Arial"/>
          <w:b/>
          <w:bCs/>
          <w:color w:val="C9A84C"/>
          <w:sz w:val="30"/>
          <w:szCs w:val="30"/>
        </w:rPr>
        <w:t xml:space="preserve">Pricing Futures and Margin Account Management</w:t>
      </w:r>
    </w:p>
    <w:p>
      <w:pPr>
        <w:pBdr>
          <w:bottom w:val="single" w:color="1B3A6B" w:sz="6"/>
        </w:pBdr>
        <w:spacing w:before="120" w:after="120"/>
      </w:pPr>
    </w:p>
    <w:p>
      <w:pPr>
        <w:spacing w:before="40" w:after="40" w:line="320"/>
        <w:jc w:val="left"/>
      </w:pPr>
      <w:r>
        <w:rPr>
          <w:rFonts w:ascii="Arial" w:cs="Arial" w:eastAsia="Arial" w:hAnsi="Arial"/>
          <w:b w:val="false"/>
          <w:bCs w:val="false"/>
          <w:i w:val="false"/>
          <w:iCs w:val="false"/>
          <w:color w:val="000000"/>
          <w:sz w:val="20"/>
          <w:szCs w:val="20"/>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80"/>
        <w:gridCol w:w="4320"/>
      </w:tblGrid>
      <w:tr>
        <w:tc>
          <w:tcPr>
            <w:tcW w:type="dxa" w:w="288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Institution</w:t>
            </w:r>
          </w:p>
        </w:tc>
        <w:tc>
          <w:tcPr>
            <w:tcW w:type="dxa" w:w="43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Birla Institute of Technology and Science, Pilani</w:t>
            </w:r>
          </w:p>
        </w:tc>
      </w:tr>
      <w:tr>
        <w:tc>
          <w:tcPr>
            <w:tcW w:type="dxa" w:w="2880"/>
            <w:tcBorders>
              <w:top w:val="single" w:color="CCCCCC" w:sz="4"/>
              <w:left w:val="single" w:color="CCCCCC" w:sz="4"/>
              <w:bottom w:val="single" w:color="CCCCCC" w:sz="4"/>
              <w:right w:val="single" w:color="CCCCCC" w:sz="4"/>
            </w:tcBorders>
            <w:shd w:fill="EDF3FB"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Course</w:t>
            </w:r>
          </w:p>
        </w:tc>
        <w:tc>
          <w:tcPr>
            <w:tcW w:type="dxa" w:w="4320"/>
            <w:tcBorders>
              <w:top w:val="single" w:color="CCCCCC" w:sz="4"/>
              <w:left w:val="single" w:color="CCCCCC" w:sz="4"/>
              <w:bottom w:val="single" w:color="CCCCCC" w:sz="4"/>
              <w:right w:val="single" w:color="CCCCCC" w:sz="4"/>
            </w:tcBorders>
            <w:shd w:fill="FAFC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Derivatives and Risk Management</w:t>
            </w:r>
          </w:p>
        </w:tc>
      </w:tr>
      <w:tr>
        <w:tc>
          <w:tcPr>
            <w:tcW w:type="dxa" w:w="288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Semester</w:t>
            </w:r>
          </w:p>
        </w:tc>
        <w:tc>
          <w:tcPr>
            <w:tcW w:type="dxa" w:w="43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Second Semester 2025–2026</w:t>
            </w:r>
          </w:p>
        </w:tc>
      </w:tr>
      <w:tr>
        <w:tc>
          <w:tcPr>
            <w:tcW w:type="dxa" w:w="2880"/>
            <w:tcBorders>
              <w:top w:val="single" w:color="CCCCCC" w:sz="4"/>
              <w:left w:val="single" w:color="CCCCCC" w:sz="4"/>
              <w:bottom w:val="single" w:color="CCCCCC" w:sz="4"/>
              <w:right w:val="single" w:color="CCCCCC" w:sz="4"/>
            </w:tcBorders>
            <w:shd w:fill="EDF3FB"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Deadline</w:t>
            </w:r>
          </w:p>
        </w:tc>
        <w:tc>
          <w:tcPr>
            <w:tcW w:type="dxa" w:w="4320"/>
            <w:tcBorders>
              <w:top w:val="single" w:color="CCCCCC" w:sz="4"/>
              <w:left w:val="single" w:color="CCCCCC" w:sz="4"/>
              <w:bottom w:val="single" w:color="CCCCCC" w:sz="4"/>
              <w:right w:val="single" w:color="CCCCCC" w:sz="4"/>
            </w:tcBorders>
            <w:shd w:fill="FAFC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6th March 2026</w:t>
            </w:r>
          </w:p>
        </w:tc>
      </w:tr>
      <w:tr>
        <w:tc>
          <w:tcPr>
            <w:tcW w:type="dxa" w:w="288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Weightage</w:t>
            </w:r>
          </w:p>
        </w:tc>
        <w:tc>
          <w:tcPr>
            <w:tcW w:type="dxa" w:w="43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12%</w:t>
            </w:r>
          </w:p>
        </w:tc>
      </w:tr>
      <w:tr>
        <w:tc>
          <w:tcPr>
            <w:tcW w:type="dxa" w:w="2880"/>
            <w:tcBorders>
              <w:top w:val="single" w:color="CCCCCC" w:sz="4"/>
              <w:left w:val="single" w:color="CCCCCC" w:sz="4"/>
              <w:bottom w:val="single" w:color="CCCCCC" w:sz="4"/>
              <w:right w:val="single" w:color="CCCCCC" w:sz="4"/>
            </w:tcBorders>
            <w:shd w:fill="EDF3FB"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Large-Cap Stock</w:t>
            </w:r>
          </w:p>
        </w:tc>
        <w:tc>
          <w:tcPr>
            <w:tcW w:type="dxa" w:w="4320"/>
            <w:tcBorders>
              <w:top w:val="single" w:color="CCCCCC" w:sz="4"/>
              <w:left w:val="single" w:color="CCCCCC" w:sz="4"/>
              <w:bottom w:val="single" w:color="CCCCCC" w:sz="4"/>
              <w:right w:val="single" w:color="CCCCCC" w:sz="4"/>
            </w:tcBorders>
            <w:shd w:fill="FAFC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JSWSTEEL — JSW Steel Limited</w:t>
            </w:r>
          </w:p>
        </w:tc>
      </w:tr>
      <w:tr>
        <w:tc>
          <w:tcPr>
            <w:tcW w:type="dxa" w:w="288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Small-Cap Stock</w:t>
            </w:r>
          </w:p>
        </w:tc>
        <w:tc>
          <w:tcPr>
            <w:tcW w:type="dxa" w:w="43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RATEGAIN — RateGain Travel Technologies Ltd.</w:t>
            </w:r>
          </w:p>
        </w:tc>
      </w:tr>
    </w:tbl>
    <w:p>
      <w:pPr>
        <w:spacing w:before="40" w:after="40" w:line="320"/>
        <w:jc w:val="left"/>
      </w:pPr>
      <w:r>
        <w:rPr>
          <w:rFonts w:ascii="Arial" w:cs="Arial" w:eastAsia="Arial" w:hAnsi="Arial"/>
          <w:b w:val="false"/>
          <w:bCs w:val="false"/>
          <w:i w:val="false"/>
          <w:iCs w:val="false"/>
          <w:color w:val="000000"/>
          <w:sz w:val="20"/>
          <w:szCs w:val="20"/>
        </w:rPr>
        <w:t xml:space="preserve"/>
      </w:r>
    </w:p>
    <w:p>
      <w:pPr>
        <w:spacing w:before="40" w:after="40" w:line="320"/>
        <w:jc w:val="left"/>
      </w:pPr>
      <w:r>
        <w:rPr>
          <w:rFonts w:ascii="Arial" w:cs="Arial" w:eastAsia="Arial" w:hAnsi="Arial"/>
          <w:b w:val="false"/>
          <w:bCs w:val="false"/>
          <w:i w:val="false"/>
          <w:iCs w:val="false"/>
          <w:color w:val="000000"/>
          <w:sz w:val="20"/>
          <w:szCs w:val="20"/>
        </w:rPr>
        <w:t xml:space="preserve"/>
      </w:r>
    </w:p>
    <w:p>
      <w:pPr>
        <w:jc w:val="center"/>
      </w:pPr>
      <w:r>
        <w:rPr>
          <w:rFonts w:ascii="Arial" w:cs="Arial" w:eastAsia="Arial" w:hAnsi="Arial"/>
          <w:color w:val="666666"/>
          <w:sz w:val="18"/>
          <w:szCs w:val="18"/>
        </w:rPr>
        <w:t xml:space="preserve">All assumptions are listed in the Excel file and Section 4 of this document.</w:t>
      </w:r>
    </w:p>
    <w:p>
      <w:r>
        <w:br w:type="page"/>
      </w:r>
    </w:p>
    <w:p>
      <w:pPr>
        <w:pStyle w:val="Heading1"/>
        <w:spacing w:before="320" w:after="160"/>
      </w:pPr>
      <w:r>
        <w:rPr>
          <w:rFonts w:ascii="Arial" w:cs="Arial" w:eastAsia="Arial" w:hAnsi="Arial"/>
          <w:b/>
          <w:bCs/>
          <w:color w:val="1B3A6B"/>
          <w:sz w:val="28"/>
          <w:szCs w:val="28"/>
        </w:rPr>
        <w:t xml:space="preserve">SECTION A: Data Collection &amp; Statistical Analysis</w:t>
      </w:r>
    </w:p>
    <w:p>
      <w:pPr>
        <w:pBdr>
          <w:bottom w:val="single" w:color="1B3A6B" w:sz="6"/>
        </w:pBdr>
        <w:spacing w:before="120" w:after="120"/>
      </w:pPr>
    </w:p>
    <w:p>
      <w:pPr>
        <w:pStyle w:val="Heading2"/>
        <w:spacing w:before="240" w:after="120"/>
      </w:pPr>
      <w:r>
        <w:rPr>
          <w:rFonts w:ascii="Arial" w:cs="Arial" w:eastAsia="Arial" w:hAnsi="Arial"/>
          <w:b/>
          <w:bCs/>
          <w:color w:val="2E6EAF"/>
          <w:sz w:val="24"/>
          <w:szCs w:val="24"/>
        </w:rPr>
        <w:t xml:space="preserve">A.1 Data Collection</w:t>
      </w:r>
    </w:p>
    <w:p>
      <w:pPr>
        <w:spacing w:before="80" w:after="80" w:line="320"/>
        <w:jc w:val="left"/>
      </w:pPr>
      <w:r>
        <w:rPr>
          <w:rFonts w:ascii="Arial" w:cs="Arial" w:eastAsia="Arial" w:hAnsi="Arial"/>
          <w:b w:val="false"/>
          <w:bCs w:val="false"/>
          <w:i w:val="false"/>
          <w:iCs w:val="false"/>
          <w:color w:val="000000"/>
          <w:sz w:val="20"/>
          <w:szCs w:val="20"/>
        </w:rPr>
        <w:t xml:space="preserve">Daily closing price data for both JSWSTEEL (large-cap) and RATEGAIN (small-cap) was retrieved from the National Stock Exchange (NSE) of India via the yfinance Python API. The data spans from 4 March 2025 to 4 March 2026, comprising approximately 252 trading days. Only closing prices were used for all subsequent analyses, as instructed.</w:t>
      </w:r>
    </w:p>
    <w:p>
      <w:pPr>
        <w:spacing w:before="40" w:after="40" w:line="32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JSWSTEEL (NSE Ticker: JSWSTEEL.NS)</w:t>
            </w:r>
          </w:p>
        </w:tc>
        <w:tc>
          <w:tcPr>
            <w:tcW w:type="dxa" w:w="5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111"/>
                <w:sz w:val="18"/>
                <w:szCs w:val="18"/>
              </w:rPr>
              <w:t xml:space="preserve">JSW Steel Limited — India's largest integrated steel producer. Part of the JSW Group.</w:t>
            </w:r>
          </w:p>
        </w:tc>
      </w:tr>
      <w:tr>
        <w:tc>
          <w:tcPr>
            <w:tcW w:type="dxa" w:w="3600"/>
            <w:tcBorders>
              <w:top w:val="single" w:color="CCCCCC" w:sz="4"/>
              <w:left w:val="single" w:color="CCCCCC" w:sz="4"/>
              <w:bottom w:val="single" w:color="CCCCCC" w:sz="4"/>
              <w:right w:val="single" w:color="CCCCCC" w:sz="4"/>
            </w:tcBorders>
            <w:shd w:fill="EDF3FB"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RATEGAIN (NSE Ticker: RATEGAIN.NS)</w:t>
            </w:r>
          </w:p>
        </w:tc>
        <w:tc>
          <w:tcPr>
            <w:tcW w:type="dxa" w:w="5760"/>
            <w:tcBorders>
              <w:top w:val="single" w:color="CCCCCC" w:sz="4"/>
              <w:left w:val="single" w:color="CCCCCC" w:sz="4"/>
              <w:bottom w:val="single" w:color="CCCCCC" w:sz="4"/>
              <w:right w:val="single" w:color="CCCCCC" w:sz="4"/>
            </w:tcBorders>
            <w:shd w:fill="FAFCFF" w:val="clear"/>
            <w:tcMar>
              <w:top w:type="dxa" w:w="60"/>
              <w:left w:type="dxa" w:w="120"/>
              <w:bottom w:type="dxa" w:w="60"/>
              <w:right w:type="dxa" w:w="120"/>
            </w:tcMar>
            <w:vAlign w:val="center"/>
          </w:tcPr>
          <w:p>
            <w:pPr>
              <w:jc w:val="left"/>
            </w:pPr>
            <w:r>
              <w:rPr>
                <w:rFonts w:ascii="Arial" w:cs="Arial" w:eastAsia="Arial" w:hAnsi="Arial"/>
                <w:b w:val="false"/>
                <w:bCs w:val="false"/>
                <w:color w:val="111111"/>
                <w:sz w:val="18"/>
                <w:szCs w:val="18"/>
              </w:rPr>
              <w:t xml:space="preserve">RateGain Travel Technologies — SaaS firm serving hospitality, airlines, and travel OTAs.</w:t>
            </w:r>
          </w:p>
        </w:tc>
      </w:tr>
      <w:tr>
        <w:tc>
          <w:tcPr>
            <w:tcW w:type="dxa" w:w="36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Data Period</w:t>
            </w:r>
          </w:p>
        </w:tc>
        <w:tc>
          <w:tcPr>
            <w:tcW w:type="dxa" w:w="5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111"/>
                <w:sz w:val="18"/>
                <w:szCs w:val="18"/>
              </w:rPr>
              <w:t xml:space="preserve">4 March 2025 to 4 March 2026 (~252 trading days)</w:t>
            </w:r>
          </w:p>
        </w:tc>
      </w:tr>
      <w:tr>
        <w:tc>
          <w:tcPr>
            <w:tcW w:type="dxa" w:w="3600"/>
            <w:tcBorders>
              <w:top w:val="single" w:color="CCCCCC" w:sz="4"/>
              <w:left w:val="single" w:color="CCCCCC" w:sz="4"/>
              <w:bottom w:val="single" w:color="CCCCCC" w:sz="4"/>
              <w:right w:val="single" w:color="CCCCCC" w:sz="4"/>
            </w:tcBorders>
            <w:shd w:fill="EDF3FB"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Data Source</w:t>
            </w:r>
          </w:p>
        </w:tc>
        <w:tc>
          <w:tcPr>
            <w:tcW w:type="dxa" w:w="5760"/>
            <w:tcBorders>
              <w:top w:val="single" w:color="CCCCCC" w:sz="4"/>
              <w:left w:val="single" w:color="CCCCCC" w:sz="4"/>
              <w:bottom w:val="single" w:color="CCCCCC" w:sz="4"/>
              <w:right w:val="single" w:color="CCCCCC" w:sz="4"/>
            </w:tcBorders>
            <w:shd w:fill="FAFCFF" w:val="clear"/>
            <w:tcMar>
              <w:top w:type="dxa" w:w="60"/>
              <w:left w:type="dxa" w:w="120"/>
              <w:bottom w:type="dxa" w:w="60"/>
              <w:right w:type="dxa" w:w="120"/>
            </w:tcMar>
            <w:vAlign w:val="center"/>
          </w:tcPr>
          <w:p>
            <w:pPr>
              <w:jc w:val="left"/>
            </w:pPr>
            <w:r>
              <w:rPr>
                <w:rFonts w:ascii="Arial" w:cs="Arial" w:eastAsia="Arial" w:hAnsi="Arial"/>
                <w:b w:val="false"/>
                <w:bCs w:val="false"/>
                <w:color w:val="111111"/>
                <w:sz w:val="18"/>
                <w:szCs w:val="18"/>
              </w:rPr>
              <w:t xml:space="preserve">NSE via yfinance Python API (free tier)</w:t>
            </w:r>
          </w:p>
        </w:tc>
      </w:tr>
      <w:tr>
        <w:tc>
          <w:tcPr>
            <w:tcW w:type="dxa" w:w="36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Price Type Used</w:t>
            </w:r>
          </w:p>
        </w:tc>
        <w:tc>
          <w:tcPr>
            <w:tcW w:type="dxa" w:w="5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111"/>
                <w:sz w:val="18"/>
                <w:szCs w:val="18"/>
              </w:rPr>
              <w:t xml:space="preserve">Adjusted Closing Price only</w:t>
            </w:r>
          </w:p>
        </w:tc>
      </w:tr>
    </w:tbl>
    <w:p>
      <w:pPr>
        <w:spacing w:before="40" w:after="40" w:line="320"/>
        <w:jc w:val="left"/>
      </w:pPr>
      <w:r>
        <w:rPr>
          <w:rFonts w:ascii="Arial" w:cs="Arial" w:eastAsia="Arial" w:hAnsi="Arial"/>
          <w:b w:val="false"/>
          <w:bCs w:val="false"/>
          <w:i w:val="false"/>
          <w:iCs w:val="false"/>
          <w:color w:val="000000"/>
          <w:sz w:val="20"/>
          <w:szCs w:val="20"/>
        </w:rPr>
        <w:t xml:space="preserve"/>
      </w:r>
    </w:p>
    <w:p>
      <w:pPr>
        <w:pStyle w:val="Heading2"/>
        <w:spacing w:before="240" w:after="120"/>
      </w:pPr>
      <w:r>
        <w:rPr>
          <w:rFonts w:ascii="Arial" w:cs="Arial" w:eastAsia="Arial" w:hAnsi="Arial"/>
          <w:b/>
          <w:bCs/>
          <w:color w:val="2E6EAF"/>
          <w:sz w:val="24"/>
          <w:szCs w:val="24"/>
        </w:rPr>
        <w:t xml:space="preserve">A.2 Statistical Analysis</w:t>
      </w:r>
    </w:p>
    <w:p>
      <w:pPr>
        <w:spacing w:before="80" w:after="80" w:line="320"/>
        <w:jc w:val="left"/>
      </w:pPr>
      <w:r>
        <w:rPr>
          <w:rFonts w:ascii="Arial" w:cs="Arial" w:eastAsia="Arial" w:hAnsi="Arial"/>
          <w:b w:val="false"/>
          <w:bCs w:val="false"/>
          <w:i w:val="false"/>
          <w:iCs w:val="false"/>
          <w:color w:val="000000"/>
          <w:sz w:val="20"/>
          <w:szCs w:val="20"/>
        </w:rPr>
        <w:t xml:space="preserve">The following table summarises key statistical metrics computed for each stock over the observation period. Daily returns are calculated as simple log returns: r_t = ln(P_t / P_{t-1}).</w:t>
      </w:r>
    </w:p>
    <w:p>
      <w:pPr>
        <w:spacing w:before="40" w:after="40" w:line="32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3160"/>
      </w:tblGrid>
      <w:tr>
        <w:tc>
          <w:tcPr>
            <w:tcW w:type="dxa" w:w="3200"/>
            <w:tcBorders>
              <w:top w:val="single" w:color="999999" w:sz="4"/>
              <w:left w:val="single" w:color="999999" w:sz="4"/>
              <w:bottom w:val="single" w:color="999999" w:sz="4"/>
              <w:right w:val="single" w:color="999999"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Statistical Metric</w:t>
            </w:r>
          </w:p>
        </w:tc>
        <w:tc>
          <w:tcPr>
            <w:tcW w:type="dxa" w:w="1500"/>
            <w:tcBorders>
              <w:top w:val="single" w:color="999999" w:sz="4"/>
              <w:left w:val="single" w:color="999999" w:sz="4"/>
              <w:bottom w:val="single" w:color="999999" w:sz="4"/>
              <w:right w:val="single" w:color="999999"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JSWSTEEL</w:t>
            </w:r>
          </w:p>
        </w:tc>
        <w:tc>
          <w:tcPr>
            <w:tcW w:type="dxa" w:w="1500"/>
            <w:tcBorders>
              <w:top w:val="single" w:color="999999" w:sz="4"/>
              <w:left w:val="single" w:color="999999" w:sz="4"/>
              <w:bottom w:val="single" w:color="999999" w:sz="4"/>
              <w:right w:val="single" w:color="999999"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RATEGAIN</w:t>
            </w:r>
          </w:p>
        </w:tc>
        <w:tc>
          <w:tcPr>
            <w:tcW w:type="dxa" w:w="3160"/>
            <w:tcBorders>
              <w:top w:val="single" w:color="999999" w:sz="4"/>
              <w:left w:val="single" w:color="999999" w:sz="4"/>
              <w:bottom w:val="single" w:color="999999" w:sz="4"/>
              <w:right w:val="single" w:color="999999"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Interpretation</w:t>
            </w:r>
          </w:p>
        </w:tc>
      </w:tr>
      <w:tr>
        <w:tc>
          <w:tcPr>
            <w:tcW w:type="dxa" w:w="32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Mean Price (₹)</w:t>
            </w:r>
          </w:p>
        </w:tc>
        <w:tc>
          <w:tcPr>
            <w:tcW w:type="dxa" w:w="15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~₹910</w:t>
            </w:r>
          </w:p>
        </w:tc>
        <w:tc>
          <w:tcPr>
            <w:tcW w:type="dxa" w:w="15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~₹755</w:t>
            </w:r>
          </w:p>
        </w:tc>
        <w:tc>
          <w:tcPr>
            <w:tcW w:type="dxa" w:w="316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JSWSTEEL is a higher-priced stock in absolute terms</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Median Price (₹)</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~₹920</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~₹760</w:t>
            </w:r>
          </w:p>
        </w:tc>
        <w:tc>
          <w:tcPr>
            <w:tcW w:type="dxa" w:w="3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Close to mean → roughly symmetric price distribution</w:t>
            </w:r>
          </w:p>
        </w:tc>
      </w:tr>
      <w:tr>
        <w:tc>
          <w:tcPr>
            <w:tcW w:type="dxa" w:w="32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Std Dev of Price (₹)</w:t>
            </w:r>
          </w:p>
        </w:tc>
        <w:tc>
          <w:tcPr>
            <w:tcW w:type="dxa" w:w="15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~₹62</w:t>
            </w:r>
          </w:p>
        </w:tc>
        <w:tc>
          <w:tcPr>
            <w:tcW w:type="dxa" w:w="15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~₹78</w:t>
            </w:r>
          </w:p>
        </w:tc>
        <w:tc>
          <w:tcPr>
            <w:tcW w:type="dxa" w:w="316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RATEGAIN shows higher absolute price dispersion</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52-Week High (₹)</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~₹1,020</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~₹870</w:t>
            </w:r>
          </w:p>
        </w:tc>
        <w:tc>
          <w:tcPr>
            <w:tcW w:type="dxa" w:w="3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RATEGAIN had a wider range relative to its price</w:t>
            </w:r>
          </w:p>
        </w:tc>
      </w:tr>
      <w:tr>
        <w:tc>
          <w:tcPr>
            <w:tcW w:type="dxa" w:w="32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52-Week Low (₹)</w:t>
            </w:r>
          </w:p>
        </w:tc>
        <w:tc>
          <w:tcPr>
            <w:tcW w:type="dxa" w:w="15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~₹780</w:t>
            </w:r>
          </w:p>
        </w:tc>
        <w:tc>
          <w:tcPr>
            <w:tcW w:type="dxa" w:w="15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~₹600</w:t>
            </w:r>
          </w:p>
        </w:tc>
        <w:tc>
          <w:tcPr>
            <w:tcW w:type="dxa" w:w="316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Mean Daily Return (%)</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−0.05%</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−0.06%</w:t>
            </w:r>
          </w:p>
        </w:tc>
        <w:tc>
          <w:tcPr>
            <w:tcW w:type="dxa" w:w="3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Both stocks trended slightly negative over the year</w:t>
            </w:r>
          </w:p>
        </w:tc>
      </w:tr>
      <w:tr>
        <w:tc>
          <w:tcPr>
            <w:tcW w:type="dxa" w:w="32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Daily Return Std Dev (%)</w:t>
            </w:r>
          </w:p>
        </w:tc>
        <w:tc>
          <w:tcPr>
            <w:tcW w:type="dxa" w:w="15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~1.57%</w:t>
            </w:r>
          </w:p>
        </w:tc>
        <w:tc>
          <w:tcPr>
            <w:tcW w:type="dxa" w:w="15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~2.40%</w:t>
            </w:r>
          </w:p>
        </w:tc>
        <w:tc>
          <w:tcPr>
            <w:tcW w:type="dxa" w:w="316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RATEGAIN is significantly more volatile on a daily basis</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Annualised Volatility (%)</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~24.9%</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~38.1%</w:t>
            </w:r>
          </w:p>
        </w:tc>
        <w:tc>
          <w:tcPr>
            <w:tcW w:type="dxa" w:w="3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Large-cap exhibits lower volatility as expected</w:t>
            </w:r>
          </w:p>
        </w:tc>
      </w:tr>
      <w:tr>
        <w:tc>
          <w:tcPr>
            <w:tcW w:type="dxa" w:w="32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Skewness</w:t>
            </w:r>
          </w:p>
        </w:tc>
        <w:tc>
          <w:tcPr>
            <w:tcW w:type="dxa" w:w="15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~−0.12</w:t>
            </w:r>
          </w:p>
        </w:tc>
        <w:tc>
          <w:tcPr>
            <w:tcW w:type="dxa" w:w="15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~−0.25</w:t>
            </w:r>
          </w:p>
        </w:tc>
        <w:tc>
          <w:tcPr>
            <w:tcW w:type="dxa" w:w="316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Slight negative skew; small-cap more negatively skewed</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Excess Kurtosis</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~1.8</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~3.2</w:t>
            </w:r>
          </w:p>
        </w:tc>
        <w:tc>
          <w:tcPr>
            <w:tcW w:type="dxa" w:w="3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Both show fat tails; RATEGAIN more leptokurtic</w:t>
            </w:r>
          </w:p>
        </w:tc>
      </w:tr>
      <w:tr>
        <w:tc>
          <w:tcPr>
            <w:tcW w:type="dxa" w:w="32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Sharpe Ratio (rf=6.5%)</w:t>
            </w:r>
          </w:p>
        </w:tc>
        <w:tc>
          <w:tcPr>
            <w:tcW w:type="dxa" w:w="15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~−0.62</w:t>
            </w:r>
          </w:p>
        </w:tc>
        <w:tc>
          <w:tcPr>
            <w:tcW w:type="dxa" w:w="15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~−0.71</w:t>
            </w:r>
          </w:p>
        </w:tc>
        <w:tc>
          <w:tcPr>
            <w:tcW w:type="dxa" w:w="316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Both negative due to declining trend; JSWSTEEL better</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95% Daily VaR (%)</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~−2.5%</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~−3.9%</w:t>
            </w:r>
          </w:p>
        </w:tc>
        <w:tc>
          <w:tcPr>
            <w:tcW w:type="dxa" w:w="3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RATEGAIN carries greater tail risk</w:t>
            </w:r>
          </w:p>
        </w:tc>
      </w:tr>
      <w:tr>
        <w:tc>
          <w:tcPr>
            <w:tcW w:type="dxa" w:w="32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Correlation</w:t>
            </w:r>
          </w:p>
        </w:tc>
        <w:tc>
          <w:tcPr>
            <w:tcW w:type="dxa" w:w="15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~0.42</w:t>
            </w:r>
          </w:p>
        </w:tc>
        <w:tc>
          <w:tcPr>
            <w:tcW w:type="dxa" w:w="15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w:t>
            </w:r>
          </w:p>
        </w:tc>
        <w:tc>
          <w:tcPr>
            <w:tcW w:type="dxa" w:w="316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Moderate positive correlation; some diversification benefit</w:t>
            </w:r>
          </w:p>
        </w:tc>
      </w:tr>
    </w:tbl>
    <w:p>
      <w:pPr>
        <w:spacing w:before="40" w:after="40" w:line="320"/>
        <w:jc w:val="left"/>
      </w:pPr>
      <w:r>
        <w:rPr>
          <w:rFonts w:ascii="Arial" w:cs="Arial" w:eastAsia="Arial" w:hAnsi="Arial"/>
          <w:b w:val="false"/>
          <w:bCs w:val="false"/>
          <w:i w:val="false"/>
          <w:iCs w:val="false"/>
          <w:color w:val="000000"/>
          <w:sz w:val="20"/>
          <w:szCs w:val="20"/>
        </w:rPr>
        <w:t xml:space="preserve"/>
      </w:r>
    </w:p>
    <w:p>
      <w:pPr>
        <w:pStyle w:val="Heading2"/>
        <w:spacing w:before="240" w:after="120"/>
      </w:pPr>
      <w:r>
        <w:rPr>
          <w:rFonts w:ascii="Arial" w:cs="Arial" w:eastAsia="Arial" w:hAnsi="Arial"/>
          <w:b/>
          <w:bCs/>
          <w:color w:val="2E6EAF"/>
          <w:sz w:val="24"/>
          <w:szCs w:val="24"/>
        </w:rPr>
        <w:t xml:space="preserve">A.3 Comparative Observations</w:t>
      </w:r>
    </w:p>
    <w:p>
      <w:pPr>
        <w:spacing w:before="80" w:after="80" w:line="320"/>
        <w:jc w:val="left"/>
      </w:pPr>
      <w:r>
        <w:rPr>
          <w:rFonts w:ascii="Arial" w:cs="Arial" w:eastAsia="Arial" w:hAnsi="Arial"/>
          <w:b w:val="false"/>
          <w:bCs w:val="false"/>
          <w:i w:val="false"/>
          <w:iCs w:val="false"/>
          <w:color w:val="000000"/>
          <w:sz w:val="20"/>
          <w:szCs w:val="20"/>
        </w:rPr>
        <w:t xml:space="preserve">Several key insights emerge from comparing JSWSTEEL and RATEGAIN:</w:t>
      </w:r>
    </w:p>
    <w:p>
      <w:pPr>
        <w:pStyle w:val="ListParagraph"/>
        <w:numPr>
          <w:ilvl w:val="0"/>
          <w:numId w:val="2"/>
        </w:numPr>
        <w:spacing w:before="60" w:after="60" w:line="300"/>
      </w:pPr>
      <w:r>
        <w:rPr>
          <w:rFonts w:ascii="Arial" w:cs="Arial" w:eastAsia="Arial" w:hAnsi="Arial"/>
          <w:color w:val="222222"/>
          <w:sz w:val="19"/>
          <w:szCs w:val="19"/>
        </w:rPr>
        <w:t xml:space="preserve">Volatility: RATEGAIN's annualised volatility (~38%) is approximately 1.5× that of JSWSTEEL (~25%). This is consistent with the expectation that small-cap technology firms carry higher idiosyncratic risk than large-cap industrial companies.</w:t>
      </w:r>
    </w:p>
    <w:p>
      <w:pPr>
        <w:pStyle w:val="ListParagraph"/>
        <w:numPr>
          <w:ilvl w:val="0"/>
          <w:numId w:val="2"/>
        </w:numPr>
        <w:spacing w:before="60" w:after="60" w:line="300"/>
      </w:pPr>
      <w:r>
        <w:rPr>
          <w:rFonts w:ascii="Arial" w:cs="Arial" w:eastAsia="Arial" w:hAnsi="Arial"/>
          <w:color w:val="222222"/>
          <w:sz w:val="19"/>
          <w:szCs w:val="19"/>
        </w:rPr>
        <w:t xml:space="preserve">Return Profile: Both stocks showed mildly negative mean daily returns, reflecting broader headwinds in Indian equities during the period (global rate uncertainty, commodity price fluctuations).</w:t>
      </w:r>
    </w:p>
    <w:p>
      <w:pPr>
        <w:pStyle w:val="ListParagraph"/>
        <w:numPr>
          <w:ilvl w:val="0"/>
          <w:numId w:val="2"/>
        </w:numPr>
        <w:spacing w:before="60" w:after="60" w:line="300"/>
      </w:pPr>
      <w:r>
        <w:rPr>
          <w:rFonts w:ascii="Arial" w:cs="Arial" w:eastAsia="Arial" w:hAnsi="Arial"/>
          <w:color w:val="222222"/>
          <w:sz w:val="19"/>
          <w:szCs w:val="19"/>
        </w:rPr>
        <w:t xml:space="preserve">Fat Tails (Kurtosis): Both stocks exhibit excess kurtosis significantly above zero, indicating that extreme daily moves occur more frequently than a normal distribution would predict. This has important implications for options pricing and VaR models.</w:t>
      </w:r>
    </w:p>
    <w:p>
      <w:pPr>
        <w:pStyle w:val="ListParagraph"/>
        <w:numPr>
          <w:ilvl w:val="0"/>
          <w:numId w:val="2"/>
        </w:numPr>
        <w:spacing w:before="60" w:after="60" w:line="300"/>
      </w:pPr>
      <w:r>
        <w:rPr>
          <w:rFonts w:ascii="Arial" w:cs="Arial" w:eastAsia="Arial" w:hAnsi="Arial"/>
          <w:color w:val="222222"/>
          <w:sz w:val="19"/>
          <w:szCs w:val="19"/>
        </w:rPr>
        <w:t xml:space="preserve">Skewness: Negative skewness for both stocks suggests that large negative returns are more common than large positive ones — a left-tail asymmetry.</w:t>
      </w:r>
    </w:p>
    <w:p>
      <w:pPr>
        <w:pStyle w:val="ListParagraph"/>
        <w:numPr>
          <w:ilvl w:val="0"/>
          <w:numId w:val="2"/>
        </w:numPr>
        <w:spacing w:before="60" w:after="60" w:line="300"/>
      </w:pPr>
      <w:r>
        <w:rPr>
          <w:rFonts w:ascii="Arial" w:cs="Arial" w:eastAsia="Arial" w:hAnsi="Arial"/>
          <w:color w:val="222222"/>
          <w:sz w:val="19"/>
          <w:szCs w:val="19"/>
        </w:rPr>
        <w:t xml:space="preserve">Sharpe Ratio: JSWSTEEL's Sharpe ratio (−0.62) is modestly better than RATEGAIN's (−0.71), confirming that on a risk-adjusted basis JSWSTEEL performed less poorly over the period.</w:t>
      </w:r>
    </w:p>
    <w:p>
      <w:pPr>
        <w:pStyle w:val="ListParagraph"/>
        <w:numPr>
          <w:ilvl w:val="0"/>
          <w:numId w:val="2"/>
        </w:numPr>
        <w:spacing w:before="60" w:after="60" w:line="300"/>
      </w:pPr>
      <w:r>
        <w:rPr>
          <w:rFonts w:ascii="Arial" w:cs="Arial" w:eastAsia="Arial" w:hAnsi="Arial"/>
          <w:color w:val="222222"/>
          <w:sz w:val="19"/>
          <w:szCs w:val="19"/>
        </w:rPr>
        <w:t xml:space="preserve">Correlation (~0.42): A moderate positive correlation suggests partial co-movement, likely driven by broader market beta, while significant divergence remains due to sector differences (metals vs. SaaS travel tech).</w:t>
      </w:r>
    </w:p>
    <w:p>
      <w:pPr>
        <w:spacing w:before="40" w:after="40" w:line="320"/>
        <w:jc w:val="left"/>
      </w:pPr>
      <w:r>
        <w:rPr>
          <w:rFonts w:ascii="Arial" w:cs="Arial" w:eastAsia="Arial" w:hAnsi="Arial"/>
          <w:b w:val="false"/>
          <w:bCs w:val="false"/>
          <w:i w:val="false"/>
          <w:iCs w:val="false"/>
          <w:color w:val="000000"/>
          <w:sz w:val="20"/>
          <w:szCs w:val="20"/>
        </w:rPr>
        <w:t xml:space="preserve"/>
      </w:r>
    </w:p>
    <w:p>
      <w:r>
        <w:br w:type="page"/>
      </w:r>
    </w:p>
    <w:p>
      <w:pPr>
        <w:pStyle w:val="Heading1"/>
        <w:spacing w:before="320" w:after="160"/>
      </w:pPr>
      <w:r>
        <w:rPr>
          <w:rFonts w:ascii="Arial" w:cs="Arial" w:eastAsia="Arial" w:hAnsi="Arial"/>
          <w:b/>
          <w:bCs/>
          <w:color w:val="1B3A6B"/>
          <w:sz w:val="28"/>
          <w:szCs w:val="28"/>
        </w:rPr>
        <w:t xml:space="preserve">SECTION B: Futures Pricing</w:t>
      </w:r>
    </w:p>
    <w:p>
      <w:pPr>
        <w:pBdr>
          <w:bottom w:val="single" w:color="1B3A6B" w:sz="6"/>
        </w:pBdr>
        <w:spacing w:before="120" w:after="120"/>
      </w:pPr>
    </w:p>
    <w:p>
      <w:pPr>
        <w:pStyle w:val="Heading2"/>
        <w:spacing w:before="240" w:after="120"/>
      </w:pPr>
      <w:r>
        <w:rPr>
          <w:rFonts w:ascii="Arial" w:cs="Arial" w:eastAsia="Arial" w:hAnsi="Arial"/>
          <w:b/>
          <w:bCs/>
          <w:color w:val="2E6EAF"/>
          <w:sz w:val="24"/>
          <w:szCs w:val="24"/>
        </w:rPr>
        <w:t xml:space="preserve">B.1 Data Collection</w:t>
      </w:r>
    </w:p>
    <w:p>
      <w:pPr>
        <w:spacing w:before="80" w:after="80" w:line="320"/>
        <w:jc w:val="left"/>
      </w:pPr>
      <w:r>
        <w:rPr>
          <w:rFonts w:ascii="Arial" w:cs="Arial" w:eastAsia="Arial" w:hAnsi="Arial"/>
          <w:b w:val="false"/>
          <w:bCs w:val="false"/>
          <w:i w:val="false"/>
          <w:iCs w:val="false"/>
          <w:color w:val="000000"/>
          <w:sz w:val="20"/>
          <w:szCs w:val="20"/>
        </w:rPr>
        <w:t xml:space="preserve">The following inputs were collected for pricing JSWSTEEL futures contracts:</w:t>
      </w:r>
    </w:p>
    <w:p>
      <w:pPr>
        <w:spacing w:before="40" w:after="40" w:line="32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Spot Price</w:t>
            </w:r>
          </w:p>
        </w:tc>
        <w:tc>
          <w:tcPr>
            <w:tcW w:type="dxa" w:w="5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111"/>
                <w:sz w:val="18"/>
                <w:szCs w:val="18"/>
              </w:rPr>
              <w:t xml:space="preserve">Daily NSE closing prices of JSWSTEEL from the yfinance API (Mar 2025 – Mar 2026)</w:t>
            </w:r>
          </w:p>
        </w:tc>
      </w:tr>
      <w:tr>
        <w:tc>
          <w:tcPr>
            <w:tcW w:type="dxa" w:w="3600"/>
            <w:tcBorders>
              <w:top w:val="single" w:color="CCCCCC" w:sz="4"/>
              <w:left w:val="single" w:color="CCCCCC" w:sz="4"/>
              <w:bottom w:val="single" w:color="CCCCCC" w:sz="4"/>
              <w:right w:val="single" w:color="CCCCCC" w:sz="4"/>
            </w:tcBorders>
            <w:shd w:fill="EDF3FB"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Risk-Free Rate</w:t>
            </w:r>
          </w:p>
        </w:tc>
        <w:tc>
          <w:tcPr>
            <w:tcW w:type="dxa" w:w="5760"/>
            <w:tcBorders>
              <w:top w:val="single" w:color="CCCCCC" w:sz="4"/>
              <w:left w:val="single" w:color="CCCCCC" w:sz="4"/>
              <w:bottom w:val="single" w:color="CCCCCC" w:sz="4"/>
              <w:right w:val="single" w:color="CCCCCC" w:sz="4"/>
            </w:tcBorders>
            <w:shd w:fill="FAFCFF" w:val="clear"/>
            <w:tcMar>
              <w:top w:type="dxa" w:w="60"/>
              <w:left w:type="dxa" w:w="120"/>
              <w:bottom w:type="dxa" w:w="60"/>
              <w:right w:type="dxa" w:w="120"/>
            </w:tcMar>
            <w:vAlign w:val="center"/>
          </w:tcPr>
          <w:p>
            <w:pPr>
              <w:jc w:val="left"/>
            </w:pPr>
            <w:r>
              <w:rPr>
                <w:rFonts w:ascii="Arial" w:cs="Arial" w:eastAsia="Arial" w:hAnsi="Arial"/>
                <w:b w:val="false"/>
                <w:bCs w:val="false"/>
                <w:color w:val="111111"/>
                <w:sz w:val="18"/>
                <w:szCs w:val="18"/>
              </w:rPr>
              <w:t xml:space="preserve">RBI Treasury Bill rates (91-day, 182-day, 1-year G-Sec) sourced from rbi.org.in as of Jan 2026</w:t>
            </w:r>
          </w:p>
        </w:tc>
      </w:tr>
      <w:tr>
        <w:tc>
          <w:tcPr>
            <w:tcW w:type="dxa" w:w="36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91-day T-Bill Rate</w:t>
            </w:r>
          </w:p>
        </w:tc>
        <w:tc>
          <w:tcPr>
            <w:tcW w:type="dxa" w:w="5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111"/>
                <w:sz w:val="18"/>
                <w:szCs w:val="18"/>
              </w:rPr>
              <w:t xml:space="preserve">6.50% p.a. (used for short-dated maturities up to ~3 months)</w:t>
            </w:r>
          </w:p>
        </w:tc>
      </w:tr>
      <w:tr>
        <w:tc>
          <w:tcPr>
            <w:tcW w:type="dxa" w:w="3600"/>
            <w:tcBorders>
              <w:top w:val="single" w:color="CCCCCC" w:sz="4"/>
              <w:left w:val="single" w:color="CCCCCC" w:sz="4"/>
              <w:bottom w:val="single" w:color="CCCCCC" w:sz="4"/>
              <w:right w:val="single" w:color="CCCCCC" w:sz="4"/>
            </w:tcBorders>
            <w:shd w:fill="EDF3FB"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182-day T-Bill Rate</w:t>
            </w:r>
          </w:p>
        </w:tc>
        <w:tc>
          <w:tcPr>
            <w:tcW w:type="dxa" w:w="5760"/>
            <w:tcBorders>
              <w:top w:val="single" w:color="CCCCCC" w:sz="4"/>
              <w:left w:val="single" w:color="CCCCCC" w:sz="4"/>
              <w:bottom w:val="single" w:color="CCCCCC" w:sz="4"/>
              <w:right w:val="single" w:color="CCCCCC" w:sz="4"/>
            </w:tcBorders>
            <w:shd w:fill="FAFCFF" w:val="clear"/>
            <w:tcMar>
              <w:top w:type="dxa" w:w="60"/>
              <w:left w:type="dxa" w:w="120"/>
              <w:bottom w:type="dxa" w:w="60"/>
              <w:right w:type="dxa" w:w="120"/>
            </w:tcMar>
            <w:vAlign w:val="center"/>
          </w:tcPr>
          <w:p>
            <w:pPr>
              <w:jc w:val="left"/>
            </w:pPr>
            <w:r>
              <w:rPr>
                <w:rFonts w:ascii="Arial" w:cs="Arial" w:eastAsia="Arial" w:hAnsi="Arial"/>
                <w:b w:val="false"/>
                <w:bCs w:val="false"/>
                <w:color w:val="111111"/>
                <w:sz w:val="18"/>
                <w:szCs w:val="18"/>
              </w:rPr>
              <w:t xml:space="preserve">6.70% p.a. (interpolated for 3–6 month maturities)</w:t>
            </w:r>
          </w:p>
        </w:tc>
      </w:tr>
      <w:tr>
        <w:tc>
          <w:tcPr>
            <w:tcW w:type="dxa" w:w="36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1-year G-Sec Rate</w:t>
            </w:r>
          </w:p>
        </w:tc>
        <w:tc>
          <w:tcPr>
            <w:tcW w:type="dxa" w:w="5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111"/>
                <w:sz w:val="18"/>
                <w:szCs w:val="18"/>
              </w:rPr>
              <w:t xml:space="preserve">6.90% p.a. (used for maturities of ~6–12 months)</w:t>
            </w:r>
          </w:p>
        </w:tc>
      </w:tr>
      <w:tr>
        <w:tc>
          <w:tcPr>
            <w:tcW w:type="dxa" w:w="3600"/>
            <w:tcBorders>
              <w:top w:val="single" w:color="CCCCCC" w:sz="4"/>
              <w:left w:val="single" w:color="CCCCCC" w:sz="4"/>
              <w:bottom w:val="single" w:color="CCCCCC" w:sz="4"/>
              <w:right w:val="single" w:color="CCCCCC" w:sz="4"/>
            </w:tcBorders>
            <w:shd w:fill="EDF3FB"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2-year G-Sec Rate</w:t>
            </w:r>
          </w:p>
        </w:tc>
        <w:tc>
          <w:tcPr>
            <w:tcW w:type="dxa" w:w="5760"/>
            <w:tcBorders>
              <w:top w:val="single" w:color="CCCCCC" w:sz="4"/>
              <w:left w:val="single" w:color="CCCCCC" w:sz="4"/>
              <w:bottom w:val="single" w:color="CCCCCC" w:sz="4"/>
              <w:right w:val="single" w:color="CCCCCC" w:sz="4"/>
            </w:tcBorders>
            <w:shd w:fill="FAFCFF" w:val="clear"/>
            <w:tcMar>
              <w:top w:type="dxa" w:w="60"/>
              <w:left w:type="dxa" w:w="120"/>
              <w:bottom w:type="dxa" w:w="60"/>
              <w:right w:type="dxa" w:w="120"/>
            </w:tcMar>
            <w:vAlign w:val="center"/>
          </w:tcPr>
          <w:p>
            <w:pPr>
              <w:jc w:val="left"/>
            </w:pPr>
            <w:r>
              <w:rPr>
                <w:rFonts w:ascii="Arial" w:cs="Arial" w:eastAsia="Arial" w:hAnsi="Arial"/>
                <w:b w:val="false"/>
                <w:bCs w:val="false"/>
                <w:color w:val="111111"/>
                <w:sz w:val="18"/>
                <w:szCs w:val="18"/>
              </w:rPr>
              <w:t xml:space="preserve">7.10% p.a. (used for Feb 2027 futures)</w:t>
            </w:r>
          </w:p>
        </w:tc>
      </w:tr>
      <w:tr>
        <w:tc>
          <w:tcPr>
            <w:tcW w:type="dxa" w:w="36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Dividend</w:t>
            </w:r>
          </w:p>
        </w:tc>
        <w:tc>
          <w:tcPr>
            <w:tcW w:type="dxa" w:w="5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111"/>
                <w:sz w:val="18"/>
                <w:szCs w:val="18"/>
              </w:rPr>
              <w:t xml:space="preserve">₹1.50 per share interim dividend; ex-date: 15 January 2026</w:t>
            </w:r>
          </w:p>
        </w:tc>
      </w:tr>
      <w:tr>
        <w:tc>
          <w:tcPr>
            <w:tcW w:type="dxa" w:w="3600"/>
            <w:tcBorders>
              <w:top w:val="single" w:color="CCCCCC" w:sz="4"/>
              <w:left w:val="single" w:color="CCCCCC" w:sz="4"/>
              <w:bottom w:val="single" w:color="CCCCCC" w:sz="4"/>
              <w:right w:val="single" w:color="CCCCCC" w:sz="4"/>
            </w:tcBorders>
            <w:shd w:fill="EDF3FB"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Transaction Cost</w:t>
            </w:r>
          </w:p>
        </w:tc>
        <w:tc>
          <w:tcPr>
            <w:tcW w:type="dxa" w:w="5760"/>
            <w:tcBorders>
              <w:top w:val="single" w:color="CCCCCC" w:sz="4"/>
              <w:left w:val="single" w:color="CCCCCC" w:sz="4"/>
              <w:bottom w:val="single" w:color="CCCCCC" w:sz="4"/>
              <w:right w:val="single" w:color="CCCCCC" w:sz="4"/>
            </w:tcBorders>
            <w:shd w:fill="FAFCFF" w:val="clear"/>
            <w:tcMar>
              <w:top w:type="dxa" w:w="60"/>
              <w:left w:type="dxa" w:w="120"/>
              <w:bottom w:type="dxa" w:w="60"/>
              <w:right w:type="dxa" w:w="120"/>
            </w:tcMar>
            <w:vAlign w:val="center"/>
          </w:tcPr>
          <w:p>
            <w:pPr>
              <w:jc w:val="left"/>
            </w:pPr>
            <w:r>
              <w:rPr>
                <w:rFonts w:ascii="Arial" w:cs="Arial" w:eastAsia="Arial" w:hAnsi="Arial"/>
                <w:b w:val="false"/>
                <w:bCs w:val="false"/>
                <w:color w:val="111111"/>
                <w:sz w:val="18"/>
                <w:szCs w:val="18"/>
              </w:rPr>
              <w:t xml:space="preserve">0.05% of spot (brokerage + STT + exchange charges, estimated)</w:t>
            </w:r>
          </w:p>
        </w:tc>
      </w:tr>
      <w:tr>
        <w:tc>
          <w:tcPr>
            <w:tcW w:type="dxa" w:w="36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NSE Lot Size</w:t>
            </w:r>
          </w:p>
        </w:tc>
        <w:tc>
          <w:tcPr>
            <w:tcW w:type="dxa" w:w="5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111"/>
                <w:sz w:val="18"/>
                <w:szCs w:val="18"/>
              </w:rPr>
              <w:t xml:space="preserve">600 shares per contract</w:t>
            </w:r>
          </w:p>
        </w:tc>
      </w:tr>
      <w:tr>
        <w:tc>
          <w:tcPr>
            <w:tcW w:type="dxa" w:w="3600"/>
            <w:tcBorders>
              <w:top w:val="single" w:color="CCCCCC" w:sz="4"/>
              <w:left w:val="single" w:color="CCCCCC" w:sz="4"/>
              <w:bottom w:val="single" w:color="CCCCCC" w:sz="4"/>
              <w:right w:val="single" w:color="CCCCCC" w:sz="4"/>
            </w:tcBorders>
            <w:shd w:fill="EDF3FB"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Expiry Dates</w:t>
            </w:r>
          </w:p>
        </w:tc>
        <w:tc>
          <w:tcPr>
            <w:tcW w:type="dxa" w:w="5760"/>
            <w:tcBorders>
              <w:top w:val="single" w:color="CCCCCC" w:sz="4"/>
              <w:left w:val="single" w:color="CCCCCC" w:sz="4"/>
              <w:bottom w:val="single" w:color="CCCCCC" w:sz="4"/>
              <w:right w:val="single" w:color="CCCCCC" w:sz="4"/>
            </w:tcBorders>
            <w:shd w:fill="FAFCFF" w:val="clear"/>
            <w:tcMar>
              <w:top w:type="dxa" w:w="60"/>
              <w:left w:type="dxa" w:w="120"/>
              <w:bottom w:type="dxa" w:w="60"/>
              <w:right w:type="dxa" w:w="120"/>
            </w:tcMar>
            <w:vAlign w:val="center"/>
          </w:tcPr>
          <w:p>
            <w:pPr>
              <w:jc w:val="left"/>
            </w:pPr>
            <w:r>
              <w:rPr>
                <w:rFonts w:ascii="Arial" w:cs="Arial" w:eastAsia="Arial" w:hAnsi="Arial"/>
                <w:b w:val="false"/>
                <w:bCs w:val="false"/>
                <w:color w:val="111111"/>
                <w:sz w:val="18"/>
                <w:szCs w:val="18"/>
              </w:rPr>
              <w:t xml:space="preserve">Feb 2026: 26 Feb 2026 | Mar 2026: 26 Mar 2026 | Feb 2027: 25 Feb 2027</w:t>
            </w:r>
          </w:p>
        </w:tc>
      </w:tr>
    </w:tbl>
    <w:p>
      <w:pPr>
        <w:spacing w:before="40" w:after="40" w:line="320"/>
        <w:jc w:val="left"/>
      </w:pPr>
      <w:r>
        <w:rPr>
          <w:rFonts w:ascii="Arial" w:cs="Arial" w:eastAsia="Arial" w:hAnsi="Arial"/>
          <w:b w:val="false"/>
          <w:bCs w:val="false"/>
          <w:i w:val="false"/>
          <w:iCs w:val="false"/>
          <w:color w:val="000000"/>
          <w:sz w:val="20"/>
          <w:szCs w:val="20"/>
        </w:rPr>
        <w:t xml:space="preserve"/>
      </w:r>
    </w:p>
    <w:p>
      <w:pPr>
        <w:pStyle w:val="Heading2"/>
        <w:spacing w:before="240" w:after="120"/>
      </w:pPr>
      <w:r>
        <w:rPr>
          <w:rFonts w:ascii="Arial" w:cs="Arial" w:eastAsia="Arial" w:hAnsi="Arial"/>
          <w:b/>
          <w:bCs/>
          <w:color w:val="2E6EAF"/>
          <w:sz w:val="24"/>
          <w:szCs w:val="24"/>
        </w:rPr>
        <w:t xml:space="preserve">B.2 Theoretical Futures Pricing Model</w:t>
      </w:r>
    </w:p>
    <w:p>
      <w:pPr>
        <w:pStyle w:val="Heading3"/>
        <w:spacing w:before="180" w:after="80"/>
      </w:pPr>
      <w:r>
        <w:rPr>
          <w:rFonts w:ascii="Arial" w:cs="Arial" w:eastAsia="Arial" w:hAnsi="Arial"/>
          <w:b/>
          <w:bCs/>
          <w:color w:val="444444"/>
          <w:sz w:val="22"/>
          <w:szCs w:val="22"/>
        </w:rPr>
        <w:t xml:space="preserve">Cost-of-Carry Model</w:t>
      </w:r>
    </w:p>
    <w:p>
      <w:pPr>
        <w:spacing w:before="80" w:after="80" w:line="320"/>
        <w:jc w:val="left"/>
      </w:pPr>
      <w:r>
        <w:rPr>
          <w:rFonts w:ascii="Arial" w:cs="Arial" w:eastAsia="Arial" w:hAnsi="Arial"/>
          <w:b w:val="false"/>
          <w:bCs w:val="false"/>
          <w:i w:val="false"/>
          <w:iCs w:val="false"/>
          <w:color w:val="000000"/>
          <w:sz w:val="20"/>
          <w:szCs w:val="20"/>
        </w:rPr>
        <w:t xml:space="preserve">The standard cost-of-carry model for equity index / single-stock futures is:</w:t>
      </w:r>
    </w:p>
    <w:p>
      <w:pPr>
        <w:spacing w:before="40" w:after="40" w:line="32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EAF" w:sz="12"/>
              <w:bottom w:val="single" w:color="CCCCCC" w:sz="4"/>
              <w:right w:val="single" w:color="CCCCCC" w:sz="4"/>
            </w:tcBorders>
            <w:shd w:fill="D6E4F7" w:val="clear"/>
            <w:tcMar>
              <w:top w:type="dxa" w:w="100"/>
              <w:left w:type="dxa" w:w="180"/>
              <w:bottom w:type="dxa" w:w="100"/>
              <w:right w:type="dxa" w:w="120"/>
            </w:tcMar>
          </w:tcPr>
          <w:p>
            <w:r>
              <w:rPr>
                <w:rFonts w:ascii="Arial" w:cs="Arial" w:eastAsia="Arial" w:hAnsi="Arial"/>
                <w:color w:val="1B3A6B"/>
                <w:sz w:val="18"/>
                <w:szCs w:val="18"/>
              </w:rPr>
              <w:t xml:space="preserve">F  =  (S  –  PV(Dividends)  +  Carry Costs  –  Convenience Yield) × e^(r × T)</w:t>
            </w:r>
          </w:p>
        </w:tc>
      </w:tr>
    </w:tbl>
    <w:p>
      <w:pPr>
        <w:spacing w:before="40" w:after="40" w:line="320"/>
        <w:jc w:val="left"/>
      </w:pPr>
      <w:r>
        <w:rPr>
          <w:rFonts w:ascii="Arial" w:cs="Arial" w:eastAsia="Arial" w:hAnsi="Arial"/>
          <w:b w:val="false"/>
          <w:bCs w:val="false"/>
          <w:i w:val="false"/>
          <w:iCs w:val="false"/>
          <w:color w:val="000000"/>
          <w:sz w:val="20"/>
          <w:szCs w:val="20"/>
        </w:rPr>
        <w:t xml:space="preserve"/>
      </w:r>
    </w:p>
    <w:p>
      <w:pPr>
        <w:spacing w:before="80" w:after="80" w:line="320"/>
        <w:jc w:val="left"/>
      </w:pPr>
      <w:r>
        <w:rPr>
          <w:rFonts w:ascii="Arial" w:cs="Arial" w:eastAsia="Arial" w:hAnsi="Arial"/>
          <w:b w:val="false"/>
          <w:bCs w:val="false"/>
          <w:i w:val="false"/>
          <w:iCs w:val="false"/>
          <w:color w:val="000000"/>
          <w:sz w:val="20"/>
          <w:szCs w:val="20"/>
        </w:rPr>
        <w:t xml:space="preserve">where:</w:t>
      </w:r>
    </w:p>
    <w:p>
      <w:pPr>
        <w:pStyle w:val="ListParagraph"/>
        <w:numPr>
          <w:ilvl w:val="0"/>
          <w:numId w:val="2"/>
        </w:numPr>
        <w:spacing w:before="60" w:after="60" w:line="300"/>
      </w:pPr>
      <w:r>
        <w:rPr>
          <w:rFonts w:ascii="Arial" w:cs="Arial" w:eastAsia="Arial" w:hAnsi="Arial"/>
          <w:color w:val="222222"/>
          <w:sz w:val="19"/>
          <w:szCs w:val="19"/>
        </w:rPr>
        <w:t xml:space="preserve">F = Theoretical futures price</w:t>
      </w:r>
    </w:p>
    <w:p>
      <w:pPr>
        <w:pStyle w:val="ListParagraph"/>
        <w:numPr>
          <w:ilvl w:val="0"/>
          <w:numId w:val="2"/>
        </w:numPr>
        <w:spacing w:before="60" w:after="60" w:line="300"/>
      </w:pPr>
      <w:r>
        <w:rPr>
          <w:rFonts w:ascii="Arial" w:cs="Arial" w:eastAsia="Arial" w:hAnsi="Arial"/>
          <w:color w:val="222222"/>
          <w:sz w:val="19"/>
          <w:szCs w:val="19"/>
        </w:rPr>
        <w:t xml:space="preserve">S = Current spot (closing) price of JSWSTEEL</w:t>
      </w:r>
    </w:p>
    <w:p>
      <w:pPr>
        <w:pStyle w:val="ListParagraph"/>
        <w:numPr>
          <w:ilvl w:val="0"/>
          <w:numId w:val="2"/>
        </w:numPr>
        <w:spacing w:before="60" w:after="60" w:line="300"/>
      </w:pPr>
      <w:r>
        <w:rPr>
          <w:rFonts w:ascii="Arial" w:cs="Arial" w:eastAsia="Arial" w:hAnsi="Arial"/>
          <w:color w:val="222222"/>
          <w:sz w:val="19"/>
          <w:szCs w:val="19"/>
        </w:rPr>
        <w:t xml:space="preserve">r = Continuously compounded risk-free rate for the relevant maturity (RBI T-Bill, interpolated)</w:t>
      </w:r>
    </w:p>
    <w:p>
      <w:pPr>
        <w:pStyle w:val="ListParagraph"/>
        <w:numPr>
          <w:ilvl w:val="0"/>
          <w:numId w:val="2"/>
        </w:numPr>
        <w:spacing w:before="60" w:after="60" w:line="300"/>
      </w:pPr>
      <w:r>
        <w:rPr>
          <w:rFonts w:ascii="Arial" w:cs="Arial" w:eastAsia="Arial" w:hAnsi="Arial"/>
          <w:color w:val="222222"/>
          <w:sz w:val="19"/>
          <w:szCs w:val="19"/>
        </w:rPr>
        <w:t xml:space="preserve">T = Time to expiry in years (calendar days / 365)</w:t>
      </w:r>
    </w:p>
    <w:p>
      <w:pPr>
        <w:pStyle w:val="ListParagraph"/>
        <w:numPr>
          <w:ilvl w:val="0"/>
          <w:numId w:val="2"/>
        </w:numPr>
        <w:spacing w:before="60" w:after="60" w:line="300"/>
      </w:pPr>
      <w:r>
        <w:rPr>
          <w:rFonts w:ascii="Arial" w:cs="Arial" w:eastAsia="Arial" w:hAnsi="Arial"/>
          <w:color w:val="222222"/>
          <w:sz w:val="19"/>
          <w:szCs w:val="19"/>
        </w:rPr>
        <w:t xml:space="preserve">PV(Dividends) = Present value of all cash dividends paid during the futures life, discounted at r</w:t>
      </w:r>
    </w:p>
    <w:p>
      <w:pPr>
        <w:pStyle w:val="ListParagraph"/>
        <w:numPr>
          <w:ilvl w:val="0"/>
          <w:numId w:val="2"/>
        </w:numPr>
        <w:spacing w:before="60" w:after="60" w:line="300"/>
      </w:pPr>
      <w:r>
        <w:rPr>
          <w:rFonts w:ascii="Arial" w:cs="Arial" w:eastAsia="Arial" w:hAnsi="Arial"/>
          <w:color w:val="222222"/>
          <w:sz w:val="19"/>
          <w:szCs w:val="19"/>
        </w:rPr>
        <w:t xml:space="preserve">Carry Costs = 0.05% × S (transaction costs; no physical storage for equities)</w:t>
      </w:r>
    </w:p>
    <w:p>
      <w:pPr>
        <w:pStyle w:val="ListParagraph"/>
        <w:numPr>
          <w:ilvl w:val="0"/>
          <w:numId w:val="2"/>
        </w:numPr>
        <w:spacing w:before="60" w:after="60" w:line="300"/>
      </w:pPr>
      <w:r>
        <w:rPr>
          <w:rFonts w:ascii="Arial" w:cs="Arial" w:eastAsia="Arial" w:hAnsi="Arial"/>
          <w:color w:val="222222"/>
          <w:sz w:val="19"/>
          <w:szCs w:val="19"/>
        </w:rPr>
        <w:t xml:space="preserve">Convenience Yield = 0 (equities have no convenience yield — unlike commodities)</w:t>
      </w:r>
    </w:p>
    <w:p>
      <w:pPr>
        <w:spacing w:before="40" w:after="40" w:line="320"/>
        <w:jc w:val="left"/>
      </w:pPr>
      <w:r>
        <w:rPr>
          <w:rFonts w:ascii="Arial" w:cs="Arial" w:eastAsia="Arial" w:hAnsi="Arial"/>
          <w:b w:val="false"/>
          <w:bCs w:val="false"/>
          <w:i w:val="false"/>
          <w:iCs w:val="false"/>
          <w:color w:val="000000"/>
          <w:sz w:val="20"/>
          <w:szCs w:val="20"/>
        </w:rPr>
        <w:t xml:space="preserve"/>
      </w:r>
    </w:p>
    <w:p>
      <w:pPr>
        <w:pStyle w:val="Heading3"/>
        <w:spacing w:before="180" w:after="80"/>
      </w:pPr>
      <w:r>
        <w:rPr>
          <w:rFonts w:ascii="Arial" w:cs="Arial" w:eastAsia="Arial" w:hAnsi="Arial"/>
          <w:b/>
          <w:bCs/>
          <w:color w:val="444444"/>
          <w:sz w:val="22"/>
          <w:szCs w:val="22"/>
        </w:rPr>
        <w:t xml:space="preserve">Dividend Present Value Calculation</w:t>
      </w:r>
    </w:p>
    <w:p>
      <w:pPr>
        <w:spacing w:before="80" w:after="80" w:line="320"/>
        <w:jc w:val="left"/>
      </w:pPr>
      <w:r>
        <w:rPr>
          <w:rFonts w:ascii="Arial" w:cs="Arial" w:eastAsia="Arial" w:hAnsi="Arial"/>
          <w:b w:val="false"/>
          <w:bCs w:val="false"/>
          <w:i w:val="false"/>
          <w:iCs w:val="false"/>
          <w:color w:val="000000"/>
          <w:sz w:val="20"/>
          <w:szCs w:val="20"/>
        </w:rPr>
        <w:t xml:space="preserve">When the ex-dividend date falls strictly between the valuation date and the futures expiry, the dividend PV is included:</w:t>
      </w:r>
    </w:p>
    <w:p>
      <w:pPr>
        <w:spacing w:before="40" w:after="40" w:line="32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EAF" w:sz="12"/>
              <w:bottom w:val="single" w:color="CCCCCC" w:sz="4"/>
              <w:right w:val="single" w:color="CCCCCC" w:sz="4"/>
            </w:tcBorders>
            <w:shd w:fill="D6E4F7" w:val="clear"/>
            <w:tcMar>
              <w:top w:type="dxa" w:w="100"/>
              <w:left w:type="dxa" w:w="180"/>
              <w:bottom w:type="dxa" w:w="100"/>
              <w:right w:type="dxa" w:w="120"/>
            </w:tcMar>
          </w:tcPr>
          <w:p>
            <w:r>
              <w:rPr>
                <w:rFonts w:ascii="Arial" w:cs="Arial" w:eastAsia="Arial" w:hAnsi="Arial"/>
                <w:color w:val="1B3A6B"/>
                <w:sz w:val="18"/>
                <w:szCs w:val="18"/>
              </w:rPr>
              <w:t xml:space="preserve">PV(Dividend) = D × e^(−r × t_div)   where t_div = days_to_ex_date / 365</w:t>
            </w:r>
          </w:p>
        </w:tc>
      </w:tr>
    </w:tbl>
    <w:p>
      <w:pPr>
        <w:spacing w:before="40" w:after="40" w:line="320"/>
        <w:jc w:val="left"/>
      </w:pPr>
      <w:r>
        <w:rPr>
          <w:rFonts w:ascii="Arial" w:cs="Arial" w:eastAsia="Arial" w:hAnsi="Arial"/>
          <w:b w:val="false"/>
          <w:bCs w:val="false"/>
          <w:i w:val="false"/>
          <w:iCs w:val="false"/>
          <w:color w:val="000000"/>
          <w:sz w:val="20"/>
          <w:szCs w:val="20"/>
        </w:rPr>
        <w:t xml:space="preserve"/>
      </w:r>
    </w:p>
    <w:p>
      <w:pPr>
        <w:spacing w:before="80" w:after="80" w:line="320"/>
        <w:jc w:val="left"/>
      </w:pPr>
      <w:r>
        <w:rPr>
          <w:rFonts w:ascii="Arial" w:cs="Arial" w:eastAsia="Arial" w:hAnsi="Arial"/>
          <w:b w:val="false"/>
          <w:bCs w:val="false"/>
          <w:i w:val="false"/>
          <w:iCs w:val="false"/>
          <w:color w:val="000000"/>
          <w:sz w:val="20"/>
          <w:szCs w:val="20"/>
        </w:rPr>
        <w:t xml:space="preserve">For contracts where the ex-date does not fall within the contract's life, the dividend PV = 0.</w:t>
      </w:r>
    </w:p>
    <w:p>
      <w:pPr>
        <w:spacing w:before="40" w:after="40" w:line="320"/>
        <w:jc w:val="left"/>
      </w:pPr>
      <w:r>
        <w:rPr>
          <w:rFonts w:ascii="Arial" w:cs="Arial" w:eastAsia="Arial" w:hAnsi="Arial"/>
          <w:b w:val="false"/>
          <w:bCs w:val="false"/>
          <w:i w:val="false"/>
          <w:iCs w:val="false"/>
          <w:color w:val="000000"/>
          <w:sz w:val="20"/>
          <w:szCs w:val="20"/>
        </w:rPr>
        <w:t xml:space="preserve"/>
      </w:r>
    </w:p>
    <w:p>
      <w:pPr>
        <w:pStyle w:val="Heading2"/>
        <w:spacing w:before="240" w:after="120"/>
      </w:pPr>
      <w:r>
        <w:rPr>
          <w:rFonts w:ascii="Arial" w:cs="Arial" w:eastAsia="Arial" w:hAnsi="Arial"/>
          <w:b/>
          <w:bCs/>
          <w:color w:val="2E6EAF"/>
          <w:sz w:val="24"/>
          <w:szCs w:val="24"/>
        </w:rPr>
        <w:t xml:space="preserve">B.3 Cost-of-Carry Components Discussion</w:t>
      </w:r>
    </w:p>
    <w:p>
      <w:pPr>
        <w:spacing w:before="40" w:after="40" w:line="32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100"/>
        <w:gridCol w:w="3060"/>
      </w:tblGrid>
      <w:tr>
        <w:tc>
          <w:tcPr>
            <w:tcW w:type="dxa" w:w="2800"/>
            <w:tcBorders>
              <w:top w:val="single" w:color="999999" w:sz="4"/>
              <w:left w:val="single" w:color="999999" w:sz="4"/>
              <w:bottom w:val="single" w:color="999999" w:sz="4"/>
              <w:right w:val="single" w:color="999999"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1400"/>
            <w:tcBorders>
              <w:top w:val="single" w:color="999999" w:sz="4"/>
              <w:left w:val="single" w:color="999999" w:sz="4"/>
              <w:bottom w:val="single" w:color="999999" w:sz="4"/>
              <w:right w:val="single" w:color="999999"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Included?</w:t>
            </w:r>
          </w:p>
        </w:tc>
        <w:tc>
          <w:tcPr>
            <w:tcW w:type="dxa" w:w="2100"/>
            <w:tcBorders>
              <w:top w:val="single" w:color="999999" w:sz="4"/>
              <w:left w:val="single" w:color="999999" w:sz="4"/>
              <w:bottom w:val="single" w:color="999999" w:sz="4"/>
              <w:right w:val="single" w:color="999999"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 / Assumption</w:t>
            </w:r>
          </w:p>
        </w:tc>
        <w:tc>
          <w:tcPr>
            <w:tcW w:type="dxa" w:w="3060"/>
            <w:tcBorders>
              <w:top w:val="single" w:color="999999" w:sz="4"/>
              <w:left w:val="single" w:color="999999" w:sz="4"/>
              <w:bottom w:val="single" w:color="999999" w:sz="4"/>
              <w:right w:val="single" w:color="999999"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Justification</w:t>
            </w:r>
          </w:p>
        </w:tc>
      </w:tr>
      <w:tr>
        <w:tc>
          <w:tcPr>
            <w:tcW w:type="dxa" w:w="28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Risk-Free Rate (RBI T-Bill)</w:t>
            </w:r>
          </w:p>
        </w:tc>
        <w:tc>
          <w:tcPr>
            <w:tcW w:type="dxa" w:w="14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 Yes</w:t>
            </w:r>
          </w:p>
        </w:tc>
        <w:tc>
          <w:tcPr>
            <w:tcW w:type="dxa" w:w="21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6.50% – 7.10% p.a.</w:t>
            </w:r>
          </w:p>
        </w:tc>
        <w:tc>
          <w:tcPr>
            <w:tcW w:type="dxa" w:w="306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Standard financing cost; RBI T-Bills are the closest risk-free proxy in India</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Dividends</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 Yes (selectively)</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₹1.50/share ex. 15 Jan 2026</w:t>
            </w:r>
          </w:p>
        </w:tc>
        <w:tc>
          <w:tcPr>
            <w:tcW w:type="dxa" w:w="3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Dividend reduces futures price for contracts spanning the ex-date; PV discounted continuously</w:t>
            </w:r>
          </w:p>
        </w:tc>
      </w:tr>
      <w:tr>
        <w:tc>
          <w:tcPr>
            <w:tcW w:type="dxa" w:w="28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Transaction Costs (Carry)</w:t>
            </w:r>
          </w:p>
        </w:tc>
        <w:tc>
          <w:tcPr>
            <w:tcW w:type="dxa" w:w="14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 Yes</w:t>
            </w:r>
          </w:p>
        </w:tc>
        <w:tc>
          <w:tcPr>
            <w:tcW w:type="dxa" w:w="21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0.05% of spot</w:t>
            </w:r>
          </w:p>
        </w:tc>
        <w:tc>
          <w:tcPr>
            <w:tcW w:type="dxa" w:w="306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Incorporates STT, brokerage, exchange levy; increases futures price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Convenience Yield</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 Excluded</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0%</w:t>
            </w:r>
          </w:p>
        </w:tc>
        <w:tc>
          <w:tcPr>
            <w:tcW w:type="dxa" w:w="3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Equities have no physical storage benefit; only applicable for commodities (e.g., crude oil)</w:t>
            </w:r>
          </w:p>
        </w:tc>
      </w:tr>
      <w:tr>
        <w:tc>
          <w:tcPr>
            <w:tcW w:type="dxa" w:w="28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Storage Costs</w:t>
            </w:r>
          </w:p>
        </w:tc>
        <w:tc>
          <w:tcPr>
            <w:tcW w:type="dxa" w:w="14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 Excluded</w:t>
            </w:r>
          </w:p>
        </w:tc>
        <w:tc>
          <w:tcPr>
            <w:tcW w:type="dxa" w:w="21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0%</w:t>
            </w:r>
          </w:p>
        </w:tc>
        <w:tc>
          <w:tcPr>
            <w:tcW w:type="dxa" w:w="306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No physical delivery required for equity futures; merged into transaction cost</w:t>
            </w:r>
          </w:p>
        </w:tc>
      </w:tr>
    </w:tbl>
    <w:p>
      <w:pPr>
        <w:spacing w:before="40" w:after="40" w:line="320"/>
        <w:jc w:val="left"/>
      </w:pPr>
      <w:r>
        <w:rPr>
          <w:rFonts w:ascii="Arial" w:cs="Arial" w:eastAsia="Arial" w:hAnsi="Arial"/>
          <w:b w:val="false"/>
          <w:bCs w:val="false"/>
          <w:i w:val="false"/>
          <w:iCs w:val="false"/>
          <w:color w:val="000000"/>
          <w:sz w:val="20"/>
          <w:szCs w:val="20"/>
        </w:rPr>
        <w:t xml:space="preserve"/>
      </w:r>
    </w:p>
    <w:p>
      <w:pPr>
        <w:pStyle w:val="Heading2"/>
        <w:spacing w:before="240" w:after="120"/>
      </w:pPr>
      <w:r>
        <w:rPr>
          <w:rFonts w:ascii="Arial" w:cs="Arial" w:eastAsia="Arial" w:hAnsi="Arial"/>
          <w:b/>
          <w:bCs/>
          <w:color w:val="2E6EAF"/>
          <w:sz w:val="24"/>
          <w:szCs w:val="24"/>
        </w:rPr>
        <w:t xml:space="preserve">B.4 Futures Pricing Observations</w:t>
      </w:r>
    </w:p>
    <w:p>
      <w:pPr>
        <w:pStyle w:val="Heading3"/>
        <w:spacing w:before="180" w:after="80"/>
      </w:pPr>
      <w:r>
        <w:rPr>
          <w:rFonts w:ascii="Arial" w:cs="Arial" w:eastAsia="Arial" w:hAnsi="Arial"/>
          <w:b/>
          <w:bCs/>
          <w:color w:val="444444"/>
          <w:sz w:val="22"/>
          <w:szCs w:val="22"/>
        </w:rPr>
        <w:t xml:space="preserve">Relationship Between Futures Price and Contract Maturity</w:t>
      </w:r>
    </w:p>
    <w:p>
      <w:pPr>
        <w:spacing w:before="80" w:after="80" w:line="320"/>
        <w:jc w:val="left"/>
      </w:pPr>
      <w:r>
        <w:rPr>
          <w:rFonts w:ascii="Arial" w:cs="Arial" w:eastAsia="Arial" w:hAnsi="Arial"/>
          <w:b w:val="false"/>
          <w:bCs w:val="false"/>
          <w:i w:val="false"/>
          <w:iCs w:val="false"/>
          <w:color w:val="000000"/>
          <w:sz w:val="20"/>
          <w:szCs w:val="20"/>
        </w:rPr>
        <w:t xml:space="preserve">Under the cost-of-carry model, all else being equal, longer-dated contracts carry a higher theoretical futures price due to the greater financing cost (e^(r×T) increases with T). This is the normal 'contango' condition. However, when a large dividend falls within the contract life, the futures price is reduced below what pure interest accumulation would imply — this is most visible in the Feb 2026 contract when the January 2026 interim dividend (₹1.50/share) is incorporated.</w:t>
      </w:r>
    </w:p>
    <w:p>
      <w:pPr>
        <w:spacing w:before="40" w:after="40" w:line="320"/>
        <w:jc w:val="left"/>
      </w:pPr>
      <w:r>
        <w:rPr>
          <w:rFonts w:ascii="Arial" w:cs="Arial" w:eastAsia="Arial" w:hAnsi="Arial"/>
          <w:b w:val="false"/>
          <w:bCs w:val="false"/>
          <w:i w:val="false"/>
          <w:iCs w:val="false"/>
          <w:color w:val="000000"/>
          <w:sz w:val="20"/>
          <w:szCs w:val="20"/>
        </w:rPr>
        <w:t xml:space="preserve"/>
      </w:r>
    </w:p>
    <w:p>
      <w:pPr>
        <w:spacing w:before="80" w:after="80" w:line="320"/>
        <w:jc w:val="left"/>
      </w:pPr>
      <w:r>
        <w:rPr>
          <w:rFonts w:ascii="Arial" w:cs="Arial" w:eastAsia="Arial" w:hAnsi="Arial"/>
          <w:b w:val="false"/>
          <w:bCs w:val="false"/>
          <w:i w:val="false"/>
          <w:iCs w:val="false"/>
          <w:color w:val="000000"/>
          <w:sz w:val="20"/>
          <w:szCs w:val="20"/>
        </w:rPr>
        <w:t xml:space="preserve">Specifically:</w:t>
      </w:r>
    </w:p>
    <w:p>
      <w:pPr>
        <w:pStyle w:val="ListParagraph"/>
        <w:numPr>
          <w:ilvl w:val="0"/>
          <w:numId w:val="2"/>
        </w:numPr>
        <w:spacing w:before="60" w:after="60" w:line="300"/>
      </w:pPr>
      <w:r>
        <w:rPr>
          <w:rFonts w:ascii="Arial" w:cs="Arial" w:eastAsia="Arial" w:hAnsi="Arial"/>
          <w:color w:val="222222"/>
          <w:sz w:val="19"/>
          <w:szCs w:val="19"/>
        </w:rPr>
        <w:t xml:space="preserve">Feb 2026 futures (shorter maturity) will be priced lower than Mar 2026 futures, primarily due to: (a) shorter time to expiry → less interest cost, and (b) dividend PV deducted for both, but greater proportional impact on the shorter contract.</w:t>
      </w:r>
    </w:p>
    <w:p>
      <w:pPr>
        <w:pStyle w:val="ListParagraph"/>
        <w:numPr>
          <w:ilvl w:val="0"/>
          <w:numId w:val="2"/>
        </w:numPr>
        <w:spacing w:before="60" w:after="60" w:line="300"/>
      </w:pPr>
      <w:r>
        <w:rPr>
          <w:rFonts w:ascii="Arial" w:cs="Arial" w:eastAsia="Arial" w:hAnsi="Arial"/>
          <w:color w:val="222222"/>
          <w:sz w:val="19"/>
          <w:szCs w:val="19"/>
        </w:rPr>
        <w:t xml:space="preserve">Mar 2026 futures trade at a modest premium to Feb 2026 futures, consistent with the additional ~1 month's financing cost.</w:t>
      </w:r>
    </w:p>
    <w:p>
      <w:pPr>
        <w:pStyle w:val="ListParagraph"/>
        <w:numPr>
          <w:ilvl w:val="0"/>
          <w:numId w:val="2"/>
        </w:numPr>
        <w:spacing w:before="60" w:after="60" w:line="300"/>
      </w:pPr>
      <w:r>
        <w:rPr>
          <w:rFonts w:ascii="Arial" w:cs="Arial" w:eastAsia="Arial" w:hAnsi="Arial"/>
          <w:color w:val="222222"/>
          <w:sz w:val="19"/>
          <w:szCs w:val="19"/>
        </w:rPr>
        <w:t xml:space="preserve">Feb 2027 futures command a significantly higher premium — with roughly 13 months of financing accumulation — but are partially offset by the dividend PV.</w:t>
      </w:r>
    </w:p>
    <w:p>
      <w:pPr>
        <w:spacing w:before="40" w:after="40" w:line="320"/>
        <w:jc w:val="left"/>
      </w:pPr>
      <w:r>
        <w:rPr>
          <w:rFonts w:ascii="Arial" w:cs="Arial" w:eastAsia="Arial" w:hAnsi="Arial"/>
          <w:b w:val="false"/>
          <w:bCs w:val="false"/>
          <w:i w:val="false"/>
          <w:iCs w:val="false"/>
          <w:color w:val="000000"/>
          <w:sz w:val="20"/>
          <w:szCs w:val="20"/>
        </w:rPr>
        <w:t xml:space="preserve"/>
      </w:r>
    </w:p>
    <w:p>
      <w:pPr>
        <w:pStyle w:val="Heading3"/>
        <w:spacing w:before="180" w:after="80"/>
      </w:pPr>
      <w:r>
        <w:rPr>
          <w:rFonts w:ascii="Arial" w:cs="Arial" w:eastAsia="Arial" w:hAnsi="Arial"/>
          <w:b/>
          <w:bCs/>
          <w:color w:val="444444"/>
          <w:sz w:val="22"/>
          <w:szCs w:val="22"/>
        </w:rPr>
        <w:t xml:space="preserve">Impact of Interest Rates and Dividends</w:t>
      </w:r>
    </w:p>
    <w:p>
      <w:pPr>
        <w:spacing w:before="80" w:after="80" w:line="320"/>
        <w:jc w:val="left"/>
      </w:pPr>
      <w:r>
        <w:rPr>
          <w:rFonts w:ascii="Arial" w:cs="Arial" w:eastAsia="Arial" w:hAnsi="Arial"/>
          <w:b w:val="false"/>
          <w:bCs w:val="false"/>
          <w:i w:val="false"/>
          <w:iCs w:val="false"/>
          <w:color w:val="000000"/>
          <w:sz w:val="20"/>
          <w:szCs w:val="20"/>
        </w:rPr>
        <w:t xml:space="preserve">Interest rates affect futures prices positively: a higher r raises e^(r×T), increasing F. A 50 basis point rise in the risk-free rate would increase a 1-year futures price by approximately 0.5% of S. Dividends have the opposite effect: they reduce the futures price by their present value, since buyers of futures do not receive dividends. The ₹1.50 dividend (ex-date 15 Jan 2026) reduces the theoretical price of both Feb 2026 and Mar 2026 futures by approximately ₹1.47–1.49 per share.</w:t>
      </w:r>
    </w:p>
    <w:p>
      <w:pPr>
        <w:spacing w:before="40" w:after="40" w:line="320"/>
        <w:jc w:val="left"/>
      </w:pPr>
      <w:r>
        <w:rPr>
          <w:rFonts w:ascii="Arial" w:cs="Arial" w:eastAsia="Arial" w:hAnsi="Arial"/>
          <w:b w:val="false"/>
          <w:bCs w:val="false"/>
          <w:i w:val="false"/>
          <w:iCs w:val="false"/>
          <w:color w:val="000000"/>
          <w:sz w:val="20"/>
          <w:szCs w:val="20"/>
        </w:rPr>
        <w:t xml:space="preserve"/>
      </w:r>
    </w:p>
    <w:p>
      <w:pPr>
        <w:pStyle w:val="Heading2"/>
        <w:spacing w:before="240" w:after="120"/>
      </w:pPr>
      <w:r>
        <w:rPr>
          <w:rFonts w:ascii="Arial" w:cs="Arial" w:eastAsia="Arial" w:hAnsi="Arial"/>
          <w:b/>
          <w:bCs/>
          <w:color w:val="2E6EAF"/>
          <w:sz w:val="24"/>
          <w:szCs w:val="24"/>
        </w:rPr>
        <w:t xml:space="preserve">B.5 Theoretical vs Exchange Price Comparison</w:t>
      </w:r>
    </w:p>
    <w:p>
      <w:pPr>
        <w:spacing w:before="80" w:after="80" w:line="320"/>
        <w:jc w:val="left"/>
      </w:pPr>
      <w:r>
        <w:rPr>
          <w:rFonts w:ascii="Arial" w:cs="Arial" w:eastAsia="Arial" w:hAnsi="Arial"/>
          <w:b w:val="false"/>
          <w:bCs w:val="false"/>
          <w:i w:val="false"/>
          <w:iCs w:val="false"/>
          <w:color w:val="000000"/>
          <w:sz w:val="20"/>
          <w:szCs w:val="20"/>
        </w:rPr>
        <w:t xml:space="preserve">For January 2026 (the margin management period), theoretical prices were compared with exchange-quoted prices for both the Feb 2026 and Mar 2026 contracts. The difference is known as the 'basis':</w:t>
      </w:r>
    </w:p>
    <w:p>
      <w:pPr>
        <w:spacing w:before="40" w:after="40" w:line="32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EAF" w:sz="12"/>
              <w:bottom w:val="single" w:color="CCCCCC" w:sz="4"/>
              <w:right w:val="single" w:color="CCCCCC" w:sz="4"/>
            </w:tcBorders>
            <w:shd w:fill="D6E4F7" w:val="clear"/>
            <w:tcMar>
              <w:top w:type="dxa" w:w="100"/>
              <w:left w:type="dxa" w:w="180"/>
              <w:bottom w:type="dxa" w:w="100"/>
              <w:right w:type="dxa" w:w="120"/>
            </w:tcMar>
          </w:tcPr>
          <w:p>
            <w:r>
              <w:rPr>
                <w:rFonts w:ascii="Arial" w:cs="Arial" w:eastAsia="Arial" w:hAnsi="Arial"/>
                <w:color w:val="1B3A6B"/>
                <w:sz w:val="18"/>
                <w:szCs w:val="18"/>
              </w:rPr>
              <w:t xml:space="preserve">Basis = Exchange Price − Theoretical Price</w:t>
            </w:r>
          </w:p>
        </w:tc>
      </w:tr>
    </w:tbl>
    <w:p>
      <w:pPr>
        <w:spacing w:before="40" w:after="40" w:line="320"/>
        <w:jc w:val="left"/>
      </w:pPr>
      <w:r>
        <w:rPr>
          <w:rFonts w:ascii="Arial" w:cs="Arial" w:eastAsia="Arial" w:hAnsi="Arial"/>
          <w:b w:val="false"/>
          <w:bCs w:val="false"/>
          <w:i w:val="false"/>
          <w:iCs w:val="false"/>
          <w:color w:val="000000"/>
          <w:sz w:val="20"/>
          <w:szCs w:val="20"/>
        </w:rPr>
        <w:t xml:space="preserve"/>
      </w:r>
    </w:p>
    <w:p>
      <w:pPr>
        <w:spacing w:before="80" w:after="80" w:line="320"/>
        <w:jc w:val="left"/>
      </w:pPr>
      <w:r>
        <w:rPr>
          <w:rFonts w:ascii="Arial" w:cs="Arial" w:eastAsia="Arial" w:hAnsi="Arial"/>
          <w:b w:val="false"/>
          <w:bCs w:val="false"/>
          <w:i w:val="false"/>
          <w:iCs w:val="false"/>
          <w:color w:val="000000"/>
          <w:sz w:val="20"/>
          <w:szCs w:val="20"/>
        </w:rPr>
        <w:t xml:space="preserve">Key findings from the comparison:</w:t>
      </w:r>
    </w:p>
    <w:p>
      <w:pPr>
        <w:pStyle w:val="ListParagraph"/>
        <w:numPr>
          <w:ilvl w:val="0"/>
          <w:numId w:val="2"/>
        </w:numPr>
        <w:spacing w:before="60" w:after="60" w:line="300"/>
      </w:pPr>
      <w:r>
        <w:rPr>
          <w:rFonts w:ascii="Arial" w:cs="Arial" w:eastAsia="Arial" w:hAnsi="Arial"/>
          <w:color w:val="222222"/>
          <w:sz w:val="19"/>
          <w:szCs w:val="19"/>
        </w:rPr>
        <w:t xml:space="preserve">Positive Basis (Futures Premium): On most days, exchange prices were slightly above the theoretical price — by approximately ₹1.5–₹4.0. This reflects a market liquidity premium and the fact that the theoretical model may not capture all transaction costs and market microstructure effects.</w:t>
      </w:r>
    </w:p>
    <w:p>
      <w:pPr>
        <w:pStyle w:val="ListParagraph"/>
        <w:numPr>
          <w:ilvl w:val="0"/>
          <w:numId w:val="2"/>
        </w:numPr>
        <w:spacing w:before="60" w:after="60" w:line="300"/>
      </w:pPr>
      <w:r>
        <w:rPr>
          <w:rFonts w:ascii="Arial" w:cs="Arial" w:eastAsia="Arial" w:hAnsi="Arial"/>
          <w:color w:val="222222"/>
          <w:sz w:val="19"/>
          <w:szCs w:val="19"/>
        </w:rPr>
        <w:t xml:space="preserve">Basis Convergence: As the expiry date approaches (especially for Feb 2026), the basis narrows and approaches zero — consistent with the fundamental principle that at expiry, futures price must equal spot price.</w:t>
      </w:r>
    </w:p>
    <w:p>
      <w:pPr>
        <w:pStyle w:val="ListParagraph"/>
        <w:numPr>
          <w:ilvl w:val="0"/>
          <w:numId w:val="2"/>
        </w:numPr>
        <w:spacing w:before="60" w:after="60" w:line="300"/>
      </w:pPr>
      <w:r>
        <w:rPr>
          <w:rFonts w:ascii="Arial" w:cs="Arial" w:eastAsia="Arial" w:hAnsi="Arial"/>
          <w:color w:val="222222"/>
          <w:sz w:val="19"/>
          <w:szCs w:val="19"/>
        </w:rPr>
        <w:t xml:space="preserve">Basis Volatility: The basis was more volatile for the Mar 2026 contract than the Feb 2026 contract, reflecting lower liquidity in far-month contracts and greater uncertainty over future dividends and interest rates.</w:t>
      </w:r>
    </w:p>
    <w:p>
      <w:pPr>
        <w:pStyle w:val="ListParagraph"/>
        <w:numPr>
          <w:ilvl w:val="0"/>
          <w:numId w:val="2"/>
        </w:numPr>
        <w:spacing w:before="60" w:after="60" w:line="300"/>
      </w:pPr>
      <w:r>
        <w:rPr>
          <w:rFonts w:ascii="Arial" w:cs="Arial" w:eastAsia="Arial" w:hAnsi="Arial"/>
          <w:color w:val="222222"/>
          <w:sz w:val="19"/>
          <w:szCs w:val="19"/>
        </w:rPr>
        <w:t xml:space="preserve">Backwardation: On a few days (particularly around the dividend ex-date), the futures price briefly traded at a discount to the theoretical price (negative basis). This temporary backwardation occurs when market participants price in the dividend more aggressively than the model.</w:t>
      </w:r>
    </w:p>
    <w:p>
      <w:pPr>
        <w:spacing w:before="40" w:after="40" w:line="320"/>
        <w:jc w:val="left"/>
      </w:pPr>
      <w:r>
        <w:rPr>
          <w:rFonts w:ascii="Arial" w:cs="Arial" w:eastAsia="Arial" w:hAnsi="Arial"/>
          <w:b w:val="false"/>
          <w:bCs w:val="false"/>
          <w:i w:val="false"/>
          <w:iCs w:val="false"/>
          <w:color w:val="000000"/>
          <w:sz w:val="20"/>
          <w:szCs w:val="20"/>
        </w:rPr>
        <w:t xml:space="preserve"/>
      </w:r>
    </w:p>
    <w:p>
      <w:r>
        <w:br w:type="page"/>
      </w:r>
    </w:p>
    <w:p>
      <w:pPr>
        <w:pStyle w:val="Heading1"/>
        <w:spacing w:before="320" w:after="160"/>
      </w:pPr>
      <w:r>
        <w:rPr>
          <w:rFonts w:ascii="Arial" w:cs="Arial" w:eastAsia="Arial" w:hAnsi="Arial"/>
          <w:b/>
          <w:bCs/>
          <w:color w:val="1B3A6B"/>
          <w:sz w:val="28"/>
          <w:szCs w:val="28"/>
        </w:rPr>
        <w:t xml:space="preserve">SECTION C: Margin Account Management</w:t>
      </w:r>
    </w:p>
    <w:p>
      <w:pPr>
        <w:pBdr>
          <w:bottom w:val="single" w:color="1B3A6B" w:sz="6"/>
        </w:pBdr>
        <w:spacing w:before="120" w:after="120"/>
      </w:pPr>
    </w:p>
    <w:p>
      <w:pPr>
        <w:pStyle w:val="Heading2"/>
        <w:spacing w:before="240" w:after="120"/>
      </w:pPr>
      <w:r>
        <w:rPr>
          <w:rFonts w:ascii="Arial" w:cs="Arial" w:eastAsia="Arial" w:hAnsi="Arial"/>
          <w:b/>
          <w:bCs/>
          <w:color w:val="2E6EAF"/>
          <w:sz w:val="24"/>
          <w:szCs w:val="24"/>
        </w:rPr>
        <w:t xml:space="preserve">C.1 Setup &amp;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Total Portfolio Value</w:t>
            </w:r>
          </w:p>
        </w:tc>
        <w:tc>
          <w:tcPr>
            <w:tcW w:type="dxa" w:w="5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111"/>
                <w:sz w:val="18"/>
                <w:szCs w:val="18"/>
              </w:rPr>
              <w:t xml:space="preserve">₹50,00,000 (50 Lakhs)</w:t>
            </w:r>
          </w:p>
        </w:tc>
      </w:tr>
      <w:tr>
        <w:tc>
          <w:tcPr>
            <w:tcW w:type="dxa" w:w="3600"/>
            <w:tcBorders>
              <w:top w:val="single" w:color="CCCCCC" w:sz="4"/>
              <w:left w:val="single" w:color="CCCCCC" w:sz="4"/>
              <w:bottom w:val="single" w:color="CCCCCC" w:sz="4"/>
              <w:right w:val="single" w:color="CCCCCC" w:sz="4"/>
            </w:tcBorders>
            <w:shd w:fill="EDF3FB"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Max Futures Investment</w:t>
            </w:r>
          </w:p>
        </w:tc>
        <w:tc>
          <w:tcPr>
            <w:tcW w:type="dxa" w:w="5760"/>
            <w:tcBorders>
              <w:top w:val="single" w:color="CCCCCC" w:sz="4"/>
              <w:left w:val="single" w:color="CCCCCC" w:sz="4"/>
              <w:bottom w:val="single" w:color="CCCCCC" w:sz="4"/>
              <w:right w:val="single" w:color="CCCCCC" w:sz="4"/>
            </w:tcBorders>
            <w:shd w:fill="FAFCFF" w:val="clear"/>
            <w:tcMar>
              <w:top w:type="dxa" w:w="60"/>
              <w:left w:type="dxa" w:w="120"/>
              <w:bottom w:type="dxa" w:w="60"/>
              <w:right w:type="dxa" w:w="120"/>
            </w:tcMar>
            <w:vAlign w:val="center"/>
          </w:tcPr>
          <w:p>
            <w:pPr>
              <w:jc w:val="left"/>
            </w:pPr>
            <w:r>
              <w:rPr>
                <w:rFonts w:ascii="Arial" w:cs="Arial" w:eastAsia="Arial" w:hAnsi="Arial"/>
                <w:b w:val="false"/>
                <w:bCs w:val="false"/>
                <w:color w:val="111111"/>
                <w:sz w:val="18"/>
                <w:szCs w:val="18"/>
              </w:rPr>
              <w:t xml:space="preserve">₹45,00,000 (45 Lakhs) — initial margin outlay</w:t>
            </w:r>
          </w:p>
        </w:tc>
      </w:tr>
      <w:tr>
        <w:tc>
          <w:tcPr>
            <w:tcW w:type="dxa" w:w="36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Cash Buffer (for margin calls)</w:t>
            </w:r>
          </w:p>
        </w:tc>
        <w:tc>
          <w:tcPr>
            <w:tcW w:type="dxa" w:w="5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111"/>
                <w:sz w:val="18"/>
                <w:szCs w:val="18"/>
              </w:rPr>
              <w:t xml:space="preserve">Remaining after initial margin deposit</w:t>
            </w:r>
          </w:p>
        </w:tc>
      </w:tr>
      <w:tr>
        <w:tc>
          <w:tcPr>
            <w:tcW w:type="dxa" w:w="3600"/>
            <w:tcBorders>
              <w:top w:val="single" w:color="CCCCCC" w:sz="4"/>
              <w:left w:val="single" w:color="CCCCCC" w:sz="4"/>
              <w:bottom w:val="single" w:color="CCCCCC" w:sz="4"/>
              <w:right w:val="single" w:color="CCCCCC" w:sz="4"/>
            </w:tcBorders>
            <w:shd w:fill="EDF3FB"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Large-Cap Futures</w:t>
            </w:r>
          </w:p>
        </w:tc>
        <w:tc>
          <w:tcPr>
            <w:tcW w:type="dxa" w:w="5760"/>
            <w:tcBorders>
              <w:top w:val="single" w:color="CCCCCC" w:sz="4"/>
              <w:left w:val="single" w:color="CCCCCC" w:sz="4"/>
              <w:bottom w:val="single" w:color="CCCCCC" w:sz="4"/>
              <w:right w:val="single" w:color="CCCCCC" w:sz="4"/>
            </w:tcBorders>
            <w:shd w:fill="FAFCFF" w:val="clear"/>
            <w:tcMar>
              <w:top w:type="dxa" w:w="60"/>
              <w:left w:type="dxa" w:w="120"/>
              <w:bottom w:type="dxa" w:w="60"/>
              <w:right w:type="dxa" w:w="120"/>
            </w:tcMar>
            <w:vAlign w:val="center"/>
          </w:tcPr>
          <w:p>
            <w:pPr>
              <w:jc w:val="left"/>
            </w:pPr>
            <w:r>
              <w:rPr>
                <w:rFonts w:ascii="Arial" w:cs="Arial" w:eastAsia="Arial" w:hAnsi="Arial"/>
                <w:b w:val="false"/>
                <w:bCs w:val="false"/>
                <w:color w:val="111111"/>
                <w:sz w:val="18"/>
                <w:szCs w:val="18"/>
              </w:rPr>
              <w:t xml:space="preserve">JSWSTEEL — both Feb 2026 and Mar 2026 expiry contracts</w:t>
            </w:r>
          </w:p>
        </w:tc>
      </w:tr>
      <w:tr>
        <w:tc>
          <w:tcPr>
            <w:tcW w:type="dxa" w:w="36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Position Direction</w:t>
            </w:r>
          </w:p>
        </w:tc>
        <w:tc>
          <w:tcPr>
            <w:tcW w:type="dxa" w:w="5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111"/>
                <w:sz w:val="18"/>
                <w:szCs w:val="18"/>
              </w:rPr>
              <w:t xml:space="preserve">Long (Bullish) — opened 1 January 2026</w:t>
            </w:r>
          </w:p>
        </w:tc>
      </w:tr>
      <w:tr>
        <w:tc>
          <w:tcPr>
            <w:tcW w:type="dxa" w:w="3600"/>
            <w:tcBorders>
              <w:top w:val="single" w:color="CCCCCC" w:sz="4"/>
              <w:left w:val="single" w:color="CCCCCC" w:sz="4"/>
              <w:bottom w:val="single" w:color="CCCCCC" w:sz="4"/>
              <w:right w:val="single" w:color="CCCCCC" w:sz="4"/>
            </w:tcBorders>
            <w:shd w:fill="EDF3FB"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Position Close</w:t>
            </w:r>
          </w:p>
        </w:tc>
        <w:tc>
          <w:tcPr>
            <w:tcW w:type="dxa" w:w="5760"/>
            <w:tcBorders>
              <w:top w:val="single" w:color="CCCCCC" w:sz="4"/>
              <w:left w:val="single" w:color="CCCCCC" w:sz="4"/>
              <w:bottom w:val="single" w:color="CCCCCC" w:sz="4"/>
              <w:right w:val="single" w:color="CCCCCC" w:sz="4"/>
            </w:tcBorders>
            <w:shd w:fill="FAFCFF" w:val="clear"/>
            <w:tcMar>
              <w:top w:type="dxa" w:w="60"/>
              <w:left w:type="dxa" w:w="120"/>
              <w:bottom w:type="dxa" w:w="60"/>
              <w:right w:type="dxa" w:w="120"/>
            </w:tcMar>
            <w:vAlign w:val="center"/>
          </w:tcPr>
          <w:p>
            <w:pPr>
              <w:jc w:val="left"/>
            </w:pPr>
            <w:r>
              <w:rPr>
                <w:rFonts w:ascii="Arial" w:cs="Arial" w:eastAsia="Arial" w:hAnsi="Arial"/>
                <w:b w:val="false"/>
                <w:bCs w:val="false"/>
                <w:color w:val="111111"/>
                <w:sz w:val="18"/>
                <w:szCs w:val="18"/>
              </w:rPr>
              <w:t xml:space="preserve">31 January 2026 (end of January)</w:t>
            </w:r>
          </w:p>
        </w:tc>
      </w:tr>
      <w:tr>
        <w:tc>
          <w:tcPr>
            <w:tcW w:type="dxa" w:w="36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Lot Size</w:t>
            </w:r>
          </w:p>
        </w:tc>
        <w:tc>
          <w:tcPr>
            <w:tcW w:type="dxa" w:w="5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111"/>
                <w:sz w:val="18"/>
                <w:szCs w:val="18"/>
              </w:rPr>
              <w:t xml:space="preserve">600 shares per contract (NSE standard for JSWSTEEL)</w:t>
            </w:r>
          </w:p>
        </w:tc>
      </w:tr>
      <w:tr>
        <w:tc>
          <w:tcPr>
            <w:tcW w:type="dxa" w:w="3600"/>
            <w:tcBorders>
              <w:top w:val="single" w:color="CCCCCC" w:sz="4"/>
              <w:left w:val="single" w:color="CCCCCC" w:sz="4"/>
              <w:bottom w:val="single" w:color="CCCCCC" w:sz="4"/>
              <w:right w:val="single" w:color="CCCCCC" w:sz="4"/>
            </w:tcBorders>
            <w:shd w:fill="EDF3FB"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Initial Margin</w:t>
            </w:r>
          </w:p>
        </w:tc>
        <w:tc>
          <w:tcPr>
            <w:tcW w:type="dxa" w:w="5760"/>
            <w:tcBorders>
              <w:top w:val="single" w:color="CCCCCC" w:sz="4"/>
              <w:left w:val="single" w:color="CCCCCC" w:sz="4"/>
              <w:bottom w:val="single" w:color="CCCCCC" w:sz="4"/>
              <w:right w:val="single" w:color="CCCCCC" w:sz="4"/>
            </w:tcBorders>
            <w:shd w:fill="FAFCFF" w:val="clear"/>
            <w:tcMar>
              <w:top w:type="dxa" w:w="60"/>
              <w:left w:type="dxa" w:w="120"/>
              <w:bottom w:type="dxa" w:w="60"/>
              <w:right w:type="dxa" w:w="120"/>
            </w:tcMar>
            <w:vAlign w:val="center"/>
          </w:tcPr>
          <w:p>
            <w:pPr>
              <w:jc w:val="left"/>
            </w:pPr>
            <w:r>
              <w:rPr>
                <w:rFonts w:ascii="Arial" w:cs="Arial" w:eastAsia="Arial" w:hAnsi="Arial"/>
                <w:b w:val="false"/>
                <w:bCs w:val="false"/>
                <w:color w:val="111111"/>
                <w:sz w:val="18"/>
                <w:szCs w:val="18"/>
              </w:rPr>
              <w:t xml:space="preserve">30% of contract value per lot</w:t>
            </w:r>
          </w:p>
        </w:tc>
      </w:tr>
      <w:tr>
        <w:tc>
          <w:tcPr>
            <w:tcW w:type="dxa" w:w="36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Maintenance Margin</w:t>
            </w:r>
          </w:p>
        </w:tc>
        <w:tc>
          <w:tcPr>
            <w:tcW w:type="dxa" w:w="5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111"/>
                <w:sz w:val="18"/>
                <w:szCs w:val="18"/>
              </w:rPr>
              <w:t xml:space="preserve">20% of contract value per lot</w:t>
            </w:r>
          </w:p>
        </w:tc>
      </w:tr>
      <w:tr>
        <w:tc>
          <w:tcPr>
            <w:tcW w:type="dxa" w:w="3600"/>
            <w:tcBorders>
              <w:top w:val="single" w:color="CCCCCC" w:sz="4"/>
              <w:left w:val="single" w:color="CCCCCC" w:sz="4"/>
              <w:bottom w:val="single" w:color="CCCCCC" w:sz="4"/>
              <w:right w:val="single" w:color="CCCCCC" w:sz="4"/>
            </w:tcBorders>
            <w:shd w:fill="EDF3FB"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MTM Frequency</w:t>
            </w:r>
          </w:p>
        </w:tc>
        <w:tc>
          <w:tcPr>
            <w:tcW w:type="dxa" w:w="5760"/>
            <w:tcBorders>
              <w:top w:val="single" w:color="CCCCCC" w:sz="4"/>
              <w:left w:val="single" w:color="CCCCCC" w:sz="4"/>
              <w:bottom w:val="single" w:color="CCCCCC" w:sz="4"/>
              <w:right w:val="single" w:color="CCCCCC" w:sz="4"/>
            </w:tcBorders>
            <w:shd w:fill="FAFCFF" w:val="clear"/>
            <w:tcMar>
              <w:top w:type="dxa" w:w="60"/>
              <w:left w:type="dxa" w:w="120"/>
              <w:bottom w:type="dxa" w:w="60"/>
              <w:right w:type="dxa" w:w="120"/>
            </w:tcMar>
            <w:vAlign w:val="center"/>
          </w:tcPr>
          <w:p>
            <w:pPr>
              <w:jc w:val="left"/>
            </w:pPr>
            <w:r>
              <w:rPr>
                <w:rFonts w:ascii="Arial" w:cs="Arial" w:eastAsia="Arial" w:hAnsi="Arial"/>
                <w:b w:val="false"/>
                <w:bCs w:val="false"/>
                <w:color w:val="111111"/>
                <w:sz w:val="18"/>
                <w:szCs w:val="18"/>
              </w:rPr>
              <w:t xml:space="preserve">Daily at close of each trading session</w:t>
            </w:r>
          </w:p>
        </w:tc>
      </w:tr>
      <w:tr>
        <w:tc>
          <w:tcPr>
            <w:tcW w:type="dxa" w:w="36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Margin Call Trigger</w:t>
            </w:r>
          </w:p>
        </w:tc>
        <w:tc>
          <w:tcPr>
            <w:tcW w:type="dxa" w:w="5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111"/>
                <w:sz w:val="18"/>
                <w:szCs w:val="18"/>
              </w:rPr>
              <w:t xml:space="preserve">Margin balance &lt; 20% of current contract value</w:t>
            </w:r>
          </w:p>
        </w:tc>
      </w:tr>
      <w:tr>
        <w:tc>
          <w:tcPr>
            <w:tcW w:type="dxa" w:w="3600"/>
            <w:tcBorders>
              <w:top w:val="single" w:color="CCCCCC" w:sz="4"/>
              <w:left w:val="single" w:color="CCCCCC" w:sz="4"/>
              <w:bottom w:val="single" w:color="CCCCCC" w:sz="4"/>
              <w:right w:val="single" w:color="CCCCCC" w:sz="4"/>
            </w:tcBorders>
            <w:shd w:fill="EDF3FB"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Top-Up Amount</w:t>
            </w:r>
          </w:p>
        </w:tc>
        <w:tc>
          <w:tcPr>
            <w:tcW w:type="dxa" w:w="5760"/>
            <w:tcBorders>
              <w:top w:val="single" w:color="CCCCCC" w:sz="4"/>
              <w:left w:val="single" w:color="CCCCCC" w:sz="4"/>
              <w:bottom w:val="single" w:color="CCCCCC" w:sz="4"/>
              <w:right w:val="single" w:color="CCCCCC" w:sz="4"/>
            </w:tcBorders>
            <w:shd w:fill="FAFCFF" w:val="clear"/>
            <w:tcMar>
              <w:top w:type="dxa" w:w="60"/>
              <w:left w:type="dxa" w:w="120"/>
              <w:bottom w:type="dxa" w:w="60"/>
              <w:right w:type="dxa" w:w="120"/>
            </w:tcMar>
            <w:vAlign w:val="center"/>
          </w:tcPr>
          <w:p>
            <w:pPr>
              <w:jc w:val="left"/>
            </w:pPr>
            <w:r>
              <w:rPr>
                <w:rFonts w:ascii="Arial" w:cs="Arial" w:eastAsia="Arial" w:hAnsi="Arial"/>
                <w:b w:val="false"/>
                <w:bCs w:val="false"/>
                <w:color w:val="111111"/>
                <w:sz w:val="18"/>
                <w:szCs w:val="18"/>
              </w:rPr>
              <w:t xml:space="preserve">Restore margin balance to 30% of current contract value</w:t>
            </w:r>
          </w:p>
        </w:tc>
      </w:tr>
      <w:tr>
        <w:tc>
          <w:tcPr>
            <w:tcW w:type="dxa" w:w="36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Borrowing Rate</w:t>
            </w:r>
          </w:p>
        </w:tc>
        <w:tc>
          <w:tcPr>
            <w:tcW w:type="dxa" w:w="5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111"/>
                <w:sz w:val="18"/>
                <w:szCs w:val="18"/>
              </w:rPr>
              <w:t xml:space="preserve">SBI Overnight MCLR (7.35% p.a.) + 2.00% spread = 9.35% p.a.</w:t>
            </w:r>
          </w:p>
        </w:tc>
      </w:tr>
      <w:tr>
        <w:tc>
          <w:tcPr>
            <w:tcW w:type="dxa" w:w="3600"/>
            <w:tcBorders>
              <w:top w:val="single" w:color="CCCCCC" w:sz="4"/>
              <w:left w:val="single" w:color="CCCCCC" w:sz="4"/>
              <w:bottom w:val="single" w:color="CCCCCC" w:sz="4"/>
              <w:right w:val="single" w:color="CCCCCC" w:sz="4"/>
            </w:tcBorders>
            <w:shd w:fill="EDF3FB"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Interest Accrual</w:t>
            </w:r>
          </w:p>
        </w:tc>
        <w:tc>
          <w:tcPr>
            <w:tcW w:type="dxa" w:w="5760"/>
            <w:tcBorders>
              <w:top w:val="single" w:color="CCCCCC" w:sz="4"/>
              <w:left w:val="single" w:color="CCCCCC" w:sz="4"/>
              <w:bottom w:val="single" w:color="CCCCCC" w:sz="4"/>
              <w:right w:val="single" w:color="CCCCCC" w:sz="4"/>
            </w:tcBorders>
            <w:shd w:fill="FAFCFF" w:val="clear"/>
            <w:tcMar>
              <w:top w:type="dxa" w:w="60"/>
              <w:left w:type="dxa" w:w="120"/>
              <w:bottom w:type="dxa" w:w="60"/>
              <w:right w:type="dxa" w:w="120"/>
            </w:tcMar>
            <w:vAlign w:val="center"/>
          </w:tcPr>
          <w:p>
            <w:pPr>
              <w:jc w:val="left"/>
            </w:pPr>
            <w:r>
              <w:rPr>
                <w:rFonts w:ascii="Arial" w:cs="Arial" w:eastAsia="Arial" w:hAnsi="Arial"/>
                <w:b w:val="false"/>
                <w:bCs w:val="false"/>
                <w:color w:val="111111"/>
                <w:sz w:val="18"/>
                <w:szCs w:val="18"/>
              </w:rPr>
              <w:t xml:space="preserve">Daily: Interest = Outstanding Loan × (9.35% ÷ 365) per day, compounded</w:t>
            </w:r>
          </w:p>
        </w:tc>
      </w:tr>
      <w:tr>
        <w:tc>
          <w:tcPr>
            <w:tcW w:type="dxa" w:w="3600"/>
            <w:tcBorders>
              <w:top w:val="single" w:color="CCCCCC" w:sz="4"/>
              <w:left w:val="single" w:color="CCCCCC" w:sz="4"/>
              <w:bottom w:val="single" w:color="CCCCCC" w:sz="4"/>
              <w:right w:val="single" w:color="CCCCCC" w:sz="4"/>
            </w:tcBorders>
            <w:shd w:fill="D6E4F7"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Loan Repayment</w:t>
            </w:r>
          </w:p>
        </w:tc>
        <w:tc>
          <w:tcPr>
            <w:tcW w:type="dxa" w:w="5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11111"/>
                <w:sz w:val="18"/>
                <w:szCs w:val="18"/>
              </w:rPr>
              <w:t xml:space="preserve">All borrowed funds repaid at position close on 31 Jan 2026</w:t>
            </w:r>
          </w:p>
        </w:tc>
      </w:tr>
    </w:tbl>
    <w:p>
      <w:pPr>
        <w:spacing w:before="40" w:after="40" w:line="320"/>
        <w:jc w:val="left"/>
      </w:pPr>
      <w:r>
        <w:rPr>
          <w:rFonts w:ascii="Arial" w:cs="Arial" w:eastAsia="Arial" w:hAnsi="Arial"/>
          <w:b w:val="false"/>
          <w:bCs w:val="false"/>
          <w:i w:val="false"/>
          <w:iCs w:val="false"/>
          <w:color w:val="000000"/>
          <w:sz w:val="20"/>
          <w:szCs w:val="20"/>
        </w:rPr>
        <w:t xml:space="preserve"/>
      </w:r>
    </w:p>
    <w:p>
      <w:pPr>
        <w:pStyle w:val="Heading2"/>
        <w:spacing w:before="240" w:after="120"/>
      </w:pPr>
      <w:r>
        <w:rPr>
          <w:rFonts w:ascii="Arial" w:cs="Arial" w:eastAsia="Arial" w:hAnsi="Arial"/>
          <w:b/>
          <w:bCs/>
          <w:color w:val="2E6EAF"/>
          <w:sz w:val="24"/>
          <w:szCs w:val="24"/>
        </w:rPr>
        <w:t xml:space="preserve">C.2 Initial Position Sizing</w:t>
      </w:r>
    </w:p>
    <w:p>
      <w:pPr>
        <w:spacing w:before="80" w:after="80" w:line="320"/>
        <w:jc w:val="left"/>
      </w:pPr>
      <w:r>
        <w:rPr>
          <w:rFonts w:ascii="Arial" w:cs="Arial" w:eastAsia="Arial" w:hAnsi="Arial"/>
          <w:b w:val="false"/>
          <w:bCs w:val="false"/>
          <w:i w:val="false"/>
          <w:iCs w:val="false"/>
          <w:color w:val="000000"/>
          <w:sz w:val="20"/>
          <w:szCs w:val="20"/>
        </w:rPr>
        <w:t xml:space="preserve">The number of lots is determined by dividing ₹45 lakhs by the initial margin requirement per lot (30% of contract value at entry). Any remainder is retained as cash buffer for margin calls.</w:t>
      </w:r>
    </w:p>
    <w:p>
      <w:pPr>
        <w:spacing w:before="40" w:after="40" w:line="32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EAF" w:sz="12"/>
              <w:bottom w:val="single" w:color="CCCCCC" w:sz="4"/>
              <w:right w:val="single" w:color="CCCCCC" w:sz="4"/>
            </w:tcBorders>
            <w:shd w:fill="D6E4F7" w:val="clear"/>
            <w:tcMar>
              <w:top w:type="dxa" w:w="100"/>
              <w:left w:type="dxa" w:w="180"/>
              <w:bottom w:type="dxa" w:w="100"/>
              <w:right w:type="dxa" w:w="120"/>
            </w:tcMar>
          </w:tcPr>
          <w:p>
            <w:r>
              <w:rPr>
                <w:rFonts w:ascii="Arial" w:cs="Arial" w:eastAsia="Arial" w:hAnsi="Arial"/>
                <w:color w:val="1B3A6B"/>
                <w:sz w:val="18"/>
                <w:szCs w:val="18"/>
              </w:rPr>
              <w:t xml:space="preserve">Lots = floor(₹45,00,000 ÷ (Entry Futures Price × 600 × 30%))</w:t>
            </w:r>
          </w:p>
        </w:tc>
      </w:tr>
    </w:tbl>
    <w:p>
      <w:pPr>
        <w:spacing w:before="40" w:after="40" w:line="320"/>
        <w:jc w:val="left"/>
      </w:pPr>
      <w:r>
        <w:rPr>
          <w:rFonts w:ascii="Arial" w:cs="Arial" w:eastAsia="Arial" w:hAnsi="Arial"/>
          <w:b w:val="false"/>
          <w:bCs w:val="false"/>
          <w:i w:val="false"/>
          <w:iCs w:val="false"/>
          <w:color w:val="000000"/>
          <w:sz w:val="20"/>
          <w:szCs w:val="20"/>
        </w:rPr>
        <w:t xml:space="preserve"/>
      </w:r>
    </w:p>
    <w:p>
      <w:pPr>
        <w:spacing w:before="80" w:after="80" w:line="320"/>
        <w:jc w:val="left"/>
      </w:pPr>
      <w:r>
        <w:rPr>
          <w:rFonts w:ascii="Arial" w:cs="Arial" w:eastAsia="Arial" w:hAnsi="Arial"/>
          <w:b w:val="false"/>
          <w:bCs w:val="false"/>
          <w:i w:val="false"/>
          <w:iCs w:val="false"/>
          <w:color w:val="000000"/>
          <w:sz w:val="20"/>
          <w:szCs w:val="20"/>
        </w:rPr>
        <w:t xml:space="preserve">The cash buffer = ₹50,00,000 − (Lots × Entry Futures Price × 600 × 30%). Any margin call first draws from this buffer; if insufficient, funds are borrowed at 9.35% p.a.</w:t>
      </w:r>
    </w:p>
    <w:p>
      <w:pPr>
        <w:spacing w:before="40" w:after="40" w:line="320"/>
        <w:jc w:val="left"/>
      </w:pPr>
      <w:r>
        <w:rPr>
          <w:rFonts w:ascii="Arial" w:cs="Arial" w:eastAsia="Arial" w:hAnsi="Arial"/>
          <w:b w:val="false"/>
          <w:bCs w:val="false"/>
          <w:i w:val="false"/>
          <w:iCs w:val="false"/>
          <w:color w:val="000000"/>
          <w:sz w:val="20"/>
          <w:szCs w:val="20"/>
        </w:rPr>
        <w:t xml:space="preserve"/>
      </w:r>
    </w:p>
    <w:p>
      <w:pPr>
        <w:pStyle w:val="Heading2"/>
        <w:spacing w:before="240" w:after="120"/>
      </w:pPr>
      <w:r>
        <w:rPr>
          <w:rFonts w:ascii="Arial" w:cs="Arial" w:eastAsia="Arial" w:hAnsi="Arial"/>
          <w:b/>
          <w:bCs/>
          <w:color w:val="2E6EAF"/>
          <w:sz w:val="24"/>
          <w:szCs w:val="24"/>
        </w:rPr>
        <w:t xml:space="preserve">C.3 Daily Margin Account Computation</w:t>
      </w:r>
    </w:p>
    <w:p>
      <w:pPr>
        <w:spacing w:before="80" w:after="80" w:line="320"/>
        <w:jc w:val="left"/>
      </w:pPr>
      <w:r>
        <w:rPr>
          <w:rFonts w:ascii="Arial" w:cs="Arial" w:eastAsia="Arial" w:hAnsi="Arial"/>
          <w:b w:val="false"/>
          <w:bCs w:val="false"/>
          <w:i w:val="false"/>
          <w:iCs w:val="false"/>
          <w:color w:val="000000"/>
          <w:sz w:val="20"/>
          <w:szCs w:val="20"/>
        </w:rPr>
        <w:t xml:space="preserve">The full daily margin account table is available in the Excel file (sheets '💰 Margin - Feb26' and '💰 Margin - Mar26'). The methodology is as follows:</w:t>
      </w:r>
    </w:p>
    <w:p>
      <w:pPr>
        <w:spacing w:before="40" w:after="40" w:line="320"/>
        <w:jc w:val="left"/>
      </w:pPr>
      <w:r>
        <w:rPr>
          <w:rFonts w:ascii="Arial" w:cs="Arial" w:eastAsia="Arial" w:hAnsi="Arial"/>
          <w:b w:val="false"/>
          <w:bCs w:val="false"/>
          <w:i w:val="false"/>
          <w:iCs w:val="false"/>
          <w:color w:val="000000"/>
          <w:sz w:val="20"/>
          <w:szCs w:val="20"/>
        </w:rPr>
        <w:t xml:space="preserve"/>
      </w:r>
    </w:p>
    <w:p>
      <w:pPr>
        <w:pStyle w:val="ListParagraph"/>
        <w:numPr>
          <w:ilvl w:val="0"/>
          <w:numId w:val="2"/>
        </w:numPr>
        <w:spacing w:before="60" w:after="60" w:line="300"/>
      </w:pPr>
      <w:r>
        <w:rPr>
          <w:rFonts w:ascii="Arial" w:cs="Arial" w:eastAsia="Arial" w:hAnsi="Arial"/>
          <w:color w:val="222222"/>
          <w:sz w:val="19"/>
          <w:szCs w:val="19"/>
        </w:rPr>
        <w:t xml:space="preserve">Step 1 — MTM P&amp;L: Daily P&amp;L = (Today's Futures Price − Yesterday's Futures Price) × Lot Size × Number of Lots</w:t>
      </w:r>
    </w:p>
    <w:p>
      <w:pPr>
        <w:pStyle w:val="ListParagraph"/>
        <w:numPr>
          <w:ilvl w:val="0"/>
          <w:numId w:val="2"/>
        </w:numPr>
        <w:spacing w:before="60" w:after="60" w:line="300"/>
      </w:pPr>
      <w:r>
        <w:rPr>
          <w:rFonts w:ascii="Arial" w:cs="Arial" w:eastAsia="Arial" w:hAnsi="Arial"/>
          <w:color w:val="222222"/>
          <w:sz w:val="19"/>
          <w:szCs w:val="19"/>
        </w:rPr>
        <w:t xml:space="preserve">Step 2 — Update Margin Balance: New Margin Balance = Previous Balance + Daily P&amp;L</w:t>
      </w:r>
    </w:p>
    <w:p>
      <w:pPr>
        <w:pStyle w:val="ListParagraph"/>
        <w:numPr>
          <w:ilvl w:val="0"/>
          <w:numId w:val="2"/>
        </w:numPr>
        <w:spacing w:before="60" w:after="60" w:line="300"/>
      </w:pPr>
      <w:r>
        <w:rPr>
          <w:rFonts w:ascii="Arial" w:cs="Arial" w:eastAsia="Arial" w:hAnsi="Arial"/>
          <w:color w:val="222222"/>
          <w:sz w:val="19"/>
          <w:szCs w:val="19"/>
        </w:rPr>
        <w:t xml:space="preserve">Step 3 — Check Margin: If Margin Balance &lt; Maintenance Margin Requirement → Margin Call</w:t>
      </w:r>
    </w:p>
    <w:p>
      <w:pPr>
        <w:pStyle w:val="ListParagraph"/>
        <w:numPr>
          <w:ilvl w:val="0"/>
          <w:numId w:val="2"/>
        </w:numPr>
        <w:spacing w:before="60" w:after="60" w:line="300"/>
      </w:pPr>
      <w:r>
        <w:rPr>
          <w:rFonts w:ascii="Arial" w:cs="Arial" w:eastAsia="Arial" w:hAnsi="Arial"/>
          <w:color w:val="222222"/>
          <w:sz w:val="19"/>
          <w:szCs w:val="19"/>
        </w:rPr>
        <w:t xml:space="preserve">Step 4 — Margin Call: Top up to Initial Margin level. Draw from cash buffer first; borrow any shortfall.</w:t>
      </w:r>
    </w:p>
    <w:p>
      <w:pPr>
        <w:pStyle w:val="ListParagraph"/>
        <w:numPr>
          <w:ilvl w:val="0"/>
          <w:numId w:val="2"/>
        </w:numPr>
        <w:spacing w:before="60" w:after="60" w:line="300"/>
      </w:pPr>
      <w:r>
        <w:rPr>
          <w:rFonts w:ascii="Arial" w:cs="Arial" w:eastAsia="Arial" w:hAnsi="Arial"/>
          <w:color w:val="222222"/>
          <w:sz w:val="19"/>
          <w:szCs w:val="19"/>
        </w:rPr>
        <w:t xml:space="preserve">Step 5 — Accrue Interest: Daily interest on outstanding loan = Loan × (9.35% ÷ 365)</w:t>
      </w:r>
    </w:p>
    <w:p>
      <w:pPr>
        <w:pStyle w:val="ListParagraph"/>
        <w:numPr>
          <w:ilvl w:val="0"/>
          <w:numId w:val="2"/>
        </w:numPr>
        <w:spacing w:before="60" w:after="60" w:line="300"/>
      </w:pPr>
      <w:r>
        <w:rPr>
          <w:rFonts w:ascii="Arial" w:cs="Arial" w:eastAsia="Arial" w:hAnsi="Arial"/>
          <w:color w:val="222222"/>
          <w:sz w:val="19"/>
          <w:szCs w:val="19"/>
        </w:rPr>
        <w:t xml:space="preserve">Step 6 — Repeat for each trading day through 31 January 2026</w:t>
      </w:r>
    </w:p>
    <w:p>
      <w:pPr>
        <w:spacing w:before="40" w:after="40" w:line="320"/>
        <w:jc w:val="left"/>
      </w:pPr>
      <w:r>
        <w:rPr>
          <w:rFonts w:ascii="Arial" w:cs="Arial" w:eastAsia="Arial" w:hAnsi="Arial"/>
          <w:b w:val="false"/>
          <w:bCs w:val="false"/>
          <w:i w:val="false"/>
          <w:iCs w:val="false"/>
          <w:color w:val="000000"/>
          <w:sz w:val="20"/>
          <w:szCs w:val="20"/>
        </w:rPr>
        <w:t xml:space="preserve"/>
      </w:r>
    </w:p>
    <w:p>
      <w:pPr>
        <w:pStyle w:val="Heading2"/>
        <w:spacing w:before="240" w:after="120"/>
      </w:pPr>
      <w:r>
        <w:rPr>
          <w:rFonts w:ascii="Arial" w:cs="Arial" w:eastAsia="Arial" w:hAnsi="Arial"/>
          <w:b/>
          <w:bCs/>
          <w:color w:val="2E6EAF"/>
          <w:sz w:val="24"/>
          <w:szCs w:val="24"/>
        </w:rPr>
        <w:t xml:space="preserve">C.4 Final Profit/Loss Calculation</w:t>
      </w:r>
    </w:p>
    <w:p>
      <w:pPr>
        <w:pStyle w:val="Heading3"/>
        <w:spacing w:before="180" w:after="80"/>
      </w:pPr>
      <w:r>
        <w:rPr>
          <w:rFonts w:ascii="Arial" w:cs="Arial" w:eastAsia="Arial" w:hAnsi="Arial"/>
          <w:b/>
          <w:bCs/>
          <w:color w:val="444444"/>
          <w:sz w:val="22"/>
          <w:szCs w:val="22"/>
        </w:rPr>
        <w:t xml:space="preserve">For Feb 2026 Futures</w:t>
      </w:r>
    </w:p>
    <w:p>
      <w:pPr>
        <w:spacing w:before="80" w:after="80" w:line="320"/>
        <w:jc w:val="left"/>
      </w:pPr>
      <w:r>
        <w:rPr>
          <w:rFonts w:ascii="Arial" w:cs="Arial" w:eastAsia="Arial" w:hAnsi="Arial"/>
          <w:b w:val="false"/>
          <w:bCs w:val="false"/>
          <w:i w:val="false"/>
          <w:iCs w:val="false"/>
          <w:color w:val="000000"/>
          <w:sz w:val="20"/>
          <w:szCs w:val="20"/>
        </w:rPr>
        <w:t xml:space="preserve">The gross P&amp;L on the futures position equals the sum of all daily MTM cash flows (equivalent to entry price minus exit price times position size). From this, the total interest accrued on any borrowed funds is deducted to arrive at the net P&amp;L.</w:t>
      </w:r>
    </w:p>
    <w:p>
      <w:pPr>
        <w:spacing w:before="40" w:after="40" w:line="32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EAF" w:sz="12"/>
              <w:bottom w:val="single" w:color="CCCCCC" w:sz="4"/>
              <w:right w:val="single" w:color="CCCCCC" w:sz="4"/>
            </w:tcBorders>
            <w:shd w:fill="D6E4F7" w:val="clear"/>
            <w:tcMar>
              <w:top w:type="dxa" w:w="100"/>
              <w:left w:type="dxa" w:w="180"/>
              <w:bottom w:type="dxa" w:w="100"/>
              <w:right w:type="dxa" w:w="120"/>
            </w:tcMar>
          </w:tcPr>
          <w:p>
            <w:r>
              <w:rPr>
                <w:rFonts w:ascii="Arial" w:cs="Arial" w:eastAsia="Arial" w:hAnsi="Arial"/>
                <w:color w:val="1B3A6B"/>
                <w:sz w:val="18"/>
                <w:szCs w:val="18"/>
              </w:rPr>
              <w:t xml:space="preserve">Net P&amp;L (Futures) = (Exit Price – Entry Price) × 600 × Lots  −  Total Borrow Interest Paid</w:t>
            </w:r>
          </w:p>
        </w:tc>
      </w:tr>
    </w:tbl>
    <w:p>
      <w:pPr>
        <w:spacing w:before="40" w:after="40" w:line="320"/>
        <w:jc w:val="left"/>
      </w:pPr>
      <w:r>
        <w:rPr>
          <w:rFonts w:ascii="Arial" w:cs="Arial" w:eastAsia="Arial" w:hAnsi="Arial"/>
          <w:b w:val="false"/>
          <w:bCs w:val="false"/>
          <w:i w:val="false"/>
          <w:iCs w:val="false"/>
          <w:color w:val="000000"/>
          <w:sz w:val="20"/>
          <w:szCs w:val="20"/>
        </w:rPr>
        <w:t xml:space="preserve"/>
      </w:r>
    </w:p>
    <w:p>
      <w:pPr>
        <w:pStyle w:val="Heading3"/>
        <w:spacing w:before="180" w:after="80"/>
      </w:pPr>
      <w:r>
        <w:rPr>
          <w:rFonts w:ascii="Arial" w:cs="Arial" w:eastAsia="Arial" w:hAnsi="Arial"/>
          <w:b/>
          <w:bCs/>
          <w:color w:val="444444"/>
          <w:sz w:val="22"/>
          <w:szCs w:val="22"/>
        </w:rPr>
        <w:t xml:space="preserve">For Mar 2026 Futures</w:t>
      </w:r>
    </w:p>
    <w:p>
      <w:pPr>
        <w:spacing w:before="80" w:after="80" w:line="320"/>
        <w:jc w:val="left"/>
      </w:pPr>
      <w:r>
        <w:rPr>
          <w:rFonts w:ascii="Arial" w:cs="Arial" w:eastAsia="Arial" w:hAnsi="Arial"/>
          <w:b w:val="false"/>
          <w:bCs w:val="false"/>
          <w:i w:val="false"/>
          <w:iCs w:val="false"/>
          <w:color w:val="000000"/>
          <w:sz w:val="20"/>
          <w:szCs w:val="20"/>
        </w:rPr>
        <w:t xml:space="preserve">The same methodology applies. The Mar 2026 futures position benefits from a longer roll-out; however, daily MTM fluctuations are typically larger for the more distant contract due to slightly greater volatility. This may result in more frequent or larger margin calls compared to the Feb 2026 contract over the same January 2026 period.</w:t>
      </w:r>
    </w:p>
    <w:p>
      <w:pPr>
        <w:spacing w:before="40" w:after="40" w:line="320"/>
        <w:jc w:val="left"/>
      </w:pPr>
      <w:r>
        <w:rPr>
          <w:rFonts w:ascii="Arial" w:cs="Arial" w:eastAsia="Arial" w:hAnsi="Arial"/>
          <w:b w:val="false"/>
          <w:bCs w:val="false"/>
          <w:i w:val="false"/>
          <w:iCs w:val="false"/>
          <w:color w:val="000000"/>
          <w:sz w:val="20"/>
          <w:szCs w:val="20"/>
        </w:rPr>
        <w:t xml:space="preserve"/>
      </w:r>
    </w:p>
    <w:p>
      <w:pPr>
        <w:pStyle w:val="Heading2"/>
        <w:spacing w:before="240" w:after="120"/>
      </w:pPr>
      <w:r>
        <w:rPr>
          <w:rFonts w:ascii="Arial" w:cs="Arial" w:eastAsia="Arial" w:hAnsi="Arial"/>
          <w:b/>
          <w:bCs/>
          <w:color w:val="2E6EAF"/>
          <w:sz w:val="24"/>
          <w:szCs w:val="24"/>
        </w:rPr>
        <w:t xml:space="preserve">C.5 Forward Contract Comparison</w:t>
      </w:r>
    </w:p>
    <w:p>
      <w:pPr>
        <w:pStyle w:val="Heading3"/>
        <w:spacing w:before="180" w:after="80"/>
      </w:pPr>
      <w:r>
        <w:rPr>
          <w:rFonts w:ascii="Arial" w:cs="Arial" w:eastAsia="Arial" w:hAnsi="Arial"/>
          <w:b/>
          <w:bCs/>
          <w:color w:val="444444"/>
          <w:sz w:val="22"/>
          <w:szCs w:val="22"/>
        </w:rPr>
        <w:t xml:space="preserve">How a Forward Differs from a Futures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999999" w:sz="4"/>
              <w:left w:val="single" w:color="999999" w:sz="4"/>
              <w:bottom w:val="single" w:color="999999" w:sz="4"/>
              <w:right w:val="single" w:color="999999"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3180"/>
            <w:tcBorders>
              <w:top w:val="single" w:color="999999" w:sz="4"/>
              <w:left w:val="single" w:color="999999" w:sz="4"/>
              <w:bottom w:val="single" w:color="999999" w:sz="4"/>
              <w:right w:val="single" w:color="999999"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Futures Contract</w:t>
            </w:r>
          </w:p>
        </w:tc>
        <w:tc>
          <w:tcPr>
            <w:tcW w:type="dxa" w:w="3180"/>
            <w:tcBorders>
              <w:top w:val="single" w:color="999999" w:sz="4"/>
              <w:left w:val="single" w:color="999999" w:sz="4"/>
              <w:bottom w:val="single" w:color="999999" w:sz="4"/>
              <w:right w:val="single" w:color="999999" w:sz="4"/>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Forward Contract</w:t>
            </w:r>
          </w:p>
        </w:tc>
      </w:tr>
      <w:tr>
        <w:tc>
          <w:tcPr>
            <w:tcW w:type="dxa" w:w="30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Market</w:t>
            </w:r>
          </w:p>
        </w:tc>
        <w:tc>
          <w:tcPr>
            <w:tcW w:type="dxa" w:w="318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Exchange-traded (NSE)</w:t>
            </w:r>
          </w:p>
        </w:tc>
        <w:tc>
          <w:tcPr>
            <w:tcW w:type="dxa" w:w="318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OTC (bilateral agreement)</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Standardisation</w:t>
            </w:r>
          </w:p>
        </w:tc>
        <w:tc>
          <w:tcPr>
            <w:tcW w:type="dxa" w:w="3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Standardised lot size, expiry</w:t>
            </w:r>
          </w:p>
        </w:tc>
        <w:tc>
          <w:tcPr>
            <w:tcW w:type="dxa" w:w="3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Fully customisable</w:t>
            </w:r>
          </w:p>
        </w:tc>
      </w:tr>
      <w:tr>
        <w:tc>
          <w:tcPr>
            <w:tcW w:type="dxa" w:w="30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Mark-to-Market</w:t>
            </w:r>
          </w:p>
        </w:tc>
        <w:tc>
          <w:tcPr>
            <w:tcW w:type="dxa" w:w="318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Daily — generates cash flows</w:t>
            </w:r>
          </w:p>
        </w:tc>
        <w:tc>
          <w:tcPr>
            <w:tcW w:type="dxa" w:w="318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No daily settlement</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Margin</w:t>
            </w:r>
          </w:p>
        </w:tc>
        <w:tc>
          <w:tcPr>
            <w:tcW w:type="dxa" w:w="3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Initial + maintenance margin required</w:t>
            </w:r>
          </w:p>
        </w:tc>
        <w:tc>
          <w:tcPr>
            <w:tcW w:type="dxa" w:w="3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No margin calls (credit line)</w:t>
            </w:r>
          </w:p>
        </w:tc>
      </w:tr>
      <w:tr>
        <w:tc>
          <w:tcPr>
            <w:tcW w:type="dxa" w:w="30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Counterparty Risk</w:t>
            </w:r>
          </w:p>
        </w:tc>
        <w:tc>
          <w:tcPr>
            <w:tcW w:type="dxa" w:w="318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Virtually zero (exchange CCPs)</w:t>
            </w:r>
          </w:p>
        </w:tc>
        <w:tc>
          <w:tcPr>
            <w:tcW w:type="dxa" w:w="318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Significant (counterparty default risk)</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Liquidity</w:t>
            </w:r>
          </w:p>
        </w:tc>
        <w:tc>
          <w:tcPr>
            <w:tcW w:type="dxa" w:w="3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High (NSE secondary market)</w:t>
            </w:r>
          </w:p>
        </w:tc>
        <w:tc>
          <w:tcPr>
            <w:tcW w:type="dxa" w:w="3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Low (cannot easily exit early)</w:t>
            </w:r>
          </w:p>
        </w:tc>
      </w:tr>
      <w:tr>
        <w:tc>
          <w:tcPr>
            <w:tcW w:type="dxa" w:w="300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Settlement</w:t>
            </w:r>
          </w:p>
        </w:tc>
        <w:tc>
          <w:tcPr>
            <w:tcW w:type="dxa" w:w="318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Daily MTM + final settlement</w:t>
            </w:r>
          </w:p>
        </w:tc>
        <w:tc>
          <w:tcPr>
            <w:tcW w:type="dxa" w:w="3180"/>
            <w:tcBorders>
              <w:top w:val="single" w:color="CCCCCC" w:sz="4"/>
              <w:left w:val="single" w:color="CCCCCC" w:sz="4"/>
              <w:bottom w:val="single" w:color="CCCCCC" w:sz="4"/>
              <w:right w:val="single" w:color="CCCCCC" w:sz="4"/>
            </w:tcBorders>
            <w:shd w:fill="FAFAFA"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Single cash/physical settlement at expiry</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Arial" w:cs="Arial" w:eastAsia="Arial" w:hAnsi="Arial"/>
                <w:b/>
                <w:bCs/>
                <w:color w:val="1B3A6B"/>
                <w:sz w:val="18"/>
                <w:szCs w:val="18"/>
              </w:rPr>
              <w:t xml:space="preserve">Financing Cost</w:t>
            </w:r>
          </w:p>
        </w:tc>
        <w:tc>
          <w:tcPr>
            <w:tcW w:type="dxa" w:w="3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Margin calls may require borrowing</w:t>
            </w:r>
          </w:p>
        </w:tc>
        <w:tc>
          <w:tcPr>
            <w:tcW w:type="dxa" w:w="31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11111"/>
                <w:sz w:val="18"/>
                <w:szCs w:val="18"/>
              </w:rPr>
              <w:t xml:space="preserve">No cash outflows until settlement</w:t>
            </w:r>
          </w:p>
        </w:tc>
      </w:tr>
    </w:tbl>
    <w:p>
      <w:pPr>
        <w:spacing w:before="40" w:after="40" w:line="320"/>
        <w:jc w:val="left"/>
      </w:pPr>
      <w:r>
        <w:rPr>
          <w:rFonts w:ascii="Arial" w:cs="Arial" w:eastAsia="Arial" w:hAnsi="Arial"/>
          <w:b w:val="false"/>
          <w:bCs w:val="false"/>
          <w:i w:val="false"/>
          <w:iCs w:val="false"/>
          <w:color w:val="000000"/>
          <w:sz w:val="20"/>
          <w:szCs w:val="20"/>
        </w:rPr>
        <w:t xml:space="preserve"/>
      </w:r>
    </w:p>
    <w:p>
      <w:pPr>
        <w:pStyle w:val="Heading3"/>
        <w:spacing w:before="180" w:after="80"/>
      </w:pPr>
      <w:r>
        <w:rPr>
          <w:rFonts w:ascii="Arial" w:cs="Arial" w:eastAsia="Arial" w:hAnsi="Arial"/>
          <w:b/>
          <w:bCs/>
          <w:color w:val="444444"/>
          <w:sz w:val="22"/>
          <w:szCs w:val="22"/>
        </w:rPr>
        <w:t xml:space="preserve">P&amp;L Difference</w:t>
      </w:r>
    </w:p>
    <w:p>
      <w:pPr>
        <w:spacing w:before="80" w:after="80" w:line="320"/>
        <w:jc w:val="left"/>
      </w:pPr>
      <w:r>
        <w:rPr>
          <w:rFonts w:ascii="Arial" w:cs="Arial" w:eastAsia="Arial" w:hAnsi="Arial"/>
          <w:b w:val="false"/>
          <w:bCs w:val="false"/>
          <w:i w:val="false"/>
          <w:iCs w:val="false"/>
          <w:color w:val="000000"/>
          <w:sz w:val="20"/>
          <w:szCs w:val="20"/>
        </w:rPr>
        <w:t xml:space="preserve">In theory, for a given entry and exit price, the gross P&amp;L of a forward and futures position is identical (both capture the full price move). However, in practice the net P&amp;L differs because:</w:t>
      </w:r>
    </w:p>
    <w:p>
      <w:pPr>
        <w:spacing w:before="40" w:after="40" w:line="320"/>
        <w:jc w:val="left"/>
      </w:pPr>
      <w:r>
        <w:rPr>
          <w:rFonts w:ascii="Arial" w:cs="Arial" w:eastAsia="Arial" w:hAnsi="Arial"/>
          <w:b w:val="false"/>
          <w:bCs w:val="false"/>
          <w:i w:val="false"/>
          <w:iCs w:val="false"/>
          <w:color w:val="000000"/>
          <w:sz w:val="20"/>
          <w:szCs w:val="20"/>
        </w:rPr>
        <w:t xml:space="preserve"/>
      </w:r>
    </w:p>
    <w:p>
      <w:pPr>
        <w:pStyle w:val="ListParagraph"/>
        <w:numPr>
          <w:ilvl w:val="0"/>
          <w:numId w:val="2"/>
        </w:numPr>
        <w:spacing w:before="60" w:after="60" w:line="300"/>
      </w:pPr>
      <w:r>
        <w:rPr>
          <w:rFonts w:ascii="Arial" w:cs="Arial" w:eastAsia="Arial" w:hAnsi="Arial"/>
          <w:color w:val="222222"/>
          <w:sz w:val="19"/>
          <w:szCs w:val="19"/>
        </w:rPr>
        <w:t xml:space="preserve">Futures: Daily MTM requires maintaining margin. If margin calls occur and funds are borrowed, the interest cost reduces net P&amp;L. Conversely, if the position is profitable early, the excess margin earns a return (though this is typically ignored in simplified models).</w:t>
      </w:r>
    </w:p>
    <w:p>
      <w:pPr>
        <w:pStyle w:val="ListParagraph"/>
        <w:numPr>
          <w:ilvl w:val="0"/>
          <w:numId w:val="2"/>
        </w:numPr>
        <w:spacing w:before="60" w:after="60" w:line="300"/>
      </w:pPr>
      <w:r>
        <w:rPr>
          <w:rFonts w:ascii="Arial" w:cs="Arial" w:eastAsia="Arial" w:hAnsi="Arial"/>
          <w:color w:val="222222"/>
          <w:sz w:val="19"/>
          <w:szCs w:val="19"/>
        </w:rPr>
        <w:t xml:space="preserve">Forward: No cash outflows until expiry. No borrowing costs. The full gross P&amp;L is realised at settlement.</w:t>
      </w:r>
    </w:p>
    <w:p>
      <w:pPr>
        <w:pStyle w:val="ListParagraph"/>
        <w:numPr>
          <w:ilvl w:val="0"/>
          <w:numId w:val="2"/>
        </w:numPr>
        <w:spacing w:before="60" w:after="60" w:line="300"/>
      </w:pPr>
      <w:r>
        <w:rPr>
          <w:rFonts w:ascii="Arial" w:cs="Arial" w:eastAsia="Arial" w:hAnsi="Arial"/>
          <w:color w:val="222222"/>
          <w:sz w:val="19"/>
          <w:szCs w:val="19"/>
        </w:rPr>
        <w:t xml:space="preserve">Convexity Adjustment: For positions in assets correlated with interest rates, a convexity adjustment further separates futures and forward prices. For equity futures, this effect is negligible.</w:t>
      </w:r>
    </w:p>
    <w:p>
      <w:pPr>
        <w:spacing w:before="40" w:after="40" w:line="32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thick" w:color="2E6EAF" w:sz="12"/>
              <w:bottom w:val="single" w:color="CCCCCC" w:sz="4"/>
              <w:right w:val="single" w:color="CCCCCC" w:sz="4"/>
            </w:tcBorders>
            <w:shd w:fill="FFF9E6" w:val="clear"/>
            <w:tcMar>
              <w:top w:type="dxa" w:w="100"/>
              <w:left w:type="dxa" w:w="180"/>
              <w:bottom w:type="dxa" w:w="100"/>
              <w:right w:type="dxa" w:w="120"/>
            </w:tcMar>
          </w:tcPr>
          <w:p>
            <w:r>
              <w:rPr>
                <w:rFonts w:ascii="Arial" w:cs="Arial" w:eastAsia="Arial" w:hAnsi="Arial"/>
                <w:color w:val="1B3A6B"/>
                <w:sz w:val="18"/>
                <w:szCs w:val="18"/>
              </w:rPr>
              <w:t xml:space="preserve">Key Finding: The difference between Futures Net P&amp;L and Forward P&amp;L equals approximately the total borrow interest incurred during the month — typically a small but non-zero amount depending on price path and margin call frequency.</w:t>
            </w:r>
          </w:p>
        </w:tc>
      </w:tr>
    </w:tbl>
    <w:p>
      <w:pPr>
        <w:spacing w:before="40" w:after="40" w:line="320"/>
        <w:jc w:val="left"/>
      </w:pPr>
      <w:r>
        <w:rPr>
          <w:rFonts w:ascii="Arial" w:cs="Arial" w:eastAsia="Arial" w:hAnsi="Arial"/>
          <w:b w:val="false"/>
          <w:bCs w:val="false"/>
          <w:i w:val="false"/>
          <w:iCs w:val="false"/>
          <w:color w:val="000000"/>
          <w:sz w:val="20"/>
          <w:szCs w:val="20"/>
        </w:rPr>
        <w:t xml:space="preserve"/>
      </w:r>
    </w:p>
    <w:p>
      <w:r>
        <w:br w:type="page"/>
      </w:r>
    </w:p>
    <w:p>
      <w:pPr>
        <w:pStyle w:val="Heading1"/>
        <w:spacing w:before="320" w:after="160"/>
      </w:pPr>
      <w:r>
        <w:rPr>
          <w:rFonts w:ascii="Arial" w:cs="Arial" w:eastAsia="Arial" w:hAnsi="Arial"/>
          <w:b/>
          <w:bCs/>
          <w:color w:val="1B3A6B"/>
          <w:sz w:val="28"/>
          <w:szCs w:val="28"/>
        </w:rPr>
        <w:t xml:space="preserve">SECTION 4: Complete Assumptions &amp; Methodology</w:t>
      </w:r>
    </w:p>
    <w:p>
      <w:pPr>
        <w:pBdr>
          <w:bottom w:val="single" w:color="1B3A6B" w:sz="6"/>
        </w:pBdr>
        <w:spacing w:before="120" w:after="120"/>
      </w:pPr>
    </w:p>
    <w:p>
      <w:pPr>
        <w:spacing w:before="40" w:after="40" w:line="320"/>
        <w:jc w:val="left"/>
      </w:pPr>
      <w:r>
        <w:rPr>
          <w:rFonts w:ascii="Arial" w:cs="Arial" w:eastAsia="Arial" w:hAnsi="Arial"/>
          <w:b w:val="false"/>
          <w:bCs w:val="false"/>
          <w:i w:val="false"/>
          <w:iCs w:val="false"/>
          <w:color w:val="000000"/>
          <w:sz w:val="20"/>
          <w:szCs w:val="20"/>
        </w:rPr>
        <w:t xml:space="preserve"/>
      </w:r>
    </w:p>
    <w:p>
      <w:pPr>
        <w:pStyle w:val="Heading2"/>
        <w:spacing w:before="240" w:after="120"/>
      </w:pPr>
      <w:r>
        <w:rPr>
          <w:rFonts w:ascii="Arial" w:cs="Arial" w:eastAsia="Arial" w:hAnsi="Arial"/>
          <w:b/>
          <w:bCs/>
          <w:color w:val="2E6EAF"/>
          <w:sz w:val="24"/>
          <w:szCs w:val="24"/>
        </w:rPr>
        <w:t xml:space="preserve">4.1 Data Assumptions</w:t>
      </w:r>
    </w:p>
    <w:p>
      <w:pPr>
        <w:pStyle w:val="ListParagraph"/>
        <w:numPr>
          <w:ilvl w:val="0"/>
          <w:numId w:val="2"/>
        </w:numPr>
        <w:spacing w:before="60" w:after="60" w:line="300"/>
      </w:pPr>
      <w:r>
        <w:rPr>
          <w:rFonts w:ascii="Arial" w:cs="Arial" w:eastAsia="Arial" w:hAnsi="Arial"/>
          <w:color w:val="222222"/>
          <w:sz w:val="19"/>
          <w:szCs w:val="19"/>
        </w:rPr>
        <w:t xml:space="preserve">All analysis uses adjusted closing prices only; open, high, low, and volume data are excluded.</w:t>
      </w:r>
    </w:p>
    <w:p>
      <w:pPr>
        <w:pStyle w:val="ListParagraph"/>
        <w:numPr>
          <w:ilvl w:val="0"/>
          <w:numId w:val="2"/>
        </w:numPr>
        <w:spacing w:before="60" w:after="60" w:line="300"/>
      </w:pPr>
      <w:r>
        <w:rPr>
          <w:rFonts w:ascii="Arial" w:cs="Arial" w:eastAsia="Arial" w:hAnsi="Arial"/>
          <w:color w:val="222222"/>
          <w:sz w:val="19"/>
          <w:szCs w:val="19"/>
        </w:rPr>
        <w:t xml:space="preserve">The data period is defined as 4 March 2025 to 4 March 2026, inclusive.</w:t>
      </w:r>
    </w:p>
    <w:p>
      <w:pPr>
        <w:pStyle w:val="ListParagraph"/>
        <w:numPr>
          <w:ilvl w:val="0"/>
          <w:numId w:val="2"/>
        </w:numPr>
        <w:spacing w:before="60" w:after="60" w:line="300"/>
      </w:pPr>
      <w:r>
        <w:rPr>
          <w:rFonts w:ascii="Arial" w:cs="Arial" w:eastAsia="Arial" w:hAnsi="Arial"/>
          <w:color w:val="222222"/>
          <w:sz w:val="19"/>
          <w:szCs w:val="19"/>
        </w:rPr>
        <w:t xml:space="preserve">Days without NSE trading (weekends, public holidays) are excluded; approximately 252 trading days remain.</w:t>
      </w:r>
    </w:p>
    <w:p>
      <w:pPr>
        <w:pStyle w:val="ListParagraph"/>
        <w:numPr>
          <w:ilvl w:val="0"/>
          <w:numId w:val="2"/>
        </w:numPr>
        <w:spacing w:before="60" w:after="60" w:line="300"/>
      </w:pPr>
      <w:r>
        <w:rPr>
          <w:rFonts w:ascii="Arial" w:cs="Arial" w:eastAsia="Arial" w:hAnsi="Arial"/>
          <w:color w:val="222222"/>
          <w:sz w:val="19"/>
          <w:szCs w:val="19"/>
        </w:rPr>
        <w:t xml:space="preserve">No corporate actions other than the ₹1.50 interim dividend (ex-date 15 Jan 2026) are assumed for JSWSTEEL.</w:t>
      </w:r>
    </w:p>
    <w:p>
      <w:pPr>
        <w:pStyle w:val="ListParagraph"/>
        <w:numPr>
          <w:ilvl w:val="0"/>
          <w:numId w:val="2"/>
        </w:numPr>
        <w:spacing w:before="60" w:after="60" w:line="300"/>
      </w:pPr>
      <w:r>
        <w:rPr>
          <w:rFonts w:ascii="Arial" w:cs="Arial" w:eastAsia="Arial" w:hAnsi="Arial"/>
          <w:color w:val="222222"/>
          <w:sz w:val="19"/>
          <w:szCs w:val="19"/>
        </w:rPr>
        <w:t xml:space="preserve">RATEGAIN is assumed to have no dividends during the period (common for growth-stage SaaS firms).</w:t>
      </w:r>
    </w:p>
    <w:p>
      <w:pPr>
        <w:spacing w:before="40" w:after="40" w:line="320"/>
        <w:jc w:val="left"/>
      </w:pPr>
      <w:r>
        <w:rPr>
          <w:rFonts w:ascii="Arial" w:cs="Arial" w:eastAsia="Arial" w:hAnsi="Arial"/>
          <w:b w:val="false"/>
          <w:bCs w:val="false"/>
          <w:i w:val="false"/>
          <w:iCs w:val="false"/>
          <w:color w:val="000000"/>
          <w:sz w:val="20"/>
          <w:szCs w:val="20"/>
        </w:rPr>
        <w:t xml:space="preserve"/>
      </w:r>
    </w:p>
    <w:p>
      <w:pPr>
        <w:pStyle w:val="Heading2"/>
        <w:spacing w:before="240" w:after="120"/>
      </w:pPr>
      <w:r>
        <w:rPr>
          <w:rFonts w:ascii="Arial" w:cs="Arial" w:eastAsia="Arial" w:hAnsi="Arial"/>
          <w:b/>
          <w:bCs/>
          <w:color w:val="2E6EAF"/>
          <w:sz w:val="24"/>
          <w:szCs w:val="24"/>
        </w:rPr>
        <w:t xml:space="preserve">4.2 Futures Pricing Assumptions</w:t>
      </w:r>
    </w:p>
    <w:p>
      <w:pPr>
        <w:pStyle w:val="ListParagraph"/>
        <w:numPr>
          <w:ilvl w:val="0"/>
          <w:numId w:val="2"/>
        </w:numPr>
        <w:spacing w:before="60" w:after="60" w:line="300"/>
      </w:pPr>
      <w:r>
        <w:rPr>
          <w:rFonts w:ascii="Arial" w:cs="Arial" w:eastAsia="Arial" w:hAnsi="Arial"/>
          <w:color w:val="222222"/>
          <w:sz w:val="19"/>
          <w:szCs w:val="19"/>
        </w:rPr>
        <w:t xml:space="preserve">The cost-of-carry model is applied in its continuous-compounding form.</w:t>
      </w:r>
    </w:p>
    <w:p>
      <w:pPr>
        <w:pStyle w:val="ListParagraph"/>
        <w:numPr>
          <w:ilvl w:val="0"/>
          <w:numId w:val="2"/>
        </w:numPr>
        <w:spacing w:before="60" w:after="60" w:line="300"/>
      </w:pPr>
      <w:r>
        <w:rPr>
          <w:rFonts w:ascii="Arial" w:cs="Arial" w:eastAsia="Arial" w:hAnsi="Arial"/>
          <w:color w:val="222222"/>
          <w:sz w:val="19"/>
          <w:szCs w:val="19"/>
        </w:rPr>
        <w:t xml:space="preserve">Risk-free rates are sourced from RBI published T-Bill auction results and G-Sec yields as of early January 2026. Intermediate maturities are linearly interpolated.</w:t>
      </w:r>
    </w:p>
    <w:p>
      <w:pPr>
        <w:pStyle w:val="ListParagraph"/>
        <w:numPr>
          <w:ilvl w:val="0"/>
          <w:numId w:val="2"/>
        </w:numPr>
        <w:spacing w:before="60" w:after="60" w:line="300"/>
      </w:pPr>
      <w:r>
        <w:rPr>
          <w:rFonts w:ascii="Arial" w:cs="Arial" w:eastAsia="Arial" w:hAnsi="Arial"/>
          <w:color w:val="222222"/>
          <w:sz w:val="19"/>
          <w:szCs w:val="19"/>
        </w:rPr>
        <w:t xml:space="preserve">Expiry dates follow NSE conventions: the last Thursday of the expiry month (or the previous Wednesday if Thursday is a holiday).</w:t>
      </w:r>
    </w:p>
    <w:p>
      <w:pPr>
        <w:pStyle w:val="ListParagraph"/>
        <w:numPr>
          <w:ilvl w:val="0"/>
          <w:numId w:val="2"/>
        </w:numPr>
        <w:spacing w:before="60" w:after="60" w:line="300"/>
      </w:pPr>
      <w:r>
        <w:rPr>
          <w:rFonts w:ascii="Arial" w:cs="Arial" w:eastAsia="Arial" w:hAnsi="Arial"/>
          <w:color w:val="222222"/>
          <w:sz w:val="19"/>
          <w:szCs w:val="19"/>
        </w:rPr>
        <w:t xml:space="preserve">Transaction costs of 0.05% of spot are incorporated as a carry cost, representing the combined effect of STT (0.01%), brokerage (~0.02%), exchange turnover charges (~0.01%), and SEBI levy (~0.01%).</w:t>
      </w:r>
    </w:p>
    <w:p>
      <w:pPr>
        <w:pStyle w:val="ListParagraph"/>
        <w:numPr>
          <w:ilvl w:val="0"/>
          <w:numId w:val="2"/>
        </w:numPr>
        <w:spacing w:before="60" w:after="60" w:line="300"/>
      </w:pPr>
      <w:r>
        <w:rPr>
          <w:rFonts w:ascii="Arial" w:cs="Arial" w:eastAsia="Arial" w:hAnsi="Arial"/>
          <w:color w:val="222222"/>
          <w:sz w:val="19"/>
          <w:szCs w:val="19"/>
        </w:rPr>
        <w:t xml:space="preserve">Convenience yield is set to zero for equity futures — this component applies to physical commodities with consumption value and is not applicable to equities.</w:t>
      </w:r>
    </w:p>
    <w:p>
      <w:pPr>
        <w:pStyle w:val="ListParagraph"/>
        <w:numPr>
          <w:ilvl w:val="0"/>
          <w:numId w:val="2"/>
        </w:numPr>
        <w:spacing w:before="60" w:after="60" w:line="300"/>
      </w:pPr>
      <w:r>
        <w:rPr>
          <w:rFonts w:ascii="Arial" w:cs="Arial" w:eastAsia="Arial" w:hAnsi="Arial"/>
          <w:color w:val="222222"/>
          <w:sz w:val="19"/>
          <w:szCs w:val="19"/>
        </w:rPr>
        <w:t xml:space="preserve">The futures price is computed fresh for each trading day using the closing spot price of that day.</w:t>
      </w:r>
    </w:p>
    <w:p>
      <w:pPr>
        <w:spacing w:before="40" w:after="40" w:line="320"/>
        <w:jc w:val="left"/>
      </w:pPr>
      <w:r>
        <w:rPr>
          <w:rFonts w:ascii="Arial" w:cs="Arial" w:eastAsia="Arial" w:hAnsi="Arial"/>
          <w:b w:val="false"/>
          <w:bCs w:val="false"/>
          <w:i w:val="false"/>
          <w:iCs w:val="false"/>
          <w:color w:val="000000"/>
          <w:sz w:val="20"/>
          <w:szCs w:val="20"/>
        </w:rPr>
        <w:t xml:space="preserve"/>
      </w:r>
    </w:p>
    <w:p>
      <w:pPr>
        <w:pStyle w:val="Heading2"/>
        <w:spacing w:before="240" w:after="120"/>
      </w:pPr>
      <w:r>
        <w:rPr>
          <w:rFonts w:ascii="Arial" w:cs="Arial" w:eastAsia="Arial" w:hAnsi="Arial"/>
          <w:b/>
          <w:bCs/>
          <w:color w:val="2E6EAF"/>
          <w:sz w:val="24"/>
          <w:szCs w:val="24"/>
        </w:rPr>
        <w:t xml:space="preserve">4.3 Margin Account Assumptions</w:t>
      </w:r>
    </w:p>
    <w:p>
      <w:pPr>
        <w:pStyle w:val="ListParagraph"/>
        <w:numPr>
          <w:ilvl w:val="0"/>
          <w:numId w:val="2"/>
        </w:numPr>
        <w:spacing w:before="60" w:after="60" w:line="300"/>
      </w:pPr>
      <w:r>
        <w:rPr>
          <w:rFonts w:ascii="Arial" w:cs="Arial" w:eastAsia="Arial" w:hAnsi="Arial"/>
          <w:color w:val="222222"/>
          <w:sz w:val="19"/>
          <w:szCs w:val="19"/>
        </w:rPr>
        <w:t xml:space="preserve">Initial margin of 30% and maintenance margin of 20% are assumed. Actual NSE SPAN margins may differ — this is a simplification for academic purposes.</w:t>
      </w:r>
    </w:p>
    <w:p>
      <w:pPr>
        <w:pStyle w:val="ListParagraph"/>
        <w:numPr>
          <w:ilvl w:val="0"/>
          <w:numId w:val="2"/>
        </w:numPr>
        <w:spacing w:before="60" w:after="60" w:line="300"/>
      </w:pPr>
      <w:r>
        <w:rPr>
          <w:rFonts w:ascii="Arial" w:cs="Arial" w:eastAsia="Arial" w:hAnsi="Arial"/>
          <w:color w:val="222222"/>
          <w:sz w:val="19"/>
          <w:szCs w:val="19"/>
        </w:rPr>
        <w:t xml:space="preserve">The SBI overnight MCLR rate used is 7.35% p.a. as of January 2026. This is sourced from SBI's published MCLR schedule (sbi.co.in).</w:t>
      </w:r>
    </w:p>
    <w:p>
      <w:pPr>
        <w:pStyle w:val="ListParagraph"/>
        <w:numPr>
          <w:ilvl w:val="0"/>
          <w:numId w:val="2"/>
        </w:numPr>
        <w:spacing w:before="60" w:after="60" w:line="300"/>
      </w:pPr>
      <w:r>
        <w:rPr>
          <w:rFonts w:ascii="Arial" w:cs="Arial" w:eastAsia="Arial" w:hAnsi="Arial"/>
          <w:color w:val="222222"/>
          <w:sz w:val="19"/>
          <w:szCs w:val="19"/>
        </w:rPr>
        <w:t xml:space="preserve">Borrowed amounts accrue daily interest at 9.35% p.a. (MCLR + 2%), compounded daily.</w:t>
      </w:r>
    </w:p>
    <w:p>
      <w:pPr>
        <w:pStyle w:val="ListParagraph"/>
        <w:numPr>
          <w:ilvl w:val="0"/>
          <w:numId w:val="2"/>
        </w:numPr>
        <w:spacing w:before="60" w:after="60" w:line="300"/>
      </w:pPr>
      <w:r>
        <w:rPr>
          <w:rFonts w:ascii="Arial" w:cs="Arial" w:eastAsia="Arial" w:hAnsi="Arial"/>
          <w:color w:val="222222"/>
          <w:sz w:val="19"/>
          <w:szCs w:val="19"/>
        </w:rPr>
        <w:t xml:space="preserve">The entire borrowed amount and accrued interest is repaid at position close on 31 January 2026.</w:t>
      </w:r>
    </w:p>
    <w:p>
      <w:pPr>
        <w:pStyle w:val="ListParagraph"/>
        <w:numPr>
          <w:ilvl w:val="0"/>
          <w:numId w:val="2"/>
        </w:numPr>
        <w:spacing w:before="60" w:after="60" w:line="300"/>
      </w:pPr>
      <w:r>
        <w:rPr>
          <w:rFonts w:ascii="Arial" w:cs="Arial" w:eastAsia="Arial" w:hAnsi="Arial"/>
          <w:color w:val="222222"/>
          <w:sz w:val="19"/>
          <w:szCs w:val="19"/>
        </w:rPr>
        <w:t xml:space="preserve">No transaction costs are applied within the margin account calculation (separate from futures pricing).</w:t>
      </w:r>
    </w:p>
    <w:p>
      <w:pPr>
        <w:pStyle w:val="ListParagraph"/>
        <w:numPr>
          <w:ilvl w:val="0"/>
          <w:numId w:val="2"/>
        </w:numPr>
        <w:spacing w:before="60" w:after="60" w:line="300"/>
      </w:pPr>
      <w:r>
        <w:rPr>
          <w:rFonts w:ascii="Arial" w:cs="Arial" w:eastAsia="Arial" w:hAnsi="Arial"/>
          <w:color w:val="222222"/>
          <w:sz w:val="19"/>
          <w:szCs w:val="19"/>
        </w:rPr>
        <w:t xml:space="preserve">JSWSTEEL lot size is 600 shares as per NSE circular (may be subject to periodic revision by SEBI).</w:t>
      </w:r>
    </w:p>
    <w:p>
      <w:pPr>
        <w:spacing w:before="40" w:after="40" w:line="320"/>
        <w:jc w:val="left"/>
      </w:pPr>
      <w:r>
        <w:rPr>
          <w:rFonts w:ascii="Arial" w:cs="Arial" w:eastAsia="Arial" w:hAnsi="Arial"/>
          <w:b w:val="false"/>
          <w:bCs w:val="false"/>
          <w:i w:val="false"/>
          <w:iCs w:val="false"/>
          <w:color w:val="000000"/>
          <w:sz w:val="20"/>
          <w:szCs w:val="20"/>
        </w:rPr>
        <w:t xml:space="preserve"/>
      </w:r>
    </w:p>
    <w:p>
      <w:pPr>
        <w:pStyle w:val="Heading2"/>
        <w:spacing w:before="240" w:after="120"/>
      </w:pPr>
      <w:r>
        <w:rPr>
          <w:rFonts w:ascii="Arial" w:cs="Arial" w:eastAsia="Arial" w:hAnsi="Arial"/>
          <w:b/>
          <w:bCs/>
          <w:color w:val="2E6EAF"/>
          <w:sz w:val="24"/>
          <w:szCs w:val="24"/>
        </w:rPr>
        <w:t xml:space="preserve">4.4 Comparison Assumptions</w:t>
      </w:r>
    </w:p>
    <w:p>
      <w:pPr>
        <w:pStyle w:val="ListParagraph"/>
        <w:numPr>
          <w:ilvl w:val="0"/>
          <w:numId w:val="2"/>
        </w:numPr>
        <w:spacing w:before="60" w:after="60" w:line="300"/>
      </w:pPr>
      <w:r>
        <w:rPr>
          <w:rFonts w:ascii="Arial" w:cs="Arial" w:eastAsia="Arial" w:hAnsi="Arial"/>
          <w:color w:val="222222"/>
          <w:sz w:val="19"/>
          <w:szCs w:val="19"/>
        </w:rPr>
        <w:t xml:space="preserve">The forward contract price equals the theoretical futures price (ignoring the convexity adjustment, which is negligible for short-dated equity forwards).</w:t>
      </w:r>
    </w:p>
    <w:p>
      <w:pPr>
        <w:pStyle w:val="ListParagraph"/>
        <w:numPr>
          <w:ilvl w:val="0"/>
          <w:numId w:val="2"/>
        </w:numPr>
        <w:spacing w:before="60" w:after="60" w:line="300"/>
      </w:pPr>
      <w:r>
        <w:rPr>
          <w:rFonts w:ascii="Arial" w:cs="Arial" w:eastAsia="Arial" w:hAnsi="Arial"/>
          <w:color w:val="222222"/>
          <w:sz w:val="19"/>
          <w:szCs w:val="19"/>
        </w:rPr>
        <w:t xml:space="preserve">The forward contract is assumed to be OTC with zero counterparty risk for simplicity.</w:t>
      </w:r>
    </w:p>
    <w:p>
      <w:pPr>
        <w:pStyle w:val="ListParagraph"/>
        <w:numPr>
          <w:ilvl w:val="0"/>
          <w:numId w:val="2"/>
        </w:numPr>
        <w:spacing w:before="60" w:after="60" w:line="300"/>
      </w:pPr>
      <w:r>
        <w:rPr>
          <w:rFonts w:ascii="Arial" w:cs="Arial" w:eastAsia="Arial" w:hAnsi="Arial"/>
          <w:color w:val="222222"/>
          <w:sz w:val="19"/>
          <w:szCs w:val="19"/>
        </w:rPr>
        <w:t xml:space="preserve">The forward P&amp;L = (Exit Price – Entry Price) × 600 × Lots, with no intermediate cash flows.</w:t>
      </w:r>
    </w:p>
    <w:p>
      <w:pPr>
        <w:spacing w:before="40" w:after="40" w:line="320"/>
        <w:jc w:val="left"/>
      </w:pPr>
      <w:r>
        <w:rPr>
          <w:rFonts w:ascii="Arial" w:cs="Arial" w:eastAsia="Arial" w:hAnsi="Arial"/>
          <w:b w:val="false"/>
          <w:bCs w:val="false"/>
          <w:i w:val="false"/>
          <w:iCs w:val="false"/>
          <w:color w:val="000000"/>
          <w:sz w:val="20"/>
          <w:szCs w:val="20"/>
        </w:rPr>
        <w:t xml:space="preserve"/>
      </w:r>
    </w:p>
    <w:p>
      <w:r>
        <w:br w:type="page"/>
      </w:r>
    </w:p>
    <w:p>
      <w:pPr>
        <w:pStyle w:val="Heading1"/>
        <w:spacing w:before="320" w:after="160"/>
      </w:pPr>
      <w:r>
        <w:rPr>
          <w:rFonts w:ascii="Arial" w:cs="Arial" w:eastAsia="Arial" w:hAnsi="Arial"/>
          <w:b/>
          <w:bCs/>
          <w:color w:val="1B3A6B"/>
          <w:sz w:val="28"/>
          <w:szCs w:val="28"/>
        </w:rPr>
        <w:t xml:space="preserve">References</w:t>
      </w:r>
    </w:p>
    <w:p>
      <w:pPr>
        <w:pBdr>
          <w:bottom w:val="single" w:color="1B3A6B" w:sz="6"/>
        </w:pBdr>
        <w:spacing w:before="120" w:after="120"/>
      </w:pPr>
    </w:p>
    <w:p>
      <w:pPr>
        <w:pStyle w:val="ListParagraph"/>
        <w:numPr>
          <w:ilvl w:val="0"/>
          <w:numId w:val="2"/>
        </w:numPr>
        <w:spacing w:before="60" w:after="60" w:line="300"/>
      </w:pPr>
      <w:r>
        <w:rPr>
          <w:rFonts w:ascii="Arial" w:cs="Arial" w:eastAsia="Arial" w:hAnsi="Arial"/>
          <w:color w:val="222222"/>
          <w:sz w:val="19"/>
          <w:szCs w:val="19"/>
        </w:rPr>
        <w:t xml:space="preserve">Hull, John C. Options, Futures, and Other Derivatives, 10th ed. Pearson, 2018.</w:t>
      </w:r>
    </w:p>
    <w:p>
      <w:pPr>
        <w:pStyle w:val="ListParagraph"/>
        <w:numPr>
          <w:ilvl w:val="0"/>
          <w:numId w:val="2"/>
        </w:numPr>
        <w:spacing w:before="60" w:after="60" w:line="300"/>
      </w:pPr>
      <w:r>
        <w:rPr>
          <w:rFonts w:ascii="Arial" w:cs="Arial" w:eastAsia="Arial" w:hAnsi="Arial"/>
          <w:color w:val="222222"/>
          <w:sz w:val="19"/>
          <w:szCs w:val="19"/>
        </w:rPr>
        <w:t xml:space="preserve">NSE India — Futures &amp; Options Expiry Calendar. nseindia.com</w:t>
      </w:r>
    </w:p>
    <w:p>
      <w:pPr>
        <w:pStyle w:val="ListParagraph"/>
        <w:numPr>
          <w:ilvl w:val="0"/>
          <w:numId w:val="2"/>
        </w:numPr>
        <w:spacing w:before="60" w:after="60" w:line="300"/>
      </w:pPr>
      <w:r>
        <w:rPr>
          <w:rFonts w:ascii="Arial" w:cs="Arial" w:eastAsia="Arial" w:hAnsi="Arial"/>
          <w:color w:val="222222"/>
          <w:sz w:val="19"/>
          <w:szCs w:val="19"/>
        </w:rPr>
        <w:t xml:space="preserve">Reserve Bank of India — Weekly T-Bill Auction Results. rbi.org.in</w:t>
      </w:r>
    </w:p>
    <w:p>
      <w:pPr>
        <w:pStyle w:val="ListParagraph"/>
        <w:numPr>
          <w:ilvl w:val="0"/>
          <w:numId w:val="2"/>
        </w:numPr>
        <w:spacing w:before="60" w:after="60" w:line="300"/>
      </w:pPr>
      <w:r>
        <w:rPr>
          <w:rFonts w:ascii="Arial" w:cs="Arial" w:eastAsia="Arial" w:hAnsi="Arial"/>
          <w:color w:val="222222"/>
          <w:sz w:val="19"/>
          <w:szCs w:val="19"/>
        </w:rPr>
        <w:t xml:space="preserve">State Bank of India — MCLR Rate Schedule, January 2026. sbi.co.in</w:t>
      </w:r>
    </w:p>
    <w:p>
      <w:pPr>
        <w:pStyle w:val="ListParagraph"/>
        <w:numPr>
          <w:ilvl w:val="0"/>
          <w:numId w:val="2"/>
        </w:numPr>
        <w:spacing w:before="60" w:after="60" w:line="300"/>
      </w:pPr>
      <w:r>
        <w:rPr>
          <w:rFonts w:ascii="Arial" w:cs="Arial" w:eastAsia="Arial" w:hAnsi="Arial"/>
          <w:color w:val="222222"/>
          <w:sz w:val="19"/>
          <w:szCs w:val="19"/>
        </w:rPr>
        <w:t xml:space="preserve">SEBI Circular on Margin Framework for Equity Derivatives. sebi.gov.in</w:t>
      </w:r>
    </w:p>
    <w:p>
      <w:pPr>
        <w:pStyle w:val="ListParagraph"/>
        <w:numPr>
          <w:ilvl w:val="0"/>
          <w:numId w:val="2"/>
        </w:numPr>
        <w:spacing w:before="60" w:after="60" w:line="300"/>
      </w:pPr>
      <w:r>
        <w:rPr>
          <w:rFonts w:ascii="Arial" w:cs="Arial" w:eastAsia="Arial" w:hAnsi="Arial"/>
          <w:color w:val="222222"/>
          <w:sz w:val="19"/>
          <w:szCs w:val="19"/>
        </w:rPr>
        <w:t xml:space="preserve">yfinance Python Library Documentation. pypi.org/project/yfinance</w:t>
      </w:r>
    </w:p>
    <w:p>
      <w:pPr>
        <w:pStyle w:val="ListParagraph"/>
        <w:numPr>
          <w:ilvl w:val="0"/>
          <w:numId w:val="2"/>
        </w:numPr>
        <w:spacing w:before="60" w:after="60" w:line="300"/>
      </w:pPr>
      <w:r>
        <w:rPr>
          <w:rFonts w:ascii="Arial" w:cs="Arial" w:eastAsia="Arial" w:hAnsi="Arial"/>
          <w:color w:val="222222"/>
          <w:sz w:val="19"/>
          <w:szCs w:val="19"/>
        </w:rPr>
        <w:t xml:space="preserve">JSW Steel Limited — Investor Relations (Dividend Announcements). jswsteel.in/investors</w:t>
      </w:r>
    </w:p>
    <w:p>
      <w:pPr>
        <w:pStyle w:val="ListParagraph"/>
        <w:numPr>
          <w:ilvl w:val="0"/>
          <w:numId w:val="2"/>
        </w:numPr>
        <w:spacing w:before="60" w:after="60" w:line="300"/>
      </w:pPr>
      <w:r>
        <w:rPr>
          <w:rFonts w:ascii="Arial" w:cs="Arial" w:eastAsia="Arial" w:hAnsi="Arial"/>
          <w:color w:val="222222"/>
          <w:sz w:val="19"/>
          <w:szCs w:val="19"/>
        </w:rPr>
        <w:t xml:space="preserve">RateGain Travel Technologies — NSE Filings. nseindia.com/get-quotes/equity?symbol=RATEGAIN</w:t>
      </w:r>
    </w:p>
    <w:sectPr>
      <w:headerReference w:type="default" r:id="rId6"/>
      <w:footerReference w:type="default" r:id="rId7"/>
      <w:pgSz w:w="12240" w:h="15840"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EAF" w:sz="4"/>
      </w:pBdr>
      <w:jc w:val="center"/>
    </w:pPr>
    <w:r>
      <w:rPr>
        <w:rFonts w:ascii="Arial" w:cs="Arial" w:eastAsia="Arial" w:hAnsi="Arial"/>
        <w:color w:val="888888"/>
        <w:sz w:val="16"/>
        <w:szCs w:val="16"/>
      </w:rPr>
      <w:t xml:space="preserve">Page </w:t>
    </w:r>
    <w:r>
      <w:rPr>
        <w:rFonts w:ascii="Arial" w:cs="Arial" w:eastAsia="Arial" w:hAnsi="Arial"/>
        <w:b/>
        <w:bCs/>
        <w:color w:val="2E6EAF"/>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Pricing Futures &amp; Margin Account Management | Confidential — For Academic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shd w:fill="1B3A6B" w:val="clear"/>
          <w:tcMar>
            <w:top w:type="dxa" w:w="60"/>
            <w:left w:type="dxa" w:w="120"/>
            <w:bottom w:type="dxa" w:w="60"/>
            <w:right w:type="dxa" w:w="0"/>
          </w:tcMar>
        </w:tcPr>
        <w:p>
          <w:pPr>
            <w:jc w:val="left"/>
          </w:pPr>
          <w:r>
            <w:rPr>
              <w:rFonts w:ascii="Arial" w:cs="Arial" w:eastAsia="Arial" w:hAnsi="Arial"/>
              <w:b/>
              <w:bCs/>
              <w:color w:val="FFFFFF"/>
              <w:sz w:val="16"/>
              <w:szCs w:val="16"/>
            </w:rPr>
            <w:t xml:space="preserve">DRM PROJECT — JSWSTEEL &amp; RATEGAIN</w:t>
          </w:r>
        </w:p>
      </w:tc>
      <w:tc>
        <w:tcPr>
          <w:tcW w:type="dxa" w:w="3360"/>
          <w:tcBorders>
            <w:top w:val="none" w:color="FFFFFF" w:sz="0"/>
            <w:left w:val="none" w:color="FFFFFF" w:sz="0"/>
            <w:bottom w:val="none" w:color="FFFFFF" w:sz="0"/>
            <w:right w:val="none" w:color="FFFFFF" w:sz="0"/>
          </w:tcBorders>
          <w:shd w:fill="1B3A6B" w:val="clear"/>
          <w:tcMar>
            <w:top w:type="dxa" w:w="60"/>
            <w:left w:type="dxa" w:w="0"/>
            <w:bottom w:type="dxa" w:w="60"/>
            <w:right w:type="dxa" w:w="120"/>
          </w:tcMar>
        </w:tcPr>
        <w:p>
          <w:pPr>
            <w:jc w:val="right"/>
          </w:pPr>
          <w:r>
            <w:rPr>
              <w:rFonts w:ascii="Arial" w:cs="Arial" w:eastAsia="Arial" w:hAnsi="Arial"/>
              <w:color w:val="C9A84C"/>
              <w:sz w:val="16"/>
              <w:szCs w:val="16"/>
            </w:rPr>
            <w:t xml:space="preserve">BITS Pilani | Sem 2 2025-26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3A6B"/>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6EAF"/>
      <w:sz w:val="24"/>
      <w:szCs w:val="24"/>
    </w:rPr>
  </w:style>
  <w:style w:type="paragraph" w:styleId="Heading3">
    <w:name w:val="Heading 3"/>
    <w:basedOn w:val="Normal"/>
    <w:next w:val="Normal"/>
    <w:qFormat/>
    <w:pPr>
      <w:spacing w:before="180" w:after="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2026-03-01T10:52:21.148Z</dcterms:created>
  <dcterms:modified xsi:type="dcterms:W3CDTF">2026-03-01T10:52:21.174Z</dcterms:modified>
</cp:coreProperties>
</file>

<file path=docProps/custom.xml><?xml version="1.0" encoding="utf-8"?>
<Properties xmlns="http://schemas.openxmlformats.org/officeDocument/2006/custom-properties" xmlns:vt="http://schemas.openxmlformats.org/officeDocument/2006/docPropsVTypes"/>
</file>