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9ED"/>
  <w:body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COMPUTER ORGANISATION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g6nr81xnwjj7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EXPERIMENT 1</w:t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ASSIGNMENT 1 (QUES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Aakash Deep (2015001)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Anannya Uberoi (2015014)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Akarsha Sehwag (2015010)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YS Ramya (2015117)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Sarthak Jindal (2015169)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ezioxomjx0vv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demonstrate the organization of memory of 8051 with a program accessing every type of memory like stack, bit addressable memory, byte addressable memory, and special function registers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txkroqclj9jc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SOFTWARE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Keil Version 5.20.0.39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rmbcgx4xdkv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HARDWARE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ORG 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R0, #20</w:t>
        <w:tab/>
        <w:tab/>
        <w:tab/>
        <w:tab/>
        <w:t xml:space="preserve">;</w:t>
        <w:tab/>
        <w:t xml:space="preserve">Register 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R1, #10</w:t>
        <w:tab/>
        <w:tab/>
        <w:tab/>
        <w:tab/>
        <w:t xml:space="preserve">;</w:t>
        <w:tab/>
        <w:t xml:space="preserve">Byte addressable memory access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PUSH 00</w:t>
        <w:tab/>
        <w:tab/>
        <w:tab/>
        <w:tab/>
        <w:t xml:space="preserve">;</w:t>
        <w:tab/>
        <w:t xml:space="preserve">Stores the decimal value 20 in the stack: stack </w:t>
      </w:r>
    </w:p>
    <w:p w:rsidR="00000000" w:rsidDel="00000000" w:rsidP="00000000" w:rsidRDefault="00000000" w:rsidRPr="00000000">
      <w:pPr>
        <w:ind w:left="432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PUSH 01</w:t>
        <w:tab/>
        <w:tab/>
        <w:tab/>
        <w:t xml:space="preserve">;</w:t>
        <w:tab/>
        <w:t xml:space="preserve">Stores the decimal value 10 in the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POP 03</w:t>
        <w:tab/>
        <w:tab/>
        <w:tab/>
        <w:tab/>
        <w:t xml:space="preserve">;</w:t>
        <w:tab/>
        <w:t xml:space="preserve">Stores the top of the stack (10) to R3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SETB 2AH</w:t>
        <w:tab/>
        <w:tab/>
        <w:tab/>
        <w:t xml:space="preserve">;</w:t>
        <w:tab/>
        <w:t xml:space="preserve">Sets the D2 (2nd bit) of 25th register in the bit-addressable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;</w:t>
        <w:tab/>
        <w:t xml:space="preserve">RAM to 1- Example of bit addressable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CLR P0.1</w:t>
        <w:tab/>
        <w:tab/>
        <w:tab/>
        <w:t xml:space="preserve">;</w:t>
        <w:tab/>
        <w:t xml:space="preserve">Puts 0 at 81 (of the bit addressable port 0)- Example of SFR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DPTR, #4223H</w:t>
        <w:tab/>
        <w:tab/>
        <w:t xml:space="preserve">;</w:t>
        <w:tab/>
        <w:t xml:space="preserve">Moves the hex value 4223 to the DPTR (Which is an SFR):</w:t>
      </w:r>
    </w:p>
    <w:p w:rsidR="00000000" w:rsidDel="00000000" w:rsidP="00000000" w:rsidRDefault="00000000" w:rsidRPr="00000000">
      <w:pPr>
        <w:ind w:left="2865" w:firstLine="15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;</w:t>
        <w:tab/>
        <w:t xml:space="preserve">Example of SFR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31H, #50</w:t>
        <w:tab/>
        <w:tab/>
        <w:tab/>
        <w:t xml:space="preserve">;</w:t>
        <w:tab/>
        <w:t xml:space="preserve">Moves the decimal value 50 to 31H (A location in the </w:t>
      </w:r>
    </w:p>
    <w:p w:rsidR="00000000" w:rsidDel="00000000" w:rsidP="00000000" w:rsidRDefault="00000000" w:rsidRPr="00000000">
      <w:pPr>
        <w:ind w:left="2865" w:firstLine="15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;</w:t>
        <w:tab/>
        <w:t xml:space="preserve">scratch pad RAM)- Example of scratch pad 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SETB PSW.3</w:t>
        <w:tab/>
        <w:tab/>
        <w:tab/>
        <w:t xml:space="preserve">;</w:t>
        <w:tab/>
        <w:t xml:space="preserve">Accessing Bank 1 (Stack memory)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CLR PSW.4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R3,#30</w:t>
        <w:tab/>
        <w:tab/>
        <w:tab/>
        <w:t xml:space="preserve">;</w:t>
        <w:tab/>
        <w:t xml:space="preserve">Stores the decimal value of 30 in R3 of bank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-676274</wp:posOffset>
            </wp:positionH>
            <wp:positionV relativeFrom="paragraph">
              <wp:posOffset>257175</wp:posOffset>
            </wp:positionV>
            <wp:extent cx="7066280" cy="3567113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3567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BLOCK DIAGRAM / SCHEMATIC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COMPONENTS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organization of memory of 8051 has been successfully demonstrated with a program accessing various types of memory.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We learnt to write a program implementing byte addressable memory allocation , bit addressing memory allocation , stacks and special function register.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REMARKS</w:t>
      </w:r>
    </w:p>
    <w:p w:rsidR="00000000" w:rsidDel="00000000" w:rsidP="00000000" w:rsidRDefault="00000000" w:rsidRPr="00000000">
      <w:pPr>
        <w:spacing w:before="0" w:line="276" w:lineRule="auto"/>
        <w:ind w:left="0" w:right="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Different programs should be written and tested using assembly/C language for better understanding of the tool.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/>
      <w:pgMar w:bottom="1152" w:top="1152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6"/>
      <w:spacing w:before="0" w:lineRule="auto"/>
      <w:contextualSpacing w:val="0"/>
    </w:pPr>
    <w:bookmarkStart w:colFirst="0" w:colLast="0" w:name="_2mzs7k926ll" w:id="4"/>
    <w:bookmarkEnd w:id="4"/>
    <w:r w:rsidDel="00000000" w:rsidR="00000000" w:rsidRPr="00000000">
      <w:rPr>
        <w:rtl w:val="0"/>
      </w:rPr>
    </w:r>
  </w:p>
  <w:tbl>
    <w:tblPr>
      <w:tblStyle w:val="Table1"/>
      <w:bidi w:val="0"/>
      <w:tblW w:w="12225.0" w:type="dxa"/>
      <w:jc w:val="left"/>
      <w:tblInd w:w="-1440.0" w:type="dxa"/>
      <w:tblLayout w:type="fixed"/>
      <w:tblLook w:val="0600"/>
    </w:tblPr>
    <w:tblGrid>
      <w:gridCol w:w="8985"/>
      <w:gridCol w:w="3240"/>
      <w:tblGridChange w:id="0">
        <w:tblGrid>
          <w:gridCol w:w="8985"/>
          <w:gridCol w:w="3240"/>
        </w:tblGrid>
      </w:tblGridChange>
    </w:tblGrid>
    <w:tr>
      <w:trPr>
        <w:trHeight w:val="160" w:hRule="atLeast"/>
      </w:trPr>
      <w:tc>
        <w:tcPr>
          <w:gridSpan w:val="2"/>
          <w:tcBorders>
            <w:top w:color="000000" w:space="0" w:sz="8" w:val="single"/>
            <w:left w:color="000000" w:space="0" w:sz="8" w:val="single"/>
            <w:bottom w:color="00a797" w:space="0" w:sz="8" w:val="single"/>
            <w:right w:color="000000" w:space="0" w:sz="8" w:val="single"/>
          </w:tcBorders>
          <w:shd w:fill="000000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Style w:val="Heading5"/>
            <w:widowControl w:val="0"/>
            <w:spacing w:before="0" w:line="240" w:lineRule="auto"/>
            <w:ind w:left="-45" w:right="960" w:firstLine="0"/>
            <w:contextualSpacing w:val="0"/>
            <w:jc w:val="right"/>
          </w:pPr>
          <w:bookmarkStart w:colFirst="0" w:colLast="0" w:name="_247svd1nybjm" w:id="5"/>
          <w:bookmarkEnd w:id="5"/>
          <w:r w:rsidDel="00000000" w:rsidR="00000000" w:rsidRPr="00000000">
            <w:rPr>
              <w:rtl w:val="0"/>
            </w:rPr>
          </w:r>
        </w:p>
      </w:tc>
    </w:tr>
    <w:tr>
      <w:trPr>
        <w:trHeight w:val="900" w:hRule="atLeast"/>
      </w:trPr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Style w:val="Heading4"/>
            <w:contextualSpacing w:val="0"/>
          </w:pPr>
          <w:bookmarkStart w:colFirst="0" w:colLast="0" w:name="_247svd1nybjm" w:id="5"/>
          <w:bookmarkEnd w:id="5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>
          <w:pPr>
            <w:spacing w:before="0" w:lineRule="auto"/>
            <w:contextualSpacing w:val="0"/>
            <w:jc w:val="center"/>
          </w:pP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Style w:val="Heading6"/>
      <w:contextualSpacing w:val="0"/>
    </w:pPr>
    <w:bookmarkStart w:colFirst="0" w:colLast="0" w:name="_k2z3n45ztaex" w:id="7"/>
    <w:bookmarkEnd w:id="7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="240" w:lineRule="auto"/>
      <w:ind w:left="-15" w:right="-15" w:firstLine="0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T Serif" w:cs="PT Serif" w:eastAsia="PT Serif" w:hAnsi="PT Serif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-15" w:right="-15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  <w:contextualSpacing w:val="1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  <w:contextualSpacing w:val="1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line="240" w:lineRule="auto"/>
      <w:ind w:right="780"/>
      <w:contextualSpacing w:val="1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  <w:ind w:firstLine="0"/>
      <w:contextualSpacing w:val="1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before="0" w:line="240" w:lineRule="auto"/>
      <w:ind w:left="-45" w:right="960"/>
      <w:contextualSpacing w:val="1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  <w:ind w:left="-15" w:right="-15" w:firstLine="0"/>
      <w:contextualSpacing w:val="1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spacing w:before="320" w:line="240" w:lineRule="auto"/>
      <w:contextualSpacing w:val="1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spacing w:before="320" w:lineRule="auto"/>
      <w:contextualSpacing w:val="1"/>
    </w:pPr>
    <w:rPr>
      <w:rFonts w:ascii="Old Standard TT" w:cs="Old Standard TT" w:eastAsia="Old Standard TT" w:hAnsi="Old Standard TT"/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