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AICTE – BHARATCARES – IBM SKILLSBUILD INTERNSHIP PROGRAM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6-Week Virtual IBM SkillsBuild Data Analytics with AI Internship 2026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>FINAL INTERNSHIP CAPSTONE PROJECT REPORT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CUSTOMER CHURN RETENTION &amp; REVENUE OPTIMIZATION PLATFORM</w:t>
      </w:r>
    </w:p>
    <w:p>
      <w:pPr>
        <w:spacing w:after="36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1"/>
        </w:rPr>
        <w:t>An Enterprise Decision-Support Architecture Formulated on the Industry Data-to-Action Analytics Paradigm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Candidate Name: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Akshad Viresh Makhana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Internship ID: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IBMUEDA4101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Program Track: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Data Analytics with AI (AICTE &amp; IBM SkillsBuild Collaboration)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Implementing Organization: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BharatCares (SMEC Trust)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Internship Schedule: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17 August 2026 to 30 September 2026 (6-Week Virtual Track)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Academic Affiliation: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TY B.Tech CSE (AI &amp; DS), Sanjivani University, Kopargaon, Maharashtra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Benchmark Dataset: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IBM Cognos Analytics Telco Customer Churn Benchmark (7,043 Records)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Live Cloud Application: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https://akshad-bharatcares-retention.streamlit.app/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GitHub Repository: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https://github.com/akshad1007/bharatcares-telco-churn-retention</w:t>
            </w:r>
          </w:p>
        </w:tc>
      </w:tr>
      <w:tr>
        <w:tc>
          <w:tcPr>
            <w:tcW w:type="dxa" w:w="3168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  <w:shd w:fill="F5F5F5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Analytical Workflow:</w:t>
            </w:r>
          </w:p>
        </w:tc>
        <w:tc>
          <w:tcPr>
            <w:tcW w:type="dxa" w:w="6192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Data -&gt; Information -&gt; Insight -&gt; Decision -&gt; Action</w:t>
            </w:r>
          </w:p>
        </w:tc>
      </w:tr>
    </w:tbl>
    <w:p>
      <w:pPr>
        <w:jc w:val="both"/>
      </w:pPr>
      <w:r>
        <w:br w:type="page"/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1. Executive Summary &amp; Problem Formulation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Customer churn constitutes one of the most critical structural challenges in the telecommunications and subscription-based enterprise software sector. High churn rates rapidly degrade annual recurring revenue (ARR), inflate customer acquisition costs (CAC), and severely impact long-term enterprise valuation. In modern telecommunications markets, retaining existing subscribers requires roughly one-fifth of the financial capital required to acquire new subscribers through competitive marketing campaigns. Consequently, shifting operational strategy from reactive customer attrition tracking to predictive, AI-driven customer retention modeling is a mandatory organizational requirement.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This project, developed under the 6-Week Virtual IBM SkillsBuild Data Analytics with AI Internship 2026 (Internship ID: IBMUEDA4101) conducted by BharatCares in association with AICTE, implements an end-to-end predictive and prescriptive customer retention analytics architecture. The solution systematically adheres to the core industrial analytics methodology: Data -&gt; Information -&gt; Insight -&gt; Decision -&gt; Action. Rather than functioning solely as an isolated machine learning experiment, this initiative establishes a production-grade, interactive executive decision-support system deployed directly on cloud infrastructure.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1.1 The Industrial Analytics Paradigm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Data Layer (Raw Ingestion): </w:t>
      </w:r>
      <w:r>
        <w:rPr>
          <w:rFonts w:ascii="Times New Roman" w:hAnsi="Times New Roman"/>
          <w:color w:val="000000"/>
          <w:sz w:val="22"/>
        </w:rPr>
        <w:t>7,043 customer transaction profiles from the official IBM Cognos Analytics Telco benchmark dataset covering demographic, service subscriptions, contract types, billing mechanisms, and churn classifications.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Information Layer (Structured Aggregations): </w:t>
      </w:r>
      <w:r>
        <w:rPr>
          <w:rFonts w:ascii="Times New Roman" w:hAnsi="Times New Roman"/>
          <w:color w:val="000000"/>
          <w:sz w:val="22"/>
        </w:rPr>
        <w:t>Rigorous preprocessing, median-imputed data cleaning, categorical binary encoding, standardized tenure cohorts, and structured multi-dimensional KPI tracking.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Insight Layer (Driver Analytics &amp; ML): </w:t>
      </w:r>
      <w:r>
        <w:rPr>
          <w:rFonts w:ascii="Times New Roman" w:hAnsi="Times New Roman"/>
          <w:color w:val="000000"/>
          <w:sz w:val="22"/>
        </w:rPr>
        <w:t>Comparative benchmarking of Logistic Regression, Random Forest, and Gradient Boosting Classifiers, paired with Mutual Information ranking and Pearson correlation mapping.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Decision Layer (Interactive Risk Simulator): </w:t>
      </w:r>
      <w:r>
        <w:rPr>
          <w:rFonts w:ascii="Times New Roman" w:hAnsi="Times New Roman"/>
          <w:color w:val="000000"/>
          <w:sz w:val="22"/>
        </w:rPr>
        <w:t>An interactive What-If scenario simulation engine enabling retention executives to manipulate customer contractual parameters and observe immediate real-time churn probability adjustments.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Action Layer (Prescriptive Strategy &amp; ROI): </w:t>
      </w:r>
      <w:r>
        <w:rPr>
          <w:rFonts w:ascii="Times New Roman" w:hAnsi="Times New Roman"/>
          <w:color w:val="000000"/>
          <w:sz w:val="22"/>
        </w:rPr>
        <w:t>Four targeted strategic retention pillars coupled with a financial Net Present Value (NPV) and Return-on-Investment (ROI) calculator translating model metrics into concrete monetary capital preservation.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2. Data Ingestion, Cleaning &amp; Preprocessing Pipeline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project leverages the authentic IBM Cognos Analytics Telco Customer Churn benchmark dataset containing 7,043 subscriber records and 21 attributes. Prior to analytical modeling, a rigorous data wrangling pipeline was engineered to guarantee data integrity, address anomalous entries, and prepare features for machine learning algorithms.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2.1 Data Cleaning &amp; Type Remediation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Inspection revealed that the TotalCharges attribute contained 11 whitespace-blank values (' ') corresponding to newly enrolled subscribers with tenure equal to 0 months. These records were numerically converted using coercive parsing (pd.to_numeric(errors='coerce')). Because dropping these records would eliminate valuable information, the missing entries were imputed using the median total charges across the corresponding tenure-cohort distribution. SeniorCitizen was recoded from binary (0/1) to human-interpretable categorical indicators ('No'/'Yes'). Service dependencies (such as 'No internet service' and 'No phone service') were harmonized into clean binary feature representations.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Attribute Group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Primary Features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Data Type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Analytical Relevance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Customer Demographics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gender, SeniorCitizen, Partner, Dependents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Categorical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Identifies baseline socio-demographic attrition vulnerabilities.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Account Tenancy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tenure (0-72 months)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Integer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Primary determinant of subscriber stability and loyalty curve.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Service Portfolio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PhoneService, MultipleLines, InternetService, TechSupport, OnlineSecurity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Categorical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Quantifies customer stickiness across high-value digital services.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Contract &amp; Billing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Contract, PaperlessBilling, PaymentMethod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Categorical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Core levers governing customer retention policy and switching friction.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Monetary Variables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MonthlyCharges, TotalCharges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Float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Quantifies customer lifetime revenue and immediate financial attrition exposure.</w:t>
            </w:r>
          </w:p>
        </w:tc>
      </w:tr>
    </w:tbl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1_executive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1: Executive KPI Command Center displaying Total Subscribers, Baseline Churn Rate (26.54%), Monthly Revenue at Risk, and Annualized Revenue Exposure.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1_overview_ch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2: Distribution Analytics displaying Churn Breakdown, Tenure Cohort Analysis, and Contract Type Vulnerability.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3. Exploratory Data Analysis &amp; Empirical Patterns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Exploratory Data Analysis (EDA) was performed across multiple categorical and continuous dimensions to isolate the empirical factors driving customer defection. Overall baseline churn stands at 26.54% (1,869 churned customers out of 7,043). However, this attrition is non-uniformly distributed across customer segments.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3.1 Core Empirical Discoveries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Contract Vulnerability: </w:t>
      </w:r>
      <w:r>
        <w:rPr>
          <w:rFonts w:ascii="Times New Roman" w:hAnsi="Times New Roman"/>
          <w:color w:val="000000"/>
          <w:sz w:val="22"/>
        </w:rPr>
        <w:t>Subscribers on Month-to-Month contracts demonstrate a staggering 42.7% churn rate, compared to 11.3% for One-Year contracts and a negligible 2.8% for Two-Year contracts. Long-term contractual commitments establish natural retention moats.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Tenure Infant Mortality: </w:t>
      </w:r>
      <w:r>
        <w:rPr>
          <w:rFonts w:ascii="Times New Roman" w:hAnsi="Times New Roman"/>
          <w:color w:val="000000"/>
          <w:sz w:val="22"/>
        </w:rPr>
        <w:t>Over 52% of all churn events occur within the first 12 months of customer tenure. Subscribers who cross the 24-month threshold exhibit an 84% reduction in churn probability, confirming the criticality of early onboarding.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Payment Method Friction: </w:t>
      </w:r>
      <w:r>
        <w:rPr>
          <w:rFonts w:ascii="Times New Roman" w:hAnsi="Times New Roman"/>
          <w:color w:val="000000"/>
          <w:sz w:val="22"/>
        </w:rPr>
        <w:t>Subscribers utilizing Electronic Check payments exhibit a 45.3% churn rate, in stark contrast to Bank Transfer (16.7%), Credit Card (15.2%), and Mailed Check (19.1%). Electronic check transactions lack auto-renewal automation, exposing subscribers to recurring monthly cancellation decisions.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Digital Service Stickiness: </w:t>
      </w:r>
      <w:r>
        <w:rPr>
          <w:rFonts w:ascii="Times New Roman" w:hAnsi="Times New Roman"/>
          <w:color w:val="000000"/>
          <w:sz w:val="22"/>
        </w:rPr>
        <w:t>Subscribers lacking Online Security, Online Backup, and Tech Support experience churn rates exceeding 40%. Conversely, bundling digital support services drops churn to sub-15% levels.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2_eda_tr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3: Exploratory Data Analysis Interface displaying Tenure Distribution by Churn Status and Contract Cohort Heatmap.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2_eda_charts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4: Bivariate Distribution of Monthly Charges ($) and Payment Method Attrition Profiles.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4. Statistical Driver Analytics &amp; Correlation Modeling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To validate intuitive findings with mathematical rigor, bivariate correlation analysis and Information-Theoretic Mutual Information ranking were conducted. Mutual Information measures both linear and non-linear dependencies between independent predictors and the target churn variable.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4.1 Quantitative Feature Importance Ranking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Feature Variable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Correlation (r)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Mutual Info Score</w:t>
            </w:r>
          </w:p>
        </w:tc>
        <w:tc>
          <w:tcPr>
            <w:tcW w:type="dxa" w:w="230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Strategic Interpretation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Contract_Month-to-month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+0.405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0.098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Strongest positive churn driver. Lack of commitment facilitates friction-free defection.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tenure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-0.352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0.078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Strongest negative churn driver (retention stabilizer). Established tenure builds switching costs.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OnlineSecurity_No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+0.342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0.065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Strong indicator of transactional, unbundled relationship prone to competitor poaching.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TechSupport_No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+0.337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Unassisted customers experience unresolved service friction, leading directly to cancellation.</w:t>
            </w:r>
          </w:p>
        </w:tc>
      </w:tr>
      <w:tr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PaymentMethod_Electronic check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+0.302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230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Manual payment friction encourages monthly price comparison and active defection.</w:t>
            </w:r>
          </w:p>
        </w:tc>
      </w:tr>
    </w:tbl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3_driver_correl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5: Statistical Driver Matrix showcasing Top Positive &amp; Negative Correlations with Churn Probability.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3_risk_opportun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6: High-Risk vs. High-Opportunity Customer Segmentation Matrix.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5. Supervised Machine Learning Benchmark &amp; Predictive Scoring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To automate predictive churn intervention, three supervised machine learning algorithms were trained and benchmarked using an 80/20 train-test partition with stratified sampling to preserve the 26.54% churn prevalence: Logistic Regression (L2 regularized), Random Forest Classifier (100 estimators), and Gradient Boosting (HistGradientBoosting / XGBoost equivalent). Continuous features were scaled using StandardScaler, and categorical variables were one-hot encoded.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Algorithm Model</w:t>
            </w:r>
          </w:p>
        </w:tc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Accuracy</w:t>
            </w:r>
          </w:p>
        </w:tc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Precision</w:t>
            </w:r>
          </w:p>
        </w:tc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Recall</w:t>
            </w:r>
          </w:p>
        </w:tc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F1-Score</w:t>
            </w:r>
          </w:p>
        </w:tc>
        <w:tc>
          <w:tcPr>
            <w:tcW w:type="dxa" w:w="1584"/>
            <w:shd w:fill="D9D9D9"/>
            <w:tcBorders>
              <w:top w:sz="6" w:val="single" w:color="000000"/>
              <w:bottom w:sz="6" w:val="single" w:color="000000"/>
            </w:tcBorders>
          </w:tcPr>
          <w:p>
            <w:pPr>
              <w:spacing w:after="60" w:before="60"/>
              <w:jc w:val="both"/>
            </w:pPr>
            <w:r>
              <w:rPr>
                <w:rFonts w:ascii="Times New Roman" w:hAnsi="Times New Roman"/>
                <w:b/>
                <w:sz w:val="19"/>
              </w:rPr>
              <w:t>ROC-AUC</w:t>
            </w:r>
          </w:p>
        </w:tc>
      </w:tr>
      <w:tr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Logistic Regression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80.41%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65.74%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54.16%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0.5937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0.8447</w:t>
            </w:r>
          </w:p>
        </w:tc>
      </w:tr>
      <w:tr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Random Forest Classifier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79.13%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63.31%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49.60%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0.5562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0.8268</w:t>
            </w:r>
          </w:p>
        </w:tc>
      </w:tr>
      <w:tr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b/>
                <w:sz w:val="18"/>
              </w:rPr>
              <w:t>Gradient Boosting Classifier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80.98%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67.09%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54.71%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0.6028</w:t>
            </w:r>
          </w:p>
        </w:tc>
        <w:tc>
          <w:tcPr>
            <w:tcW w:type="dxa" w:w="1584"/>
            <w:tcBorders>
              <w:top w:sz="4" w:val="single" w:color="CCCCCC"/>
              <w:bottom w:sz="4" w:val="single" w:color="CCCCCC"/>
            </w:tcBorders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18"/>
              </w:rPr>
              <w:t>0.8492</w:t>
            </w:r>
          </w:p>
        </w:tc>
      </w:tr>
    </w:tbl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Gradient Boosting emerged as the superior production model, achieving the highest overall Accuracy (80.98%), balanced F1-Score (0.6028), and area under the Receiver Operating Characteristic curve (ROC-AUC = 0.8492). Its ensemble boosting mechanism captures intricate non-linear interactions between tenure decay, high monthly pricing tiers, and lack of bundled security.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4_ml_mod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7: Machine Learning Model Performance Benchmark displaying Comparative Metrics, ROC Curves, and Confusion Matrices.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4_whatif_simula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8: Interactive Real-Time What-If Scenario Simulation Engine demonstrating Churn Risk Mitigation Levers.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6. Strategic Retention Pillars &amp; Financial ROI Architecture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ultimate objective of enterprise data analytics is driving informed executive decision-making. Synthesizing the empirical insights and machine learning predictions, four concrete retention pillars were formulated, accompanied by a dynamic financial return-on-investment calculator.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6.1 The Four Strategic Pillars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Pillar 1 — Contract Migration Incentive Program: </w:t>
      </w:r>
      <w:r>
        <w:rPr>
          <w:rFonts w:ascii="Times New Roman" w:hAnsi="Times New Roman"/>
          <w:color w:val="000000"/>
          <w:sz w:val="22"/>
        </w:rPr>
        <w:t>Target subscribers approaching month 6-12 on Month-to-Month plans with discounted 1-year and 2-year commitments ($10/month credit for 6 months). Target outcome: 30% relative reduction in month-to-month attrition.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Pillar 2 — Digital Auto-Pay Frictionless Transition: </w:t>
      </w:r>
      <w:r>
        <w:rPr>
          <w:rFonts w:ascii="Times New Roman" w:hAnsi="Times New Roman"/>
          <w:color w:val="000000"/>
          <w:sz w:val="22"/>
        </w:rPr>
        <w:t>Incentivize Electronic Check subscribers to transition to Automated Bank Transfer or Credit Card billing via a one-time $15 account credit. Target outcome: 25% churn reduction across converted accounts.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Pillar 3 — Value-Add Security &amp; Tech Support Bundling: </w:t>
      </w:r>
      <w:r>
        <w:rPr>
          <w:rFonts w:ascii="Times New Roman" w:hAnsi="Times New Roman"/>
          <w:color w:val="000000"/>
          <w:sz w:val="22"/>
        </w:rPr>
        <w:t>Offer high-risk Fiber Optic subscribers a complimentary 3-month trial of TechSupport and OnlineSecurity. Bundled accounts experience an empirical 60% reduction in churn rates.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Pillar 4 — Proactive High-Usage Fiber Care: </w:t>
      </w:r>
      <w:r>
        <w:rPr>
          <w:rFonts w:ascii="Times New Roman" w:hAnsi="Times New Roman"/>
          <w:color w:val="000000"/>
          <w:sz w:val="22"/>
        </w:rPr>
        <w:t>Deploy proactive customer care outreach for subscribers billed &gt;$80/month experiencing early network anomalies, preempting service cancellation prior to the critical 12-month tenure cliff.</w:t>
      </w:r>
    </w:p>
    <w:p>
      <w:pPr>
        <w:keepNext/>
        <w:spacing w:before="200" w:after="80"/>
        <w:jc w:val="both"/>
      </w:pPr>
      <w:r>
        <w:rPr>
          <w:rFonts w:ascii="Times New Roman" w:hAnsi="Times New Roman"/>
          <w:b/>
          <w:i/>
          <w:color w:val="000000"/>
          <w:sz w:val="24"/>
        </w:rPr>
        <w:t>6.2 Financial Return on Investment (ROI) Simulation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For a standard telecommunications cohort of 1,869 at-risk subscribers with an average monthly bill of $74.44 (representing an annual gross revenue exposure of $1.67 Million): A modest 15% intervention success rate preserves 280 subscribers, recapturing $250,128 in annual recurring revenue. Factoring in total retention operational expenditures of $84,105 ($45/retained customer incentive plus $25,000 campaign operational overhead), the program yields an estimated Net Annual Revenue Benefit of $166,023, delivering a projected Return on Investment (ROI) of 197.4%.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5_action_pilla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9: Four Strategic Enterprise Retention Pillars with Targeted Operational Roadmaps.</w:t>
      </w:r>
    </w:p>
    <w:p>
      <w:pPr>
        <w:keepNext/>
        <w:spacing w:before="160" w:after="80"/>
        <w:jc w:val="both"/>
      </w:pPr>
      <w:r>
        <w:drawing>
          <wp:inline xmlns:a="http://schemas.openxmlformats.org/drawingml/2006/main" xmlns:pic="http://schemas.openxmlformats.org/drawingml/2006/picture">
            <wp:extent cx="5669280" cy="2727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5_roi_calcul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000000"/>
          <w:sz w:val="19"/>
        </w:rPr>
        <w:t>Figure 10: Enterprise Retention ROI &amp; Financial Benefit Calculator with Sensitivity Analysis.</w:t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7. Production Cloud Deployment &amp; Technical Verification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end-to-end platform has been engineered as a unified, high-performance web application (project.py) and successfully deployed to Streamlit Community Cloud: https://akshad-bharatcares-retention.streamlit.app/. The application operates headlessly with caching enabled (@st.cache_data), ensuring sub-second response times across large cohorts. All source files, dependency manifests, documentation, and the official internship offer letter are version-controlled in the public GitHub repository: https://github.com/akshad1007/bharatcares-telco-churn-retention.</w:t>
      </w:r>
    </w:p>
    <w:p>
      <w:pPr>
        <w:jc w:val="both"/>
      </w:pPr>
      <w:r>
        <w:br w:type="page"/>
      </w:r>
    </w:p>
    <w:p>
      <w:pPr>
        <w:keepNext/>
        <w:spacing w:before="280" w:after="120"/>
        <w:jc w:val="both"/>
      </w:pPr>
      <w:r>
        <w:rPr>
          <w:rFonts w:ascii="Times New Roman" w:hAnsi="Times New Roman"/>
          <w:b/>
          <w:color w:val="000000"/>
          <w:sz w:val="28"/>
        </w:rPr>
        <w:t>8. Academic &amp; Internship Undertaking Agreement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I, Akshad Viresh Makhana, from Sanjivani University, Kopargaon, Maharashtra, participating in the AICTE–BharatCares–IBM SkillsBuild Data Analytics with AI Internship Program (Internship ID: IBMUEDA4101), do hereby undertake the following: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1. </w:t>
      </w:r>
      <w:r>
        <w:rPr>
          <w:rFonts w:ascii="Times New Roman" w:hAnsi="Times New Roman"/>
          <w:color w:val="000000"/>
          <w:sz w:val="22"/>
        </w:rPr>
        <w:t>I have actively engaged with the scheduled curriculum, completed the assigned learning activities on the IBM SkillsBuild digital platform, and developed an original capstone project adhering to industry standards.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2. </w:t>
      </w:r>
      <w:r>
        <w:rPr>
          <w:rFonts w:ascii="Times New Roman" w:hAnsi="Times New Roman"/>
          <w:color w:val="000000"/>
          <w:sz w:val="22"/>
        </w:rPr>
        <w:t>I have completed and verified all required project deliverables—including code implementation (project.py / .ipynb), dependency specifications (requirements.txt), technical documentation (README.md), and this comprehensive formal project report (Project Report)—within the stipulated timeline.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3. </w:t>
      </w:r>
      <w:r>
        <w:rPr>
          <w:rFonts w:ascii="Times New Roman" w:hAnsi="Times New Roman"/>
          <w:color w:val="000000"/>
          <w:sz w:val="22"/>
        </w:rPr>
        <w:t>I have maintained complete academic integrity, professional conduct, and decorum throughout the program, adhering strictly to the ethical standards prescribed by BharatCares, AICTE, and IBM SkillsBuild.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4. </w:t>
      </w:r>
      <w:r>
        <w:rPr>
          <w:rFonts w:ascii="Times New Roman" w:hAnsi="Times New Roman"/>
          <w:color w:val="000000"/>
          <w:sz w:val="22"/>
        </w:rPr>
        <w:t>I confirm that the analytical models, code implementations, interactive visualizations, and findings presented in this documentation represent my authentic work evaluated on benchmark datasets.</w:t>
      </w:r>
    </w:p>
    <w:p>
      <w:pPr>
        <w:spacing w:after="36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sz="0" w:val="none" w:color="FFFFFF"/>
              <w:left w:sz="0" w:val="none" w:color="FFFFFF"/>
              <w:bottom w:sz="0" w:val="none" w:color="FFFFFF"/>
              <w:right w:sz="0" w:val="none" w:color="FFFFFF"/>
            </w:tcBorders>
          </w:tcPr>
          <w:p>
            <w:pPr>
              <w:jc w:val="both"/>
            </w:pPr>
            <w:r>
              <w:rPr>
                <w:rFonts w:ascii="Times New Roman" w:hAnsi="Times New Roman"/>
              </w:rPr>
              <w:t>Candidate Signature:</w:t>
              <w:br/>
              <w:br/>
              <w:t>_______________________________</w:t>
              <w:br/>
              <w:t>Akshad Viresh Makhana</w:t>
              <w:br/>
              <w:t>Internship ID: IBMUEDA4101</w:t>
            </w:r>
          </w:p>
        </w:tc>
        <w:tc>
          <w:tcPr>
            <w:tcW w:type="dxa" w:w="4608"/>
            <w:tcBorders>
              <w:top w:sz="0" w:val="none" w:color="FFFFFF"/>
              <w:left w:sz="0" w:val="none" w:color="FFFFFF"/>
              <w:bottom w:sz="0" w:val="none" w:color="FFFFFF"/>
              <w:right w:sz="0" w:val="none" w:color="FFFFFF"/>
            </w:tcBorders>
          </w:tcPr>
          <w:p>
            <w:pPr>
              <w:jc w:val="both"/>
            </w:pPr>
            <w:r>
              <w:rPr>
                <w:rFonts w:ascii="Times New Roman" w:hAnsi="Times New Roman"/>
              </w:rPr>
              <w:t>Submission Verification:</w:t>
              <w:br/>
              <w:br/>
              <w:t>Date: 21 September 2026</w:t>
              <w:br/>
              <w:t>Institution: Sanjivani University, Kopargaon</w:t>
              <w:br/>
              <w:t>Location: Maharashtra, India</w:t>
            </w:r>
          </w:p>
        </w:tc>
      </w:tr>
      <w:tr>
        <w:tc>
          <w:tcPr>
            <w:tcW w:type="dxa" w:w="4680"/>
            <w:tcBorders>
              <w:top w:sz="0" w:val="none" w:color="FFFFFF"/>
              <w:left w:sz="0" w:val="none" w:color="FFFFFF"/>
              <w:bottom w:sz="0" w:val="none" w:color="FFFFFF"/>
              <w:right w:sz="0" w:val="none" w:color="FFFFFF"/>
            </w:tcBorders>
          </w:tcPr>
          <w:p>
            <w:pPr>
              <w:jc w:val="both"/>
            </w:pPr>
          </w:p>
        </w:tc>
        <w:tc>
          <w:tcPr>
            <w:tcW w:type="dxa" w:w="4680"/>
            <w:tcBorders>
              <w:top w:sz="0" w:val="none" w:color="FFFFFF"/>
              <w:left w:sz="0" w:val="none" w:color="FFFFFF"/>
              <w:bottom w:sz="0" w:val="none" w:color="FFFFFF"/>
              <w:right w:sz="0" w:val="none" w:color="FFFFFF"/>
            </w:tcBorders>
          </w:tcPr>
          <w:p>
            <w:pPr>
              <w:jc w:val="both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>Candidate: Akshad Viresh Makhana | Internship ID: IBMUEDA4101 | Project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7"/>
      </w:rPr>
      <w:t>AICTE | IBM SkillsBuild Data Analytics with AI Internship 2026 | BharatCares (SMEC Trust)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