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Calibri" w:hAnsi="Calibri"/>
          <w:b/>
          <w:sz w:val="32"/>
        </w:rPr>
        <w:t>MEDICAL ONCOLOGY CONSULT NOTE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Patient ID: Helena MARKHAM is a 67 year old Female from BURNABY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Referring physician: Dr. Rowan Avery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Primary care physician: Dr. Fiona Lark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MRN: 882200101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Helena was referred for consideration of adjuvant systemic therapy after resection of a pT3N1b sigmoid colon adenocarcinoma, pMMR, margins negative, with 2/25 lymph nodes positive.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PAST MEDICAL HISTORY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Sigmoid colon adenocarcinoma, S/P laparoscopic sigmoid colectomy 18-May-2026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Hypertension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Dyslipidemia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Osteoarthritis knees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Iron deficiency anemia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Remote carpal tunnel symptoms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SURGICAL HISTORY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Laparoscopic sigmoid colectomy with primary anastomosis (18-MAY-2026)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Cholecystectomy (2014)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Cesarean section x 2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HOME MEDICATIONS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Home Medications (5) Active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amLODIPine 5 mg PO daily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rosuvastatin 10 mg PO nightly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ferrous fumarate 300 mg PO every other day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vitamin D 1000 IU PO daily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acetaminophen 500 mg PO q6h PRN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ALLERGIES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Penicillin - childhood rash.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SOCIAL HISTORY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Helena lives with her husband in Burnaby. Her daughter attended today. Retired school administrator. Independent ADLs/IADLs, walking most days. Never smoker. Rare alcohol. Has Fair PharmaCare and retiree benefits.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FAMILY HISTORY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Mother colon cancer age 79. Maternal aunt breast cancer in her 70s. No known autoimmune disease.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HISTORY OF PRESENTING ILLNESS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Ms. Markham had a positive FIT in January 2026 and several months of fatigue/change in bowel habit. Colonoscopy Apr 16/26 showed a circumferential sigmoid mass at 32 cm. Biopsy demonstrated adenocarcinoma. CT CAP Apr 25/26 did not show distant metastatic disease. She underwent laparoscopic sigmoid colectomy May 18/26 and has recovered without major complication.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Currently appetite is improving, bowels are 2-3/day, no bleeding. Weight down 4 kg before surgery but stable now. Mild incisional discomfort only. ECOG 1.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PHYSICAL EXAM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WT 68.8 kg. BP 128/74 HR 78 T 36.6 O2 98% RA. Well appearing, no jaundice. No supraclavicular adenopathy. Chest clear. HS normal. Abdomen soft and nontender, healed lap incisions. No edema. No obvious baseline neuropathy.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INVESTIGATIONS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Bloodwork - MOST RECENT WITHIN LAST 30 DAYS: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HEMATOLOGY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CHEMISTRY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OTHER LABS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WBC Count: 5.8 x10^9/L (24/06/26)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Sodium: 140 mmol/L (24/06/26)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Carcinoembryonic Antigen: 2.4 ug/L (24/06/26)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Hemoglobin: 104 g/L Low (24/06/26)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Potassium: 4.1 mmol/L (24/06/26)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CEA pre-operative: 8.2 ug/L (25/04/26)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Platelet Count: 370 x10^9/L (24/06/26)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Creatinine: 72 umol/L (24/06/26)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DPYD/DPD: pending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Neutrophils: 3.2 x10^9/L (24/06/26)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Bilirubin Total: 7 umol/L (24/06/26)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Alanine Aminotransferase: 24 U/L (24/06/26)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Alkaline Phosphatase: 96 U/L (24/06/26)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  <w:t>Albumin Level: 35 g/L (24/06/26)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7"/>
              </w:rPr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CT Chest Abdomen Pelvis Apr 25 2026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IMPRESSION: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Irregular circumferential sigmoid colon wall thickening compatible with known primary malignancy.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Small adjacent sigmoid mesocolon nodes measuring up to 7 mm, indeterminate/suspicious in context.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No CT evidence of hepatic, pulmonary, peritoneal, or distant nodal metastatic disease.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Two subcentimeter low attenuation liver lesions are unchanged from prior ultrasound and favored cysts.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Post-cholecystectomy change. No bowel obstruction.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Pathology - May 24, 2026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SIGMOID COLON, SEGMENTAL RESECTION: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ADENOCARCINOMA, MODERATELY DIFFERENTIATED.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Tumour size: 4.4 cm.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Tumour invades through muscularis propria into pericolonic tissue.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Lymphovascular invasion: Present.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Perineural invasion: Not identified.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Margins: Negative for invasive carcinoma.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Lymph nodes: Metastatic carcinoma in 2 of 25 lymph nodes.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Tumour deposits: Not identified.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Pathologic stage: pT3 pN1b.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Mismatch repair protein immunohistochemistry: MLH1, PMS2, MSH2 and MSH6 retained.</w:t>
      </w:r>
    </w:p>
    <w:p>
      <w:pPr>
        <w:spacing w:before="160" w:after="60" w:line="264" w:lineRule="auto"/>
      </w:pPr>
      <w:r>
        <w:rPr>
          <w:rFonts w:ascii="Calibri" w:hAnsi="Calibri"/>
          <w:b/>
          <w:sz w:val="22"/>
        </w:rPr>
        <w:t>ASSESSMENT AND PLAN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67F with resected pT3N1b sigmoid colon adenocarcinoma, pMMR, R0 resection, 2/25 nodes positive. She is recovering well and is fit for adjuvant therapy.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Discussed adjuvant/curative intent. For lower-risk stage III colon cancer, I recommended 3 months of CAPOX. mFOLFOX6 is an alternative if oral capecitabine is not feasible. Reviewed benefits, alternatives including surveillance, and toxicities: fatigue, cytopenias/infection, nausea, diarrhea, mucositis, hand-foot syndrome, cold sensitivity and neuropathy, infusion reaction, and rare fluoropyrimidine cardiac toxicity. No chemo doses discussed.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Send DPD/DPYD testing today.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Chemo teach and pharmacy review.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Repeat CBC/chemistry before cycle 1.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Continue iron.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Target start in approximately 2-3 weeks if healed and DPD normal.</w:t>
      </w:r>
    </w:p>
    <w:p>
      <w:pPr>
        <w:spacing w:before="0" w:after="20" w:line="264" w:lineRule="auto"/>
      </w:pPr>
      <w:r>
        <w:rPr>
          <w:rFonts w:ascii="Calibri" w:hAnsi="Calibri"/>
          <w:b w:val="0"/>
          <w:sz w:val="22"/>
        </w:rPr>
        <w:t>-- Follow-up phone call once DPD resulted.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Dr. Maya Ravel, Medical Oncology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