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TATA Cars in Mumbai on cars24.com</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Analysis and Insights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Distribution of Cars by Fuel Type:</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Pr>
        <w:drawing>
          <wp:inline distB="114300" distT="114300" distL="114300" distR="114300">
            <wp:extent cx="6091238" cy="348821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91238" cy="348821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Petrol cars dominate the dataset, with 25 cars compared to 7 diesel cars and 4 CNG cars.The bar chart provides a clear visual comparison of the distribution of cars by fuel type, showing the predominance of petrol cars.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Price vs </w:t>
      </w:r>
      <w:r w:rsidDel="00000000" w:rsidR="00000000" w:rsidRPr="00000000">
        <w:rPr>
          <w:sz w:val="24"/>
          <w:szCs w:val="24"/>
          <w:rtl w:val="0"/>
        </w:rPr>
        <w:t xml:space="preserve">Kilometers</w:t>
      </w:r>
      <w:r w:rsidDel="00000000" w:rsidR="00000000" w:rsidRPr="00000000">
        <w:rPr>
          <w:sz w:val="24"/>
          <w:szCs w:val="24"/>
          <w:rtl w:val="0"/>
        </w:rPr>
        <w:t xml:space="preserve"> Driven by Fuel Type:</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Pr>
        <w:drawing>
          <wp:inline distB="114300" distT="114300" distL="114300" distR="114300">
            <wp:extent cx="6480000" cy="3238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80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This scatter plot illustrates the relationship between the price of cars and the </w:t>
      </w:r>
      <w:r w:rsidDel="00000000" w:rsidR="00000000" w:rsidRPr="00000000">
        <w:rPr>
          <w:sz w:val="24"/>
          <w:szCs w:val="24"/>
          <w:rtl w:val="0"/>
        </w:rPr>
        <w:t xml:space="preserve">kilometers</w:t>
      </w:r>
      <w:r w:rsidDel="00000000" w:rsidR="00000000" w:rsidRPr="00000000">
        <w:rPr>
          <w:sz w:val="24"/>
          <w:szCs w:val="24"/>
          <w:rtl w:val="0"/>
        </w:rPr>
        <w:t xml:space="preserve"> driven, with different </w:t>
      </w:r>
      <w:r w:rsidDel="00000000" w:rsidR="00000000" w:rsidRPr="00000000">
        <w:rPr>
          <w:sz w:val="24"/>
          <w:szCs w:val="24"/>
          <w:rtl w:val="0"/>
        </w:rPr>
        <w:t xml:space="preserve">colors</w:t>
      </w:r>
      <w:r w:rsidDel="00000000" w:rsidR="00000000" w:rsidRPr="00000000">
        <w:rPr>
          <w:sz w:val="24"/>
          <w:szCs w:val="24"/>
          <w:rtl w:val="0"/>
        </w:rPr>
        <w:t xml:space="preserve"> representing fuel types. We can observe that there's a general trend of lower prices for cars with higher mileage, which is expected. The plot also shows that diesel cars tend to be priced higher than petrol cars, especially for lower mileage vehicles.</w:t>
      </w:r>
    </w:p>
    <w:p w:rsidR="00000000" w:rsidDel="00000000" w:rsidP="00000000" w:rsidRDefault="00000000" w:rsidRPr="00000000" w14:paraId="0000001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Average Price by Transmission Type:</w:t>
      </w:r>
    </w:p>
    <w:tbl>
      <w:tblPr>
        <w:tblStyle w:val="Table1"/>
        <w:tblW w:w="94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2.5"/>
        <w:gridCol w:w="4742.5"/>
        <w:tblGridChange w:id="0">
          <w:tblGrid>
            <w:gridCol w:w="4742.5"/>
            <w:gridCol w:w="4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Automatic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20817"/>
                <w:sz w:val="24"/>
                <w:szCs w:val="24"/>
                <w:shd w:fill="f3f4f6" w:val="clear"/>
                <w:rtl w:val="0"/>
              </w:rPr>
              <w:t xml:space="preserve">8.65857142857143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20817"/>
                <w:sz w:val="24"/>
                <w:szCs w:val="24"/>
                <w:shd w:fill="f3f4f6" w:val="clear"/>
                <w:rtl w:val="0"/>
              </w:rPr>
              <w:t xml:space="preserve">7.341818181818183</w:t>
            </w:r>
            <w:r w:rsidDel="00000000" w:rsidR="00000000" w:rsidRPr="00000000">
              <w:rPr>
                <w:rtl w:val="0"/>
              </w:rPr>
            </w:r>
          </w:p>
        </w:tc>
      </w:tr>
    </w:tbl>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This data shows that automatic transmission cars have a higher average price (8.66 Lakh ₹) compared to manual transmission cars (7.34 Lakh ₹). This suggests that automatic transmission is considered a premium feature in the Tata cars market in Mumbai.</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4. Correlation between Year and Price:</w:t>
      </w:r>
    </w:p>
    <w:p w:rsidR="00000000" w:rsidDel="00000000" w:rsidP="00000000" w:rsidRDefault="00000000" w:rsidRPr="00000000" w14:paraId="00000028">
      <w:pPr>
        <w:spacing w:after="240" w:before="240" w:lineRule="auto"/>
        <w:ind w:left="0" w:firstLine="0"/>
        <w:jc w:val="both"/>
        <w:rPr>
          <w:sz w:val="24"/>
          <w:szCs w:val="24"/>
        </w:rPr>
      </w:pPr>
      <w:r w:rsidDel="00000000" w:rsidR="00000000" w:rsidRPr="00000000">
        <w:rPr>
          <w:sz w:val="24"/>
          <w:szCs w:val="24"/>
          <w:rtl w:val="0"/>
        </w:rPr>
        <w:t xml:space="preserve">Correlation between Year and Price: 0.51</w:t>
      </w:r>
    </w:p>
    <w:p w:rsidR="00000000" w:rsidDel="00000000" w:rsidP="00000000" w:rsidRDefault="00000000" w:rsidRPr="00000000" w14:paraId="00000029">
      <w:pPr>
        <w:spacing w:after="240" w:before="240" w:lineRule="auto"/>
        <w:ind w:left="0" w:firstLine="0"/>
        <w:jc w:val="both"/>
        <w:rPr>
          <w:sz w:val="24"/>
          <w:szCs w:val="24"/>
        </w:rPr>
      </w:pPr>
      <w:r w:rsidDel="00000000" w:rsidR="00000000" w:rsidRPr="00000000">
        <w:rPr>
          <w:sz w:val="24"/>
          <w:szCs w:val="24"/>
          <w:rtl w:val="0"/>
        </w:rPr>
        <w:t xml:space="preserve">The correlation coefficient of 0.51 indicates a moderate positive correlation between the manufacturing year and the price of the car. This suggests that newer models tend to be more expensive, which is a common trend in the automotive market.</w:t>
      </w:r>
    </w:p>
    <w:p w:rsidR="00000000" w:rsidDel="00000000" w:rsidP="00000000" w:rsidRDefault="00000000" w:rsidRPr="00000000" w14:paraId="0000002A">
      <w:pPr>
        <w:spacing w:after="240" w:before="240" w:lineRule="auto"/>
        <w:ind w:left="0" w:firstLine="0"/>
        <w:jc w:val="both"/>
        <w:rPr>
          <w:sz w:val="24"/>
          <w:szCs w:val="24"/>
        </w:rPr>
      </w:pPr>
      <w:r w:rsidDel="00000000" w:rsidR="00000000" w:rsidRPr="00000000">
        <w:rPr>
          <w:sz w:val="24"/>
          <w:szCs w:val="24"/>
          <w:rtl w:val="0"/>
        </w:rPr>
        <w:t xml:space="preserve">5. Average Prices of Tata Car Models by Year of Manufacture:</w:t>
      </w:r>
    </w:p>
    <w:p w:rsidR="00000000" w:rsidDel="00000000" w:rsidP="00000000" w:rsidRDefault="00000000" w:rsidRPr="00000000" w14:paraId="0000002B">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6480000" cy="3238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80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This graph visually represents the average prices of Tata cars for each year from 2017 to 2023. We can see a general upward trend in prices over the years.</w:t>
      </w:r>
    </w:p>
    <w:p w:rsidR="00000000" w:rsidDel="00000000" w:rsidP="00000000" w:rsidRDefault="00000000" w:rsidRPr="00000000" w14:paraId="0000002D">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720" w:firstLine="0"/>
        <w:jc w:val="both"/>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3">
      <w:pPr>
        <w:spacing w:after="240" w:before="240" w:lineRule="auto"/>
        <w:ind w:left="720" w:firstLine="0"/>
        <w:jc w:val="both"/>
        <w:rPr>
          <w:sz w:val="24"/>
          <w:szCs w:val="24"/>
        </w:rPr>
      </w:pPr>
      <w:r w:rsidDel="00000000" w:rsidR="00000000" w:rsidRPr="00000000">
        <w:rPr>
          <w:rtl w:val="0"/>
        </w:rPr>
      </w:r>
    </w:p>
    <w:tbl>
      <w:tblPr>
        <w:tblStyle w:val="Table2"/>
        <w:tblpPr w:leftFromText="180" w:rightFromText="180" w:topFromText="180" w:bottomFromText="180" w:vertAnchor="text" w:horzAnchor="text" w:tblpX="-855" w:tblpY="0"/>
        <w:tblW w:w="10204.72440944881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5535338959126"/>
        <w:gridCol w:w="7589.170875552905"/>
        <w:tblGridChange w:id="0">
          <w:tblGrid>
            <w:gridCol w:w="2615.5535338959126"/>
            <w:gridCol w:w="7589.170875552905"/>
          </w:tblGrid>
        </w:tblGridChange>
      </w:tblGrid>
      <w:tr>
        <w:trPr>
          <w:cantSplit w:val="0"/>
          <w:trHeight w:val="330"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4">
            <w:pPr>
              <w:spacing w:after="240" w:before="240" w:lineRule="auto"/>
              <w:ind w:left="720"/>
              <w:jc w:val="center"/>
              <w:rPr>
                <w:color w:val="020817"/>
                <w:sz w:val="24"/>
                <w:szCs w:val="24"/>
              </w:rPr>
            </w:pPr>
            <w:r w:rsidDel="00000000" w:rsidR="00000000" w:rsidRPr="00000000">
              <w:rPr>
                <w:b w:val="1"/>
                <w:color w:val="020817"/>
                <w:sz w:val="24"/>
                <w:szCs w:val="24"/>
                <w:rtl w:val="0"/>
              </w:rPr>
              <w:t xml:space="preserve">year</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5">
            <w:pPr>
              <w:spacing w:after="240" w:before="240" w:lineRule="auto"/>
              <w:ind w:left="720"/>
              <w:jc w:val="center"/>
              <w:rPr>
                <w:b w:val="1"/>
                <w:color w:val="020817"/>
                <w:sz w:val="24"/>
                <w:szCs w:val="24"/>
              </w:rPr>
            </w:pPr>
            <w:r w:rsidDel="00000000" w:rsidR="00000000" w:rsidRPr="00000000">
              <w:rPr>
                <w:b w:val="1"/>
                <w:color w:val="020817"/>
                <w:sz w:val="24"/>
                <w:szCs w:val="24"/>
                <w:rtl w:val="0"/>
              </w:rPr>
              <w:t xml:space="preserve">Price</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6">
            <w:pPr>
              <w:spacing w:after="240" w:before="240" w:lineRule="auto"/>
              <w:ind w:left="720"/>
              <w:jc w:val="center"/>
              <w:rPr>
                <w:color w:val="020817"/>
                <w:sz w:val="24"/>
                <w:szCs w:val="24"/>
              </w:rPr>
            </w:pPr>
            <w:r w:rsidDel="00000000" w:rsidR="00000000" w:rsidRPr="00000000">
              <w:rPr>
                <w:b w:val="1"/>
                <w:color w:val="020817"/>
                <w:sz w:val="24"/>
                <w:szCs w:val="24"/>
                <w:rtl w:val="0"/>
              </w:rPr>
              <w:t xml:space="preserve">2017</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7">
            <w:pPr>
              <w:spacing w:after="240" w:before="240" w:lineRule="auto"/>
              <w:ind w:left="720"/>
              <w:jc w:val="both"/>
              <w:rPr>
                <w:color w:val="020817"/>
                <w:sz w:val="24"/>
                <w:szCs w:val="24"/>
              </w:rPr>
            </w:pPr>
            <w:r w:rsidDel="00000000" w:rsidR="00000000" w:rsidRPr="00000000">
              <w:rPr>
                <w:color w:val="020817"/>
                <w:sz w:val="24"/>
                <w:szCs w:val="24"/>
                <w:rtl w:val="0"/>
              </w:rPr>
              <w:t xml:space="preserve">4.07</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8">
            <w:pPr>
              <w:spacing w:after="240" w:before="240" w:lineRule="auto"/>
              <w:ind w:left="720"/>
              <w:jc w:val="center"/>
              <w:rPr>
                <w:color w:val="020817"/>
                <w:sz w:val="24"/>
                <w:szCs w:val="24"/>
              </w:rPr>
            </w:pPr>
            <w:r w:rsidDel="00000000" w:rsidR="00000000" w:rsidRPr="00000000">
              <w:rPr>
                <w:b w:val="1"/>
                <w:color w:val="020817"/>
                <w:sz w:val="24"/>
                <w:szCs w:val="24"/>
                <w:rtl w:val="0"/>
              </w:rPr>
              <w:t xml:space="preserve">2018</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9">
            <w:pPr>
              <w:spacing w:after="240" w:before="240" w:lineRule="auto"/>
              <w:ind w:left="720"/>
              <w:jc w:val="both"/>
              <w:rPr>
                <w:color w:val="020817"/>
                <w:sz w:val="24"/>
                <w:szCs w:val="24"/>
              </w:rPr>
            </w:pPr>
            <w:r w:rsidDel="00000000" w:rsidR="00000000" w:rsidRPr="00000000">
              <w:rPr>
                <w:color w:val="020817"/>
                <w:sz w:val="24"/>
                <w:szCs w:val="24"/>
                <w:rtl w:val="0"/>
              </w:rPr>
              <w:t xml:space="preserve">5.3133333333333335</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A">
            <w:pPr>
              <w:spacing w:after="240" w:before="240" w:lineRule="auto"/>
              <w:ind w:left="720"/>
              <w:jc w:val="center"/>
              <w:rPr>
                <w:color w:val="020817"/>
                <w:sz w:val="24"/>
                <w:szCs w:val="24"/>
              </w:rPr>
            </w:pPr>
            <w:r w:rsidDel="00000000" w:rsidR="00000000" w:rsidRPr="00000000">
              <w:rPr>
                <w:b w:val="1"/>
                <w:color w:val="020817"/>
                <w:sz w:val="24"/>
                <w:szCs w:val="24"/>
                <w:rtl w:val="0"/>
              </w:rPr>
              <w:t xml:space="preserve">2019</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B">
            <w:pPr>
              <w:spacing w:after="240" w:before="240" w:lineRule="auto"/>
              <w:ind w:left="720"/>
              <w:jc w:val="both"/>
              <w:rPr>
                <w:color w:val="020817"/>
                <w:sz w:val="24"/>
                <w:szCs w:val="24"/>
              </w:rPr>
            </w:pPr>
            <w:r w:rsidDel="00000000" w:rsidR="00000000" w:rsidRPr="00000000">
              <w:rPr>
                <w:color w:val="020817"/>
                <w:sz w:val="24"/>
                <w:szCs w:val="24"/>
                <w:rtl w:val="0"/>
              </w:rPr>
              <w:t xml:space="preserve">7.918571428571428</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C">
            <w:pPr>
              <w:spacing w:after="240" w:before="240" w:lineRule="auto"/>
              <w:ind w:left="720"/>
              <w:jc w:val="center"/>
              <w:rPr>
                <w:color w:val="020817"/>
                <w:sz w:val="24"/>
                <w:szCs w:val="24"/>
              </w:rPr>
            </w:pPr>
            <w:r w:rsidDel="00000000" w:rsidR="00000000" w:rsidRPr="00000000">
              <w:rPr>
                <w:b w:val="1"/>
                <w:color w:val="020817"/>
                <w:sz w:val="24"/>
                <w:szCs w:val="24"/>
                <w:rtl w:val="0"/>
              </w:rPr>
              <w:t xml:space="preserve">2020</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D">
            <w:pPr>
              <w:spacing w:after="240" w:before="240" w:lineRule="auto"/>
              <w:ind w:left="720"/>
              <w:jc w:val="both"/>
              <w:rPr>
                <w:color w:val="020817"/>
                <w:sz w:val="24"/>
                <w:szCs w:val="24"/>
              </w:rPr>
            </w:pPr>
            <w:r w:rsidDel="00000000" w:rsidR="00000000" w:rsidRPr="00000000">
              <w:rPr>
                <w:color w:val="020817"/>
                <w:sz w:val="24"/>
                <w:szCs w:val="24"/>
                <w:rtl w:val="0"/>
              </w:rPr>
              <w:t xml:space="preserve">6.616666666666667</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E">
            <w:pPr>
              <w:spacing w:after="240" w:before="240" w:lineRule="auto"/>
              <w:ind w:left="720"/>
              <w:jc w:val="center"/>
              <w:rPr>
                <w:color w:val="020817"/>
                <w:sz w:val="24"/>
                <w:szCs w:val="24"/>
              </w:rPr>
            </w:pPr>
            <w:r w:rsidDel="00000000" w:rsidR="00000000" w:rsidRPr="00000000">
              <w:rPr>
                <w:b w:val="1"/>
                <w:color w:val="020817"/>
                <w:sz w:val="24"/>
                <w:szCs w:val="24"/>
                <w:rtl w:val="0"/>
              </w:rPr>
              <w:t xml:space="preserve">2021</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3F">
            <w:pPr>
              <w:spacing w:after="240" w:before="240" w:lineRule="auto"/>
              <w:ind w:left="720"/>
              <w:jc w:val="both"/>
              <w:rPr>
                <w:color w:val="020817"/>
                <w:sz w:val="24"/>
                <w:szCs w:val="24"/>
              </w:rPr>
            </w:pPr>
            <w:r w:rsidDel="00000000" w:rsidR="00000000" w:rsidRPr="00000000">
              <w:rPr>
                <w:color w:val="020817"/>
                <w:sz w:val="24"/>
                <w:szCs w:val="24"/>
                <w:rtl w:val="0"/>
              </w:rPr>
              <w:t xml:space="preserve">9.018333333333333</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40">
            <w:pPr>
              <w:spacing w:after="240" w:before="240" w:lineRule="auto"/>
              <w:ind w:left="720"/>
              <w:jc w:val="center"/>
              <w:rPr>
                <w:color w:val="020817"/>
                <w:sz w:val="24"/>
                <w:szCs w:val="24"/>
              </w:rPr>
            </w:pPr>
            <w:r w:rsidDel="00000000" w:rsidR="00000000" w:rsidRPr="00000000">
              <w:rPr>
                <w:b w:val="1"/>
                <w:color w:val="020817"/>
                <w:sz w:val="24"/>
                <w:szCs w:val="24"/>
                <w:rtl w:val="0"/>
              </w:rPr>
              <w:t xml:space="preserve">2022</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41">
            <w:pPr>
              <w:spacing w:after="240" w:before="240" w:lineRule="auto"/>
              <w:ind w:left="720"/>
              <w:jc w:val="both"/>
              <w:rPr>
                <w:color w:val="020817"/>
                <w:sz w:val="24"/>
                <w:szCs w:val="24"/>
              </w:rPr>
            </w:pPr>
            <w:r w:rsidDel="00000000" w:rsidR="00000000" w:rsidRPr="00000000">
              <w:rPr>
                <w:color w:val="020817"/>
                <w:sz w:val="24"/>
                <w:szCs w:val="24"/>
                <w:rtl w:val="0"/>
              </w:rPr>
              <w:t xml:space="preserve">10.348749999999999</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42">
            <w:pPr>
              <w:spacing w:after="240" w:before="240" w:lineRule="auto"/>
              <w:ind w:left="720"/>
              <w:jc w:val="center"/>
              <w:rPr>
                <w:color w:val="020817"/>
                <w:sz w:val="24"/>
                <w:szCs w:val="24"/>
              </w:rPr>
            </w:pPr>
            <w:r w:rsidDel="00000000" w:rsidR="00000000" w:rsidRPr="00000000">
              <w:rPr>
                <w:b w:val="1"/>
                <w:color w:val="020817"/>
                <w:sz w:val="24"/>
                <w:szCs w:val="24"/>
                <w:rtl w:val="0"/>
              </w:rPr>
              <w:t xml:space="preserve">2023</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tcPr>
          <w:p w:rsidR="00000000" w:rsidDel="00000000" w:rsidP="00000000" w:rsidRDefault="00000000" w:rsidRPr="00000000" w14:paraId="00000043">
            <w:pPr>
              <w:spacing w:after="240" w:before="240" w:lineRule="auto"/>
              <w:ind w:left="720"/>
              <w:jc w:val="both"/>
              <w:rPr>
                <w:color w:val="020817"/>
                <w:sz w:val="24"/>
                <w:szCs w:val="24"/>
              </w:rPr>
            </w:pPr>
            <w:r w:rsidDel="00000000" w:rsidR="00000000" w:rsidRPr="00000000">
              <w:rPr>
                <w:color w:val="020817"/>
                <w:sz w:val="24"/>
                <w:szCs w:val="24"/>
                <w:rtl w:val="0"/>
              </w:rPr>
              <w:t xml:space="preserve">10.69</w:t>
            </w:r>
          </w:p>
        </w:tc>
      </w:tr>
    </w:tbl>
    <w:p w:rsidR="00000000" w:rsidDel="00000000" w:rsidP="00000000" w:rsidRDefault="00000000" w:rsidRPr="00000000" w14:paraId="00000044">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As we can see: </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- 2017 models have the lowest average price at 4.07 Lakh ₹ </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 There's a significant jump in average price for 2019 models (7.92 Lakh ₹)</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 - The most recent years (2021-2023) show the highest average prices, with 2023 models averaging 10.69 Lakh ₹</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It's important to note that these averages might be influenced by the specific models available for each year and the number of cars in the dataset for each year.</w:t>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color w:val="020817"/>
          <w:sz w:val="24"/>
          <w:szCs w:val="24"/>
        </w:rPr>
      </w:pPr>
      <w:r w:rsidDel="00000000" w:rsidR="00000000" w:rsidRPr="00000000">
        <w:rPr>
          <w:sz w:val="24"/>
          <w:szCs w:val="24"/>
          <w:rtl w:val="0"/>
        </w:rPr>
        <w:t xml:space="preserve">Overall Price Statistics:</w:t>
      </w:r>
      <w:r w:rsidDel="00000000" w:rsidR="00000000" w:rsidRPr="00000000">
        <w:rPr>
          <w:rtl w:val="0"/>
        </w:rPr>
      </w:r>
    </w:p>
    <w:tbl>
      <w:tblPr>
        <w:tblStyle w:val="Table3"/>
        <w:tblW w:w="10204.72440944881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3.289333528269"/>
        <w:gridCol w:w="7511.435075920549"/>
        <w:tblGridChange w:id="0">
          <w:tblGrid>
            <w:gridCol w:w="2693.289333528269"/>
            <w:gridCol w:w="7511.435075920549"/>
          </w:tblGrid>
        </w:tblGridChange>
      </w:tblGrid>
      <w:tr>
        <w:trPr>
          <w:cantSplit w:val="0"/>
          <w:trHeight w:val="330"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3">
            <w:pPr>
              <w:spacing w:after="240" w:before="240" w:lineRule="auto"/>
              <w:jc w:val="center"/>
              <w:rPr>
                <w:color w:val="020817"/>
                <w:sz w:val="24"/>
                <w:szCs w:val="24"/>
              </w:rPr>
            </w:pP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4">
            <w:pPr>
              <w:spacing w:after="240" w:before="240" w:lineRule="auto"/>
              <w:jc w:val="center"/>
              <w:rPr>
                <w:color w:val="020817"/>
                <w:sz w:val="24"/>
                <w:szCs w:val="24"/>
              </w:rPr>
            </w:pPr>
            <w:r w:rsidDel="00000000" w:rsidR="00000000" w:rsidRPr="00000000">
              <w:rPr>
                <w:b w:val="1"/>
                <w:color w:val="020817"/>
                <w:sz w:val="24"/>
                <w:szCs w:val="24"/>
                <w:rtl w:val="0"/>
              </w:rPr>
              <w:t xml:space="preserve">Price</w:t>
            </w:r>
            <w:r w:rsidDel="00000000" w:rsidR="00000000" w:rsidRPr="00000000">
              <w:rPr>
                <w:rtl w:val="0"/>
              </w:rPr>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5">
            <w:pPr>
              <w:spacing w:after="240" w:before="240" w:lineRule="auto"/>
              <w:jc w:val="center"/>
              <w:rPr>
                <w:color w:val="020817"/>
                <w:sz w:val="24"/>
                <w:szCs w:val="24"/>
              </w:rPr>
            </w:pPr>
            <w:r w:rsidDel="00000000" w:rsidR="00000000" w:rsidRPr="00000000">
              <w:rPr>
                <w:b w:val="1"/>
                <w:color w:val="020817"/>
                <w:sz w:val="24"/>
                <w:szCs w:val="24"/>
                <w:rtl w:val="0"/>
              </w:rPr>
              <w:t xml:space="preserve">count</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6">
            <w:pPr>
              <w:spacing w:after="240" w:before="240" w:lineRule="auto"/>
              <w:rPr>
                <w:color w:val="020817"/>
                <w:sz w:val="24"/>
                <w:szCs w:val="24"/>
              </w:rPr>
            </w:pPr>
            <w:r w:rsidDel="00000000" w:rsidR="00000000" w:rsidRPr="00000000">
              <w:rPr>
                <w:color w:val="020817"/>
                <w:sz w:val="24"/>
                <w:szCs w:val="24"/>
                <w:rtl w:val="0"/>
              </w:rPr>
              <w:t xml:space="preserve">36.0</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7">
            <w:pPr>
              <w:spacing w:after="240" w:before="240" w:lineRule="auto"/>
              <w:jc w:val="center"/>
              <w:rPr>
                <w:color w:val="020817"/>
                <w:sz w:val="24"/>
                <w:szCs w:val="24"/>
              </w:rPr>
            </w:pPr>
            <w:r w:rsidDel="00000000" w:rsidR="00000000" w:rsidRPr="00000000">
              <w:rPr>
                <w:b w:val="1"/>
                <w:color w:val="020817"/>
                <w:sz w:val="24"/>
                <w:szCs w:val="24"/>
                <w:rtl w:val="0"/>
              </w:rPr>
              <w:t xml:space="preserve">mean</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8">
            <w:pPr>
              <w:spacing w:after="240" w:before="240" w:lineRule="auto"/>
              <w:rPr>
                <w:color w:val="020817"/>
                <w:sz w:val="24"/>
                <w:szCs w:val="24"/>
              </w:rPr>
            </w:pPr>
            <w:r w:rsidDel="00000000" w:rsidR="00000000" w:rsidRPr="00000000">
              <w:rPr>
                <w:color w:val="020817"/>
                <w:sz w:val="24"/>
                <w:szCs w:val="24"/>
                <w:rtl w:val="0"/>
              </w:rPr>
              <w:t xml:space="preserve">7.853888888888889</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9">
            <w:pPr>
              <w:spacing w:after="240" w:before="240" w:lineRule="auto"/>
              <w:jc w:val="center"/>
              <w:rPr>
                <w:color w:val="020817"/>
                <w:sz w:val="24"/>
                <w:szCs w:val="24"/>
              </w:rPr>
            </w:pPr>
            <w:r w:rsidDel="00000000" w:rsidR="00000000" w:rsidRPr="00000000">
              <w:rPr>
                <w:b w:val="1"/>
                <w:color w:val="020817"/>
                <w:sz w:val="24"/>
                <w:szCs w:val="24"/>
                <w:rtl w:val="0"/>
              </w:rPr>
              <w:t xml:space="preserve">std</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A">
            <w:pPr>
              <w:spacing w:after="240" w:before="240" w:lineRule="auto"/>
              <w:rPr>
                <w:color w:val="020817"/>
                <w:sz w:val="24"/>
                <w:szCs w:val="24"/>
              </w:rPr>
            </w:pPr>
            <w:r w:rsidDel="00000000" w:rsidR="00000000" w:rsidRPr="00000000">
              <w:rPr>
                <w:color w:val="020817"/>
                <w:sz w:val="24"/>
                <w:szCs w:val="24"/>
                <w:rtl w:val="0"/>
              </w:rPr>
              <w:t xml:space="preserve">3.684949526909835</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B">
            <w:pPr>
              <w:spacing w:after="240" w:before="240" w:lineRule="auto"/>
              <w:jc w:val="center"/>
              <w:rPr>
                <w:color w:val="020817"/>
                <w:sz w:val="24"/>
                <w:szCs w:val="24"/>
              </w:rPr>
            </w:pPr>
            <w:r w:rsidDel="00000000" w:rsidR="00000000" w:rsidRPr="00000000">
              <w:rPr>
                <w:b w:val="1"/>
                <w:color w:val="020817"/>
                <w:sz w:val="24"/>
                <w:szCs w:val="24"/>
                <w:rtl w:val="0"/>
              </w:rPr>
              <w:t xml:space="preserve">min</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C">
            <w:pPr>
              <w:spacing w:after="240" w:before="240" w:lineRule="auto"/>
              <w:rPr>
                <w:color w:val="020817"/>
                <w:sz w:val="24"/>
                <w:szCs w:val="24"/>
              </w:rPr>
            </w:pPr>
            <w:r w:rsidDel="00000000" w:rsidR="00000000" w:rsidRPr="00000000">
              <w:rPr>
                <w:color w:val="020817"/>
                <w:sz w:val="24"/>
                <w:szCs w:val="24"/>
                <w:rtl w:val="0"/>
              </w:rPr>
              <w:t xml:space="preserve">4.02</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D">
            <w:pPr>
              <w:spacing w:after="240" w:before="240" w:lineRule="auto"/>
              <w:jc w:val="center"/>
              <w:rPr>
                <w:color w:val="020817"/>
                <w:sz w:val="24"/>
                <w:szCs w:val="24"/>
              </w:rPr>
            </w:pPr>
            <w:r w:rsidDel="00000000" w:rsidR="00000000" w:rsidRPr="00000000">
              <w:rPr>
                <w:b w:val="1"/>
                <w:color w:val="020817"/>
                <w:sz w:val="24"/>
                <w:szCs w:val="24"/>
                <w:rtl w:val="0"/>
              </w:rPr>
              <w:t xml:space="preserve">25%</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E">
            <w:pPr>
              <w:spacing w:after="240" w:before="240" w:lineRule="auto"/>
              <w:rPr>
                <w:color w:val="020817"/>
                <w:sz w:val="24"/>
                <w:szCs w:val="24"/>
              </w:rPr>
            </w:pPr>
            <w:r w:rsidDel="00000000" w:rsidR="00000000" w:rsidRPr="00000000">
              <w:rPr>
                <w:color w:val="020817"/>
                <w:sz w:val="24"/>
                <w:szCs w:val="24"/>
                <w:rtl w:val="0"/>
              </w:rPr>
              <w:t xml:space="preserve">5.355</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6F">
            <w:pPr>
              <w:spacing w:after="240" w:before="240" w:lineRule="auto"/>
              <w:jc w:val="center"/>
              <w:rPr>
                <w:color w:val="020817"/>
                <w:sz w:val="24"/>
                <w:szCs w:val="24"/>
              </w:rPr>
            </w:pPr>
            <w:r w:rsidDel="00000000" w:rsidR="00000000" w:rsidRPr="00000000">
              <w:rPr>
                <w:b w:val="1"/>
                <w:color w:val="020817"/>
                <w:sz w:val="24"/>
                <w:szCs w:val="24"/>
                <w:rtl w:val="0"/>
              </w:rPr>
              <w:t xml:space="preserve">50%</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70">
            <w:pPr>
              <w:spacing w:after="240" w:before="240" w:lineRule="auto"/>
              <w:rPr>
                <w:color w:val="020817"/>
                <w:sz w:val="24"/>
                <w:szCs w:val="24"/>
              </w:rPr>
            </w:pPr>
            <w:r w:rsidDel="00000000" w:rsidR="00000000" w:rsidRPr="00000000">
              <w:rPr>
                <w:color w:val="020817"/>
                <w:sz w:val="24"/>
                <w:szCs w:val="24"/>
                <w:rtl w:val="0"/>
              </w:rPr>
              <w:t xml:space="preserve">7.24</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71">
            <w:pPr>
              <w:spacing w:after="240" w:before="240" w:lineRule="auto"/>
              <w:jc w:val="center"/>
              <w:rPr>
                <w:color w:val="020817"/>
                <w:sz w:val="24"/>
                <w:szCs w:val="24"/>
              </w:rPr>
            </w:pPr>
            <w:r w:rsidDel="00000000" w:rsidR="00000000" w:rsidRPr="00000000">
              <w:rPr>
                <w:b w:val="1"/>
                <w:color w:val="020817"/>
                <w:sz w:val="24"/>
                <w:szCs w:val="24"/>
                <w:rtl w:val="0"/>
              </w:rPr>
              <w:t xml:space="preserve">75%</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72">
            <w:pPr>
              <w:spacing w:after="240" w:before="240" w:lineRule="auto"/>
              <w:rPr>
                <w:color w:val="020817"/>
                <w:sz w:val="24"/>
                <w:szCs w:val="24"/>
              </w:rPr>
            </w:pPr>
            <w:r w:rsidDel="00000000" w:rsidR="00000000" w:rsidRPr="00000000">
              <w:rPr>
                <w:color w:val="020817"/>
                <w:sz w:val="24"/>
                <w:szCs w:val="24"/>
                <w:rtl w:val="0"/>
              </w:rPr>
              <w:t xml:space="preserve">8.5975</w:t>
            </w:r>
          </w:p>
        </w:tc>
      </w:tr>
      <w:tr>
        <w:trPr>
          <w:cantSplit w:val="0"/>
          <w:trHeight w:val="315" w:hRule="atLeast"/>
          <w:tblHeader w:val="0"/>
        </w:trPr>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73">
            <w:pPr>
              <w:spacing w:after="240" w:before="240" w:lineRule="auto"/>
              <w:jc w:val="center"/>
              <w:rPr>
                <w:color w:val="020817"/>
                <w:sz w:val="24"/>
                <w:szCs w:val="24"/>
              </w:rPr>
            </w:pPr>
            <w:r w:rsidDel="00000000" w:rsidR="00000000" w:rsidRPr="00000000">
              <w:rPr>
                <w:b w:val="1"/>
                <w:color w:val="020817"/>
                <w:sz w:val="24"/>
                <w:szCs w:val="24"/>
                <w:rtl w:val="0"/>
              </w:rPr>
              <w:t xml:space="preserve">max</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60.0" w:type="dxa"/>
              <w:left w:w="60.0" w:type="dxa"/>
              <w:bottom w:w="60.0" w:type="dxa"/>
              <w:right w:w="60.0" w:type="dxa"/>
            </w:tcMar>
            <w:vAlign w:val="top"/>
          </w:tcPr>
          <w:p w:rsidR="00000000" w:rsidDel="00000000" w:rsidP="00000000" w:rsidRDefault="00000000" w:rsidRPr="00000000" w14:paraId="00000074">
            <w:pPr>
              <w:spacing w:after="240" w:before="240" w:lineRule="auto"/>
              <w:rPr>
                <w:color w:val="020817"/>
                <w:sz w:val="24"/>
                <w:szCs w:val="24"/>
              </w:rPr>
            </w:pPr>
            <w:r w:rsidDel="00000000" w:rsidR="00000000" w:rsidRPr="00000000">
              <w:rPr>
                <w:color w:val="020817"/>
                <w:sz w:val="24"/>
                <w:szCs w:val="24"/>
                <w:rtl w:val="0"/>
              </w:rPr>
              <w:t xml:space="preserve">20.27</w:t>
            </w:r>
          </w:p>
        </w:tc>
      </w:tr>
    </w:tbl>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These statistics give us a broader view of the price range: </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The average price across all years is about 7.85 Lakh ₹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The cheapest car in the dataset is priced at 4.02 Lakh ₹ </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 The most expensive car is priced at 20.27 Lakh ₹ - 50% of the cars (median) are priced at 7.24 Lakh ₹ or below</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analysis provides a comprehensive view of how Tata car prices vary by year of manufacture in the Mumbai market, based on the data provided</w:t>
      </w: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sectPr>
      <w:pgSz w:h="15840" w:w="12240" w:orient="portrait"/>
      <w:pgMar w:bottom="1440" w:top="1440" w:left="1440" w:right="59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