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24B046" w14:textId="5EF06837" w:rsidR="00EA0CB4" w:rsidRDefault="00EA0CB4" w:rsidP="00EA0CB4">
      <w:pPr>
        <w:spacing w:line="360" w:lineRule="auto"/>
        <w:jc w:val="center"/>
        <w:rPr>
          <w:b/>
          <w:bCs/>
          <w:sz w:val="36"/>
          <w:szCs w:val="36"/>
        </w:rPr>
      </w:pPr>
      <w:r>
        <w:rPr>
          <w:b/>
          <w:bCs/>
          <w:sz w:val="36"/>
          <w:szCs w:val="36"/>
        </w:rPr>
        <w:t>BA 64060 Final Project Report</w:t>
      </w:r>
    </w:p>
    <w:p w14:paraId="3D8B610B" w14:textId="77777777" w:rsidR="00EA0CB4" w:rsidRDefault="00EA0CB4" w:rsidP="00EA0CB4">
      <w:pPr>
        <w:spacing w:line="360" w:lineRule="auto"/>
        <w:jc w:val="center"/>
        <w:rPr>
          <w:b/>
          <w:bCs/>
          <w:sz w:val="30"/>
          <w:szCs w:val="30"/>
        </w:rPr>
      </w:pPr>
      <w:r>
        <w:rPr>
          <w:b/>
          <w:bCs/>
          <w:sz w:val="30"/>
          <w:szCs w:val="30"/>
        </w:rPr>
        <w:t>Clustering Analysis of US Power Generation (EIA-923, 2020) &amp; COVID-19 Impact</w:t>
      </w:r>
    </w:p>
    <w:p w14:paraId="2716C754" w14:textId="77777777" w:rsidR="00EA0CB4" w:rsidRPr="00062FB9" w:rsidRDefault="00EA0CB4" w:rsidP="00EA0CB4">
      <w:pPr>
        <w:jc w:val="center"/>
      </w:pPr>
      <w:r w:rsidRPr="00062FB9">
        <w:rPr>
          <w:b/>
          <w:bCs/>
          <w:sz w:val="28"/>
          <w:szCs w:val="28"/>
          <w:lang w:val="en-US"/>
        </w:rPr>
        <w:t>GROUP – 08</w:t>
      </w:r>
    </w:p>
    <w:p w14:paraId="2FE99D4F" w14:textId="77777777" w:rsidR="00EA0CB4" w:rsidRPr="00062FB9" w:rsidRDefault="00EA0CB4" w:rsidP="00EA0CB4"/>
    <w:p w14:paraId="3044B797" w14:textId="77777777" w:rsidR="00EA0CB4" w:rsidRPr="00062FB9" w:rsidRDefault="00EA0CB4" w:rsidP="00EA0CB4"/>
    <w:p w14:paraId="5743F82B" w14:textId="77777777" w:rsidR="00EA0CB4" w:rsidRPr="00062FB9" w:rsidRDefault="00EA0CB4" w:rsidP="00EA0CB4"/>
    <w:p w14:paraId="65945B11" w14:textId="77777777" w:rsidR="00EA0CB4" w:rsidRPr="00062FB9" w:rsidRDefault="00EA0CB4" w:rsidP="00EA0CB4"/>
    <w:p w14:paraId="07768607" w14:textId="77777777" w:rsidR="00EA0CB4" w:rsidRPr="00062FB9" w:rsidRDefault="00EA0CB4" w:rsidP="00EA0CB4">
      <w:r>
        <w:rPr>
          <w:noProof/>
        </w:rPr>
        <w:drawing>
          <wp:anchor distT="0" distB="0" distL="114300" distR="114300" simplePos="0" relativeHeight="251671552" behindDoc="1" locked="0" layoutInCell="1" allowOverlap="1" wp14:anchorId="580A20A1" wp14:editId="17929C34">
            <wp:simplePos x="0" y="0"/>
            <wp:positionH relativeFrom="margin">
              <wp:align>center</wp:align>
            </wp:positionH>
            <wp:positionV relativeFrom="paragraph">
              <wp:posOffset>241300</wp:posOffset>
            </wp:positionV>
            <wp:extent cx="2895600" cy="1581150"/>
            <wp:effectExtent l="0" t="0" r="0" b="0"/>
            <wp:wrapTopAndBottom/>
            <wp:docPr id="925481939" name="Picture 1" descr="Logos | Our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Our Bra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1581150"/>
                    </a:xfrm>
                    <a:prstGeom prst="rect">
                      <a:avLst/>
                    </a:prstGeom>
                    <a:noFill/>
                    <a:ln>
                      <a:noFill/>
                    </a:ln>
                  </pic:spPr>
                </pic:pic>
              </a:graphicData>
            </a:graphic>
            <wp14:sizeRelV relativeFrom="margin">
              <wp14:pctHeight>0</wp14:pctHeight>
            </wp14:sizeRelV>
          </wp:anchor>
        </w:drawing>
      </w:r>
    </w:p>
    <w:p w14:paraId="69006EC4" w14:textId="77777777" w:rsidR="00EA0CB4" w:rsidRPr="00062FB9" w:rsidRDefault="00EA0CB4" w:rsidP="00EA0CB4"/>
    <w:p w14:paraId="50A64632" w14:textId="77777777" w:rsidR="00EA0CB4" w:rsidRPr="00062FB9" w:rsidRDefault="00EA0CB4" w:rsidP="00EA0CB4"/>
    <w:p w14:paraId="15DFC2B6" w14:textId="77777777" w:rsidR="00EA0CB4" w:rsidRPr="00062FB9" w:rsidRDefault="00EA0CB4" w:rsidP="00EA0CB4"/>
    <w:p w14:paraId="443D6BBA" w14:textId="77777777" w:rsidR="00EA0CB4" w:rsidRPr="00062FB9" w:rsidRDefault="00EA0CB4" w:rsidP="00EA0CB4"/>
    <w:p w14:paraId="035A8D79" w14:textId="77777777" w:rsidR="00EA0CB4" w:rsidRPr="00062FB9" w:rsidRDefault="00EA0CB4" w:rsidP="00EA0CB4"/>
    <w:p w14:paraId="43F218B3" w14:textId="77777777" w:rsidR="00EA0CB4" w:rsidRPr="005154D0" w:rsidRDefault="00EA0CB4" w:rsidP="00EA0CB4">
      <w:pPr>
        <w:jc w:val="center"/>
        <w:rPr>
          <w:b/>
          <w:bCs/>
          <w:lang w:val="en-US"/>
        </w:rPr>
      </w:pPr>
      <w:r w:rsidRPr="005154D0">
        <w:rPr>
          <w:b/>
          <w:bCs/>
          <w:lang w:val="en-US"/>
        </w:rPr>
        <w:t>Instructor’s Name: -Mostafa Kamali Ardakani</w:t>
      </w:r>
    </w:p>
    <w:p w14:paraId="39AA5847" w14:textId="77777777" w:rsidR="00EA0CB4" w:rsidRPr="00062FB9" w:rsidRDefault="00EA0CB4" w:rsidP="00EA0CB4"/>
    <w:p w14:paraId="5709800C" w14:textId="77777777" w:rsidR="00EA0CB4" w:rsidRPr="00062FB9" w:rsidRDefault="00EA0CB4" w:rsidP="00EA0CB4"/>
    <w:tbl>
      <w:tblPr>
        <w:tblStyle w:val="TableGrid"/>
        <w:tblW w:w="8910" w:type="dxa"/>
        <w:tblInd w:w="175" w:type="dxa"/>
        <w:tblLook w:val="04A0" w:firstRow="1" w:lastRow="0" w:firstColumn="1" w:lastColumn="0" w:noHBand="0" w:noVBand="1"/>
      </w:tblPr>
      <w:tblGrid>
        <w:gridCol w:w="740"/>
        <w:gridCol w:w="3130"/>
        <w:gridCol w:w="1890"/>
        <w:gridCol w:w="3150"/>
      </w:tblGrid>
      <w:tr w:rsidR="00EA0CB4" w14:paraId="492607D9" w14:textId="77777777" w:rsidTr="0028233A">
        <w:trPr>
          <w:trHeight w:val="1015"/>
        </w:trPr>
        <w:tc>
          <w:tcPr>
            <w:tcW w:w="740" w:type="dxa"/>
          </w:tcPr>
          <w:p w14:paraId="2282278D" w14:textId="77777777" w:rsidR="00EA0CB4" w:rsidRDefault="00EA0CB4" w:rsidP="00F84314">
            <w:r w:rsidRPr="005154D0">
              <w:rPr>
                <w:b/>
                <w:bCs/>
              </w:rPr>
              <w:t>S.NO</w:t>
            </w:r>
          </w:p>
        </w:tc>
        <w:tc>
          <w:tcPr>
            <w:tcW w:w="3130" w:type="dxa"/>
          </w:tcPr>
          <w:p w14:paraId="763401DE" w14:textId="77777777" w:rsidR="00EA0CB4" w:rsidRDefault="00EA0CB4" w:rsidP="00F84314">
            <w:r w:rsidRPr="005154D0">
              <w:rPr>
                <w:b/>
                <w:bCs/>
              </w:rPr>
              <w:t>NAME</w:t>
            </w:r>
          </w:p>
        </w:tc>
        <w:tc>
          <w:tcPr>
            <w:tcW w:w="1890" w:type="dxa"/>
          </w:tcPr>
          <w:p w14:paraId="4438A3F3" w14:textId="77777777" w:rsidR="00EA0CB4" w:rsidRDefault="00EA0CB4" w:rsidP="00F84314">
            <w:r w:rsidRPr="005154D0">
              <w:rPr>
                <w:b/>
                <w:bCs/>
              </w:rPr>
              <w:t>STUDENT ID</w:t>
            </w:r>
          </w:p>
        </w:tc>
        <w:tc>
          <w:tcPr>
            <w:tcW w:w="3150" w:type="dxa"/>
          </w:tcPr>
          <w:p w14:paraId="4BF67652" w14:textId="77777777" w:rsidR="00EA0CB4" w:rsidRDefault="00EA0CB4" w:rsidP="00F84314">
            <w:r w:rsidRPr="005154D0">
              <w:rPr>
                <w:b/>
                <w:bCs/>
              </w:rPr>
              <w:t>CONTRIBUTION</w:t>
            </w:r>
          </w:p>
        </w:tc>
      </w:tr>
      <w:tr w:rsidR="00EA0CB4" w14:paraId="74564428" w14:textId="77777777" w:rsidTr="0028233A">
        <w:trPr>
          <w:trHeight w:val="1015"/>
        </w:trPr>
        <w:tc>
          <w:tcPr>
            <w:tcW w:w="740" w:type="dxa"/>
          </w:tcPr>
          <w:p w14:paraId="5307E46D" w14:textId="77777777" w:rsidR="00EA0CB4" w:rsidRPr="005154D0" w:rsidRDefault="00EA0CB4" w:rsidP="00F84314">
            <w:r w:rsidRPr="005154D0">
              <w:t>1.</w:t>
            </w:r>
          </w:p>
        </w:tc>
        <w:tc>
          <w:tcPr>
            <w:tcW w:w="3130" w:type="dxa"/>
          </w:tcPr>
          <w:p w14:paraId="70D30635" w14:textId="77777777" w:rsidR="00EA0CB4" w:rsidRPr="005154D0" w:rsidRDefault="00EA0CB4" w:rsidP="00F84314">
            <w:r w:rsidRPr="005154D0">
              <w:t>Akshar DilipKumar Patel</w:t>
            </w:r>
          </w:p>
        </w:tc>
        <w:tc>
          <w:tcPr>
            <w:tcW w:w="1890" w:type="dxa"/>
          </w:tcPr>
          <w:p w14:paraId="6AA20C92" w14:textId="77777777" w:rsidR="00EA0CB4" w:rsidRPr="005154D0" w:rsidRDefault="00EA0CB4" w:rsidP="00F84314">
            <w:r w:rsidRPr="005154D0">
              <w:t>811359891</w:t>
            </w:r>
          </w:p>
        </w:tc>
        <w:tc>
          <w:tcPr>
            <w:tcW w:w="3150" w:type="dxa"/>
          </w:tcPr>
          <w:p w14:paraId="65C93DD7" w14:textId="55D2E4D2" w:rsidR="00EA0CB4" w:rsidRPr="00A06F31" w:rsidRDefault="00C27E12" w:rsidP="00F84314">
            <w:r w:rsidRPr="00A06F31">
              <w:rPr>
                <w:lang w:val="en"/>
              </w:rPr>
              <w:t xml:space="preserve">Data cleaning, feature engineering, </w:t>
            </w:r>
            <w:r w:rsidR="007F3EFC">
              <w:rPr>
                <w:lang w:val="en"/>
              </w:rPr>
              <w:t>K-means model,</w:t>
            </w:r>
            <w:r w:rsidR="007F3EFC" w:rsidRPr="00A06F31">
              <w:t xml:space="preserve"> report</w:t>
            </w:r>
            <w:r w:rsidRPr="00A06F31">
              <w:rPr>
                <w:lang w:val="en"/>
              </w:rPr>
              <w:t xml:space="preserve"> &amp; PPT sections</w:t>
            </w:r>
          </w:p>
        </w:tc>
      </w:tr>
      <w:tr w:rsidR="00EA0CB4" w14:paraId="3364B4D1" w14:textId="77777777" w:rsidTr="0028233A">
        <w:trPr>
          <w:trHeight w:val="1015"/>
        </w:trPr>
        <w:tc>
          <w:tcPr>
            <w:tcW w:w="740" w:type="dxa"/>
          </w:tcPr>
          <w:p w14:paraId="2C81B7AE" w14:textId="77777777" w:rsidR="00EA0CB4" w:rsidRDefault="00EA0CB4" w:rsidP="00F84314">
            <w:r>
              <w:t>2.</w:t>
            </w:r>
          </w:p>
        </w:tc>
        <w:tc>
          <w:tcPr>
            <w:tcW w:w="3130" w:type="dxa"/>
          </w:tcPr>
          <w:p w14:paraId="07705F83" w14:textId="77777777" w:rsidR="00EA0CB4" w:rsidRDefault="00EA0CB4" w:rsidP="00F84314">
            <w:r>
              <w:t>Sai Ashrith Kumar Gajwelli</w:t>
            </w:r>
          </w:p>
        </w:tc>
        <w:tc>
          <w:tcPr>
            <w:tcW w:w="1890" w:type="dxa"/>
          </w:tcPr>
          <w:p w14:paraId="7D0CDB22" w14:textId="7CE73C48" w:rsidR="00EA0CB4" w:rsidRDefault="009D1FA5" w:rsidP="00F84314">
            <w:r w:rsidRPr="009D1FA5">
              <w:t>811317143</w:t>
            </w:r>
          </w:p>
        </w:tc>
        <w:tc>
          <w:tcPr>
            <w:tcW w:w="3150" w:type="dxa"/>
          </w:tcPr>
          <w:p w14:paraId="713FB08B" w14:textId="18848457" w:rsidR="00EA0CB4" w:rsidRDefault="00A06F31" w:rsidP="00F84314">
            <w:r w:rsidRPr="00A06F31">
              <w:rPr>
                <w:lang w:val="en"/>
              </w:rPr>
              <w:t>K-Means model, Elbow/Silhouette analysis, report &amp; PPT visuals</w:t>
            </w:r>
          </w:p>
        </w:tc>
      </w:tr>
      <w:tr w:rsidR="00EA0CB4" w14:paraId="28B4F1ED" w14:textId="77777777" w:rsidTr="0028233A">
        <w:trPr>
          <w:trHeight w:val="1015"/>
        </w:trPr>
        <w:tc>
          <w:tcPr>
            <w:tcW w:w="740" w:type="dxa"/>
          </w:tcPr>
          <w:p w14:paraId="39797431" w14:textId="77777777" w:rsidR="00EA0CB4" w:rsidRDefault="00EA0CB4" w:rsidP="00F84314">
            <w:r>
              <w:t>3.</w:t>
            </w:r>
          </w:p>
        </w:tc>
        <w:tc>
          <w:tcPr>
            <w:tcW w:w="3130" w:type="dxa"/>
          </w:tcPr>
          <w:p w14:paraId="036B5379" w14:textId="77777777" w:rsidR="00EA0CB4" w:rsidRDefault="00EA0CB4" w:rsidP="00F84314">
            <w:r>
              <w:t>Cole Yagersz</w:t>
            </w:r>
          </w:p>
        </w:tc>
        <w:tc>
          <w:tcPr>
            <w:tcW w:w="1890" w:type="dxa"/>
          </w:tcPr>
          <w:p w14:paraId="476DEA00" w14:textId="0F2D9E64" w:rsidR="00EA0CB4" w:rsidRDefault="00533F49" w:rsidP="00F84314">
            <w:r>
              <w:t>811149856</w:t>
            </w:r>
          </w:p>
        </w:tc>
        <w:tc>
          <w:tcPr>
            <w:tcW w:w="3150" w:type="dxa"/>
          </w:tcPr>
          <w:p w14:paraId="5EB6DFCF" w14:textId="4D84C3B4" w:rsidR="00EA0CB4" w:rsidRDefault="00A06F31" w:rsidP="00A06F31">
            <w:r w:rsidRPr="00A06F31">
              <w:rPr>
                <w:lang w:val="en"/>
              </w:rPr>
              <w:t>Data aggregation, monthly trend/COVID analysis, report &amp; PPT findings</w:t>
            </w:r>
          </w:p>
        </w:tc>
      </w:tr>
    </w:tbl>
    <w:p w14:paraId="00000003" w14:textId="77777777" w:rsidR="00923B13" w:rsidRDefault="00923B13" w:rsidP="00EA0CB4">
      <w:pPr>
        <w:spacing w:line="360" w:lineRule="auto"/>
        <w:rPr>
          <w:b/>
          <w:bCs/>
          <w:sz w:val="30"/>
          <w:szCs w:val="30"/>
        </w:rPr>
      </w:pPr>
    </w:p>
    <w:p w14:paraId="445B44F8" w14:textId="77777777" w:rsidR="005A0D6A" w:rsidRDefault="005A0D6A" w:rsidP="005A0D6A">
      <w:pPr>
        <w:spacing w:line="360" w:lineRule="auto"/>
        <w:jc w:val="both"/>
        <w:rPr>
          <w:b/>
          <w:bCs/>
          <w:sz w:val="30"/>
          <w:szCs w:val="30"/>
        </w:rPr>
      </w:pPr>
      <w:r w:rsidRPr="005A0D6A">
        <w:rPr>
          <w:b/>
          <w:bCs/>
          <w:sz w:val="30"/>
          <w:szCs w:val="30"/>
        </w:rPr>
        <w:t>1. Executive Summary</w:t>
      </w:r>
    </w:p>
    <w:p w14:paraId="7AFEB391" w14:textId="01418ECB" w:rsidR="00AF33AE" w:rsidRPr="00D040F7" w:rsidRDefault="005A0D6A" w:rsidP="005A0D6A">
      <w:pPr>
        <w:spacing w:line="360" w:lineRule="auto"/>
        <w:jc w:val="both"/>
        <w:rPr>
          <w:sz w:val="24"/>
          <w:szCs w:val="24"/>
          <w:lang w:val="en-US"/>
        </w:rPr>
      </w:pPr>
      <w:r>
        <w:rPr>
          <w:sz w:val="24"/>
          <w:szCs w:val="24"/>
        </w:rPr>
        <w:t xml:space="preserve">             </w:t>
      </w:r>
      <w:r w:rsidR="00D040F7" w:rsidRPr="00D040F7">
        <w:rPr>
          <w:sz w:val="24"/>
          <w:szCs w:val="24"/>
          <w:lang w:val="en-US"/>
        </w:rPr>
        <w:t xml:space="preserve">The 2020 EIA-923 US power plant generation dataset is exposed to machine learning clustering techniques with the goal to find notable production-based power plant segments. These segments are investigated to see how the COVID-19 pandemic has changed the power plants' production characteristics. We implement K-means clustering applying annual generation and thermal efficiency after compiling and filtering the data. Using silhouette scores and the elbow </w:t>
      </w:r>
      <w:r w:rsidR="008A39B8" w:rsidRPr="00D040F7">
        <w:rPr>
          <w:sz w:val="24"/>
          <w:szCs w:val="24"/>
          <w:lang w:val="en-US"/>
        </w:rPr>
        <w:t>strategy</w:t>
      </w:r>
      <w:r w:rsidR="008A39B8">
        <w:rPr>
          <w:sz w:val="24"/>
          <w:szCs w:val="24"/>
          <w:lang w:val="en-US"/>
        </w:rPr>
        <w:t xml:space="preserve"> </w:t>
      </w:r>
      <w:r w:rsidR="008A39B8" w:rsidRPr="00D040F7">
        <w:rPr>
          <w:sz w:val="24"/>
          <w:szCs w:val="24"/>
          <w:lang w:val="en-US"/>
        </w:rPr>
        <w:t>seven</w:t>
      </w:r>
      <w:r w:rsidR="00D040F7" w:rsidRPr="00D040F7">
        <w:rPr>
          <w:sz w:val="24"/>
          <w:szCs w:val="24"/>
          <w:lang w:val="en-US"/>
        </w:rPr>
        <w:t xml:space="preserve"> clusters were identified to be the most beneficial. All clusters' monthly generation records during the COVID-19 pandemic demonstrate a drop in the demand for electric power across the entire spectrum. This distinction makes it simpler to comprehend how US power plants are different technically and how they address the pandemic</w:t>
      </w:r>
      <w:r w:rsidRPr="005A0D6A">
        <w:rPr>
          <w:sz w:val="24"/>
          <w:szCs w:val="24"/>
        </w:rPr>
        <w:t>.</w:t>
      </w:r>
    </w:p>
    <w:p w14:paraId="706F09C0" w14:textId="77777777" w:rsidR="005A0D6A" w:rsidRDefault="005A0D6A" w:rsidP="00AF33AE">
      <w:pPr>
        <w:spacing w:line="360" w:lineRule="auto"/>
        <w:jc w:val="both"/>
        <w:rPr>
          <w:b/>
          <w:bCs/>
          <w:sz w:val="30"/>
          <w:szCs w:val="30"/>
        </w:rPr>
      </w:pPr>
      <w:r w:rsidRPr="005A0D6A">
        <w:rPr>
          <w:b/>
          <w:bCs/>
          <w:sz w:val="30"/>
          <w:szCs w:val="30"/>
        </w:rPr>
        <w:t>2. Introduction</w:t>
      </w:r>
    </w:p>
    <w:p w14:paraId="7D9286E8" w14:textId="18F5C426" w:rsidR="005A0D6A" w:rsidRPr="00874B0D" w:rsidRDefault="00533F49" w:rsidP="00AF33AE">
      <w:pPr>
        <w:spacing w:line="360" w:lineRule="auto"/>
        <w:jc w:val="both"/>
        <w:rPr>
          <w:sz w:val="24"/>
          <w:szCs w:val="24"/>
          <w:lang w:val="en-US"/>
        </w:rPr>
      </w:pPr>
      <w:r>
        <w:rPr>
          <w:sz w:val="24"/>
          <w:szCs w:val="24"/>
        </w:rPr>
        <w:tab/>
      </w:r>
      <w:r w:rsidR="0029724B" w:rsidRPr="0029724B">
        <w:rPr>
          <w:sz w:val="24"/>
          <w:szCs w:val="24"/>
          <w:lang w:val="en-US"/>
        </w:rPr>
        <w:t xml:space="preserve">The US Energy Information Administration's EIA-923 form produced the project's data. This form aggregates monthly data from all US power amenities relating </w:t>
      </w:r>
      <w:r w:rsidR="00874B0D" w:rsidRPr="0029724B">
        <w:rPr>
          <w:sz w:val="24"/>
          <w:szCs w:val="24"/>
          <w:lang w:val="en-US"/>
        </w:rPr>
        <w:t>to fuel</w:t>
      </w:r>
      <w:r w:rsidR="0029724B" w:rsidRPr="0029724B">
        <w:rPr>
          <w:sz w:val="24"/>
          <w:szCs w:val="24"/>
          <w:lang w:val="en-US"/>
        </w:rPr>
        <w:t xml:space="preserve"> </w:t>
      </w:r>
      <w:r w:rsidR="00874B0D" w:rsidRPr="0029724B">
        <w:rPr>
          <w:sz w:val="24"/>
          <w:szCs w:val="24"/>
          <w:lang w:val="en-US"/>
        </w:rPr>
        <w:t>utilization</w:t>
      </w:r>
      <w:r w:rsidR="0029724B" w:rsidRPr="0029724B">
        <w:rPr>
          <w:sz w:val="24"/>
          <w:szCs w:val="24"/>
          <w:lang w:val="en-US"/>
        </w:rPr>
        <w:t xml:space="preserve"> and electrical generation. To analyze what sorts of changes transpired during this time, we used the 2020 dataset, since that was the year when the pandemic </w:t>
      </w:r>
      <w:r w:rsidR="00874B0D" w:rsidRPr="0029724B">
        <w:rPr>
          <w:sz w:val="24"/>
          <w:szCs w:val="24"/>
          <w:lang w:val="en-US"/>
        </w:rPr>
        <w:t>has</w:t>
      </w:r>
      <w:r w:rsidR="0029724B" w:rsidRPr="0029724B">
        <w:rPr>
          <w:sz w:val="24"/>
          <w:szCs w:val="24"/>
          <w:lang w:val="en-US"/>
        </w:rPr>
        <w:t xml:space="preserve"> an impact on plant operations.</w:t>
      </w:r>
    </w:p>
    <w:p w14:paraId="00000013" w14:textId="0AB48883" w:rsidR="00923B13" w:rsidRDefault="00533F49" w:rsidP="00AF33AE">
      <w:pPr>
        <w:spacing w:line="360" w:lineRule="auto"/>
        <w:jc w:val="both"/>
        <w:rPr>
          <w:b/>
          <w:bCs/>
          <w:sz w:val="24"/>
          <w:szCs w:val="24"/>
        </w:rPr>
      </w:pPr>
      <w:r>
        <w:rPr>
          <w:b/>
          <w:bCs/>
          <w:sz w:val="24"/>
          <w:szCs w:val="24"/>
        </w:rPr>
        <w:t>Data Cleaning &amp; Preparation</w:t>
      </w:r>
    </w:p>
    <w:p w14:paraId="00000014" w14:textId="77777777" w:rsidR="00923B13" w:rsidRDefault="00533F49" w:rsidP="00AF33AE">
      <w:pPr>
        <w:numPr>
          <w:ilvl w:val="0"/>
          <w:numId w:val="7"/>
        </w:numPr>
        <w:spacing w:line="360" w:lineRule="auto"/>
        <w:jc w:val="both"/>
        <w:rPr>
          <w:sz w:val="24"/>
          <w:szCs w:val="24"/>
        </w:rPr>
      </w:pPr>
      <w:r>
        <w:rPr>
          <w:sz w:val="24"/>
          <w:szCs w:val="24"/>
        </w:rPr>
        <w:t>Extracted data from Page 1 - Generation and Fuel Data</w:t>
      </w:r>
    </w:p>
    <w:p w14:paraId="00000015" w14:textId="77777777" w:rsidR="00923B13" w:rsidRDefault="00533F49" w:rsidP="00AF33AE">
      <w:pPr>
        <w:numPr>
          <w:ilvl w:val="0"/>
          <w:numId w:val="7"/>
        </w:numPr>
        <w:spacing w:line="360" w:lineRule="auto"/>
        <w:jc w:val="both"/>
        <w:rPr>
          <w:sz w:val="24"/>
          <w:szCs w:val="24"/>
        </w:rPr>
      </w:pPr>
      <w:r>
        <w:rPr>
          <w:sz w:val="24"/>
          <w:szCs w:val="24"/>
        </w:rPr>
        <w:t xml:space="preserve">Retained essential variables: </w:t>
      </w:r>
    </w:p>
    <w:p w14:paraId="00000016" w14:textId="77777777" w:rsidR="00923B13" w:rsidRDefault="00533F49" w:rsidP="00AF33AE">
      <w:pPr>
        <w:numPr>
          <w:ilvl w:val="1"/>
          <w:numId w:val="7"/>
        </w:numPr>
        <w:spacing w:line="360" w:lineRule="auto"/>
        <w:jc w:val="both"/>
        <w:rPr>
          <w:sz w:val="24"/>
          <w:szCs w:val="24"/>
        </w:rPr>
      </w:pPr>
      <w:r>
        <w:rPr>
          <w:color w:val="1F1F1F"/>
          <w:sz w:val="24"/>
          <w:szCs w:val="24"/>
          <w:highlight w:val="white"/>
        </w:rPr>
        <w:t>Plant identification, Fuel Type, and Monthly Net Generation</w:t>
      </w:r>
    </w:p>
    <w:p w14:paraId="00000017" w14:textId="77777777" w:rsidR="00923B13" w:rsidRDefault="00533F49" w:rsidP="00AF33AE">
      <w:pPr>
        <w:numPr>
          <w:ilvl w:val="0"/>
          <w:numId w:val="7"/>
        </w:numPr>
        <w:spacing w:line="360" w:lineRule="auto"/>
        <w:jc w:val="both"/>
        <w:rPr>
          <w:color w:val="1F1F1F"/>
          <w:sz w:val="24"/>
          <w:szCs w:val="24"/>
          <w:highlight w:val="white"/>
        </w:rPr>
      </w:pPr>
      <w:r>
        <w:rPr>
          <w:color w:val="1F1F1F"/>
          <w:sz w:val="24"/>
          <w:szCs w:val="24"/>
          <w:highlight w:val="white"/>
        </w:rPr>
        <w:t>Handled issues</w:t>
      </w:r>
    </w:p>
    <w:p w14:paraId="00000018" w14:textId="77777777" w:rsidR="00923B13" w:rsidRDefault="00533F49" w:rsidP="00AF33AE">
      <w:pPr>
        <w:numPr>
          <w:ilvl w:val="1"/>
          <w:numId w:val="7"/>
        </w:numPr>
        <w:spacing w:line="360" w:lineRule="auto"/>
        <w:jc w:val="both"/>
        <w:rPr>
          <w:color w:val="1F1F1F"/>
          <w:sz w:val="24"/>
          <w:szCs w:val="24"/>
          <w:highlight w:val="white"/>
        </w:rPr>
      </w:pPr>
      <w:r>
        <w:rPr>
          <w:color w:val="1F1F1F"/>
          <w:sz w:val="24"/>
          <w:szCs w:val="24"/>
          <w:highlight w:val="white"/>
        </w:rPr>
        <w:t>Removed variables with significant missing values</w:t>
      </w:r>
    </w:p>
    <w:p w14:paraId="00000019" w14:textId="77777777" w:rsidR="00923B13" w:rsidRDefault="00533F49" w:rsidP="00AF33AE">
      <w:pPr>
        <w:numPr>
          <w:ilvl w:val="1"/>
          <w:numId w:val="7"/>
        </w:numPr>
        <w:spacing w:line="360" w:lineRule="auto"/>
        <w:jc w:val="both"/>
        <w:rPr>
          <w:color w:val="1F1F1F"/>
          <w:sz w:val="24"/>
          <w:szCs w:val="24"/>
          <w:highlight w:val="white"/>
        </w:rPr>
      </w:pPr>
      <w:r>
        <w:rPr>
          <w:color w:val="1F1F1F"/>
          <w:sz w:val="24"/>
          <w:szCs w:val="24"/>
          <w:highlight w:val="white"/>
        </w:rPr>
        <w:t>Filled missing monthly values with zeros</w:t>
      </w:r>
    </w:p>
    <w:p w14:paraId="0000001A" w14:textId="77777777" w:rsidR="00923B13" w:rsidRDefault="00533F49" w:rsidP="00AF33AE">
      <w:pPr>
        <w:numPr>
          <w:ilvl w:val="1"/>
          <w:numId w:val="7"/>
        </w:numPr>
        <w:spacing w:line="360" w:lineRule="auto"/>
        <w:jc w:val="both"/>
        <w:rPr>
          <w:color w:val="1F1F1F"/>
          <w:sz w:val="24"/>
          <w:szCs w:val="24"/>
          <w:highlight w:val="white"/>
        </w:rPr>
      </w:pPr>
      <w:r>
        <w:rPr>
          <w:color w:val="1F1F1F"/>
          <w:sz w:val="24"/>
          <w:szCs w:val="24"/>
          <w:highlight w:val="white"/>
        </w:rPr>
        <w:t>Standardized column names and corrected datatypes</w:t>
      </w:r>
    </w:p>
    <w:p w14:paraId="0000001B" w14:textId="77777777" w:rsidR="00923B13" w:rsidRDefault="00533F49" w:rsidP="00AF33AE">
      <w:pPr>
        <w:numPr>
          <w:ilvl w:val="0"/>
          <w:numId w:val="7"/>
        </w:numPr>
        <w:spacing w:line="360" w:lineRule="auto"/>
        <w:jc w:val="both"/>
        <w:rPr>
          <w:color w:val="1F1F1F"/>
          <w:sz w:val="24"/>
          <w:szCs w:val="24"/>
          <w:highlight w:val="white"/>
        </w:rPr>
      </w:pPr>
      <w:r>
        <w:rPr>
          <w:color w:val="1F1F1F"/>
          <w:sz w:val="24"/>
          <w:szCs w:val="24"/>
          <w:highlight w:val="white"/>
        </w:rPr>
        <w:t>Aggregated multiple plant-unit records into a plant-level dataset</w:t>
      </w:r>
    </w:p>
    <w:p w14:paraId="0000001C" w14:textId="77777777" w:rsidR="00923B13" w:rsidRDefault="00533F49" w:rsidP="00AF33AE">
      <w:pPr>
        <w:numPr>
          <w:ilvl w:val="0"/>
          <w:numId w:val="7"/>
        </w:numPr>
        <w:spacing w:line="360" w:lineRule="auto"/>
        <w:jc w:val="both"/>
        <w:rPr>
          <w:color w:val="1F1F1F"/>
          <w:sz w:val="24"/>
          <w:szCs w:val="24"/>
          <w:highlight w:val="white"/>
        </w:rPr>
      </w:pPr>
      <w:r>
        <w:rPr>
          <w:color w:val="1F1F1F"/>
          <w:sz w:val="24"/>
          <w:szCs w:val="24"/>
          <w:highlight w:val="white"/>
        </w:rPr>
        <w:t>Filtered plants (negative or zero generation, unrealistic efficiency)</w:t>
      </w:r>
    </w:p>
    <w:p w14:paraId="0000001D" w14:textId="77777777" w:rsidR="00923B13" w:rsidRDefault="00533F49" w:rsidP="00AF33AE">
      <w:pPr>
        <w:numPr>
          <w:ilvl w:val="0"/>
          <w:numId w:val="7"/>
        </w:numPr>
        <w:spacing w:line="360" w:lineRule="auto"/>
        <w:jc w:val="both"/>
        <w:rPr>
          <w:color w:val="1F1F1F"/>
          <w:sz w:val="24"/>
          <w:szCs w:val="24"/>
          <w:highlight w:val="white"/>
        </w:rPr>
      </w:pPr>
      <w:r>
        <w:rPr>
          <w:color w:val="1F1F1F"/>
          <w:sz w:val="24"/>
          <w:szCs w:val="24"/>
          <w:highlight w:val="white"/>
        </w:rPr>
        <w:t>Calculated Thermal Efficiency</w:t>
      </w:r>
    </w:p>
    <w:p w14:paraId="0000001E" w14:textId="77777777" w:rsidR="00923B13" w:rsidRDefault="00533F49" w:rsidP="00AF33AE">
      <w:pPr>
        <w:numPr>
          <w:ilvl w:val="0"/>
          <w:numId w:val="7"/>
        </w:numPr>
        <w:spacing w:line="360" w:lineRule="auto"/>
        <w:jc w:val="both"/>
        <w:rPr>
          <w:color w:val="1F1F1F"/>
          <w:sz w:val="24"/>
          <w:szCs w:val="24"/>
          <w:highlight w:val="white"/>
        </w:rPr>
      </w:pPr>
      <w:r>
        <w:rPr>
          <w:color w:val="1F1F1F"/>
          <w:sz w:val="24"/>
          <w:szCs w:val="24"/>
          <w:highlight w:val="white"/>
        </w:rPr>
        <w:t>Final Dataset 3290 plants ready for clustering</w:t>
      </w:r>
    </w:p>
    <w:p w14:paraId="479DC5A8" w14:textId="77777777" w:rsidR="00AF33AE" w:rsidRDefault="00AF33AE" w:rsidP="00AF33AE">
      <w:pPr>
        <w:spacing w:line="360" w:lineRule="auto"/>
        <w:rPr>
          <w:color w:val="1F1F1F"/>
          <w:sz w:val="24"/>
          <w:szCs w:val="24"/>
          <w:highlight w:val="white"/>
        </w:rPr>
      </w:pPr>
    </w:p>
    <w:p w14:paraId="44A503CB" w14:textId="77777777" w:rsidR="00917982" w:rsidRDefault="00917982" w:rsidP="00AF33AE">
      <w:pPr>
        <w:spacing w:line="360" w:lineRule="auto"/>
        <w:jc w:val="both"/>
        <w:rPr>
          <w:b/>
          <w:bCs/>
          <w:color w:val="1F1F1F"/>
          <w:sz w:val="30"/>
          <w:szCs w:val="30"/>
          <w:highlight w:val="white"/>
        </w:rPr>
      </w:pPr>
      <w:r w:rsidRPr="00917982">
        <w:rPr>
          <w:b/>
          <w:bCs/>
          <w:color w:val="1F1F1F"/>
          <w:sz w:val="30"/>
          <w:szCs w:val="30"/>
          <w:highlight w:val="white"/>
        </w:rPr>
        <w:t>3. Problem Statement</w:t>
      </w:r>
    </w:p>
    <w:p w14:paraId="5CC016C0" w14:textId="60D294D7" w:rsidR="00433D95" w:rsidRPr="00433D95" w:rsidRDefault="00202BC4" w:rsidP="00433D95">
      <w:pPr>
        <w:spacing w:line="360" w:lineRule="auto"/>
        <w:jc w:val="both"/>
        <w:rPr>
          <w:color w:val="1F1F1F"/>
          <w:sz w:val="24"/>
          <w:szCs w:val="24"/>
          <w:highlight w:val="white"/>
          <w:lang w:val="en-US"/>
        </w:rPr>
      </w:pPr>
      <w:proofErr w:type="spellStart"/>
      <w:r>
        <w:rPr>
          <w:color w:val="1F1F1F"/>
          <w:sz w:val="24"/>
          <w:szCs w:val="24"/>
          <w:highlight w:val="white"/>
        </w:rPr>
        <w:t>T</w:t>
      </w:r>
      <w:r w:rsidR="00433D95" w:rsidRPr="00433D95">
        <w:rPr>
          <w:color w:val="1F1F1F"/>
          <w:sz w:val="24"/>
          <w:szCs w:val="24"/>
          <w:highlight w:val="white"/>
          <w:lang w:val="en-US"/>
        </w:rPr>
        <w:t>he</w:t>
      </w:r>
      <w:proofErr w:type="spellEnd"/>
      <w:r w:rsidR="00433D95">
        <w:rPr>
          <w:color w:val="1F1F1F"/>
          <w:sz w:val="24"/>
          <w:szCs w:val="24"/>
          <w:highlight w:val="white"/>
          <w:lang w:val="en-US"/>
        </w:rPr>
        <w:t xml:space="preserve"> </w:t>
      </w:r>
      <w:r w:rsidR="00433D95" w:rsidRPr="00433D95">
        <w:rPr>
          <w:color w:val="1F1F1F"/>
          <w:sz w:val="24"/>
          <w:szCs w:val="24"/>
          <w:highlight w:val="white"/>
          <w:lang w:val="en-US"/>
        </w:rPr>
        <w:t xml:space="preserve">aim for this study is to use real-world data and machine learning techniques to recognize patterns in the US power generation. Despite the 2020 EIA-923 dataset providing extensive monthly and annual data on thousands of power </w:t>
      </w:r>
      <w:r w:rsidR="00021816" w:rsidRPr="00433D95">
        <w:rPr>
          <w:color w:val="1F1F1F"/>
          <w:sz w:val="24"/>
          <w:szCs w:val="24"/>
          <w:highlight w:val="white"/>
          <w:lang w:val="en-US"/>
        </w:rPr>
        <w:t>plants</w:t>
      </w:r>
      <w:r w:rsidR="00021816">
        <w:rPr>
          <w:color w:val="1F1F1F"/>
          <w:sz w:val="24"/>
          <w:szCs w:val="24"/>
          <w:highlight w:val="white"/>
          <w:lang w:val="en-US"/>
        </w:rPr>
        <w:t>,</w:t>
      </w:r>
      <w:r w:rsidR="00021816" w:rsidRPr="00433D95">
        <w:rPr>
          <w:color w:val="1F1F1F"/>
          <w:sz w:val="24"/>
          <w:szCs w:val="24"/>
          <w:highlight w:val="white"/>
          <w:lang w:val="en-US"/>
        </w:rPr>
        <w:t xml:space="preserve"> decision</w:t>
      </w:r>
      <w:r w:rsidR="00433D95" w:rsidRPr="00433D95">
        <w:rPr>
          <w:color w:val="1F1F1F"/>
          <w:sz w:val="24"/>
          <w:szCs w:val="24"/>
          <w:highlight w:val="white"/>
          <w:lang w:val="en-US"/>
        </w:rPr>
        <w:t>-makers finding it harder to extract significant information using it owing to its magnitude and complexity</w:t>
      </w:r>
      <w:r w:rsidR="00816A9F">
        <w:rPr>
          <w:color w:val="1F1F1F"/>
          <w:sz w:val="24"/>
          <w:szCs w:val="24"/>
          <w:highlight w:val="white"/>
          <w:lang w:val="en-US"/>
        </w:rPr>
        <w:t xml:space="preserve"> Also</w:t>
      </w:r>
      <w:r w:rsidR="00433D95" w:rsidRPr="00433D95">
        <w:rPr>
          <w:color w:val="1F1F1F"/>
          <w:sz w:val="24"/>
          <w:szCs w:val="24"/>
          <w:highlight w:val="white"/>
          <w:lang w:val="en-US"/>
        </w:rPr>
        <w:t xml:space="preserve"> The study will use clustering analysis to separate power plants into groups with equivalent operational attributes with the purpose of circumventing this issue.</w:t>
      </w:r>
    </w:p>
    <w:p w14:paraId="4B2CEBCC" w14:textId="5035B5F1" w:rsidR="00332DDB" w:rsidRDefault="00332DDB" w:rsidP="00AF33AE">
      <w:pPr>
        <w:spacing w:line="360" w:lineRule="auto"/>
        <w:jc w:val="both"/>
        <w:rPr>
          <w:color w:val="1F1F1F"/>
          <w:sz w:val="24"/>
          <w:szCs w:val="24"/>
          <w:highlight w:val="white"/>
        </w:rPr>
      </w:pPr>
    </w:p>
    <w:p w14:paraId="7FD03278" w14:textId="2ADECDB6" w:rsidR="00332DDB" w:rsidRDefault="00332DDB" w:rsidP="00AF33AE">
      <w:pPr>
        <w:spacing w:line="360" w:lineRule="auto"/>
        <w:rPr>
          <w:color w:val="1F1F1F"/>
          <w:sz w:val="24"/>
          <w:szCs w:val="24"/>
          <w:highlight w:val="white"/>
        </w:rPr>
      </w:pPr>
      <w:r w:rsidRPr="00332DDB">
        <w:rPr>
          <w:color w:val="1F1F1F"/>
          <w:sz w:val="24"/>
          <w:szCs w:val="24"/>
          <w:highlight w:val="white"/>
        </w:rPr>
        <w:t>This study aims to answer the following key questions:</w:t>
      </w:r>
    </w:p>
    <w:p w14:paraId="2283CE8F" w14:textId="6D03BEEC" w:rsidR="00081681" w:rsidRPr="007762B5" w:rsidRDefault="00AF33AE" w:rsidP="007762B5">
      <w:pPr>
        <w:pStyle w:val="ListParagraph"/>
        <w:numPr>
          <w:ilvl w:val="0"/>
          <w:numId w:val="11"/>
        </w:numPr>
        <w:spacing w:line="360" w:lineRule="auto"/>
        <w:rPr>
          <w:color w:val="1F1F1F"/>
          <w:sz w:val="24"/>
          <w:szCs w:val="24"/>
          <w:highlight w:val="white"/>
          <w:lang w:val="en-US"/>
        </w:rPr>
      </w:pPr>
      <w:r w:rsidRPr="00AF33AE">
        <w:rPr>
          <w:b/>
          <w:bCs/>
          <w:color w:val="1F1F1F"/>
          <w:sz w:val="24"/>
          <w:szCs w:val="24"/>
          <w:highlight w:val="white"/>
          <w:lang w:val="en-US"/>
        </w:rPr>
        <w:t>What meaningful groups of U.S. power plants emerge when plants are clustered based on annual electricity generation and thermal efficiency?</w:t>
      </w:r>
      <w:r w:rsidRPr="00AF33AE">
        <w:rPr>
          <w:color w:val="1F1F1F"/>
          <w:sz w:val="24"/>
          <w:szCs w:val="24"/>
          <w:highlight w:val="white"/>
          <w:lang w:val="en-US"/>
        </w:rPr>
        <w:br/>
      </w:r>
      <w:r w:rsidR="007762B5" w:rsidRPr="007762B5">
        <w:rPr>
          <w:color w:val="1F1F1F"/>
          <w:sz w:val="24"/>
          <w:szCs w:val="24"/>
          <w:highlight w:val="white"/>
          <w:lang w:val="en-US"/>
        </w:rPr>
        <w:t>Differences in scale, performance, and fuel type that are not clear in raw data can be revealed by recognizing each of these groups</w:t>
      </w:r>
      <w:r w:rsidRPr="007762B5">
        <w:rPr>
          <w:color w:val="1F1F1F"/>
          <w:sz w:val="24"/>
          <w:szCs w:val="24"/>
          <w:highlight w:val="white"/>
          <w:lang w:val="en-US"/>
        </w:rPr>
        <w:t>.</w:t>
      </w:r>
    </w:p>
    <w:p w14:paraId="55429141" w14:textId="1A277B61" w:rsidR="00081681" w:rsidRPr="008A0AF9" w:rsidRDefault="00AF33AE" w:rsidP="008A0AF9">
      <w:pPr>
        <w:pStyle w:val="ListParagraph"/>
        <w:numPr>
          <w:ilvl w:val="0"/>
          <w:numId w:val="11"/>
        </w:numPr>
        <w:spacing w:line="360" w:lineRule="auto"/>
        <w:rPr>
          <w:color w:val="1F1F1F"/>
          <w:sz w:val="24"/>
          <w:szCs w:val="24"/>
          <w:highlight w:val="white"/>
          <w:lang w:val="en-US"/>
        </w:rPr>
      </w:pPr>
      <w:r w:rsidRPr="00AF33AE">
        <w:rPr>
          <w:b/>
          <w:bCs/>
          <w:color w:val="1F1F1F"/>
          <w:sz w:val="24"/>
          <w:szCs w:val="24"/>
          <w:highlight w:val="white"/>
          <w:lang w:val="en-US"/>
        </w:rPr>
        <w:t xml:space="preserve">How should the optimal number of </w:t>
      </w:r>
      <w:r w:rsidR="007E28BA" w:rsidRPr="00AF33AE">
        <w:rPr>
          <w:b/>
          <w:bCs/>
          <w:color w:val="1F1F1F"/>
          <w:sz w:val="24"/>
          <w:szCs w:val="24"/>
          <w:highlight w:val="white"/>
          <w:lang w:val="en-US"/>
        </w:rPr>
        <w:t>clusters</w:t>
      </w:r>
      <w:r w:rsidR="007E28BA">
        <w:rPr>
          <w:b/>
          <w:bCs/>
          <w:color w:val="1F1F1F"/>
          <w:sz w:val="24"/>
          <w:szCs w:val="24"/>
          <w:highlight w:val="white"/>
          <w:lang w:val="en-US"/>
        </w:rPr>
        <w:t xml:space="preserve"> </w:t>
      </w:r>
      <w:r w:rsidRPr="00AF33AE">
        <w:rPr>
          <w:b/>
          <w:bCs/>
          <w:color w:val="1F1F1F"/>
          <w:sz w:val="24"/>
          <w:szCs w:val="24"/>
          <w:highlight w:val="white"/>
          <w:lang w:val="en-US"/>
        </w:rPr>
        <w:t xml:space="preserve">be </w:t>
      </w:r>
      <w:r w:rsidR="007E28BA" w:rsidRPr="00AF33AE">
        <w:rPr>
          <w:b/>
          <w:bCs/>
          <w:color w:val="1F1F1F"/>
          <w:sz w:val="24"/>
          <w:szCs w:val="24"/>
          <w:highlight w:val="white"/>
          <w:lang w:val="en-US"/>
        </w:rPr>
        <w:t>determined</w:t>
      </w:r>
      <w:r w:rsidR="007E28BA">
        <w:rPr>
          <w:b/>
          <w:bCs/>
          <w:color w:val="1F1F1F"/>
          <w:sz w:val="24"/>
          <w:szCs w:val="24"/>
          <w:highlight w:val="white"/>
          <w:lang w:val="en-US"/>
        </w:rPr>
        <w:t>?</w:t>
      </w:r>
      <w:r w:rsidRPr="00AF33AE">
        <w:rPr>
          <w:color w:val="1F1F1F"/>
          <w:sz w:val="24"/>
          <w:szCs w:val="24"/>
          <w:highlight w:val="white"/>
          <w:lang w:val="en-US"/>
        </w:rPr>
        <w:br/>
      </w:r>
      <w:r w:rsidR="008A0AF9" w:rsidRPr="008A0AF9">
        <w:rPr>
          <w:color w:val="1F1F1F"/>
          <w:sz w:val="24"/>
          <w:szCs w:val="24"/>
          <w:highlight w:val="white"/>
          <w:lang w:val="en-US"/>
        </w:rPr>
        <w:t>To determine a model that more accurately captures the underlying data</w:t>
      </w:r>
      <w:r w:rsidR="00EE5F72">
        <w:rPr>
          <w:color w:val="1F1F1F"/>
          <w:sz w:val="24"/>
          <w:szCs w:val="24"/>
          <w:highlight w:val="white"/>
          <w:lang w:val="en-US"/>
        </w:rPr>
        <w:t xml:space="preserve"> and </w:t>
      </w:r>
      <w:r w:rsidR="008A0AF9" w:rsidRPr="008A0AF9">
        <w:rPr>
          <w:color w:val="1F1F1F"/>
          <w:sz w:val="24"/>
          <w:szCs w:val="24"/>
          <w:highlight w:val="white"/>
          <w:lang w:val="en-US"/>
        </w:rPr>
        <w:t>the project compares multiple cluster counts using the elbow process and silhouette scores.</w:t>
      </w:r>
    </w:p>
    <w:p w14:paraId="557ED33E" w14:textId="11BFCF98" w:rsidR="00081681" w:rsidRPr="00FB7563" w:rsidRDefault="00AF33AE" w:rsidP="00FB7563">
      <w:pPr>
        <w:pStyle w:val="ListParagraph"/>
        <w:numPr>
          <w:ilvl w:val="0"/>
          <w:numId w:val="11"/>
        </w:numPr>
        <w:spacing w:line="360" w:lineRule="auto"/>
        <w:rPr>
          <w:color w:val="1F1F1F"/>
          <w:sz w:val="24"/>
          <w:szCs w:val="24"/>
          <w:highlight w:val="white"/>
          <w:lang w:val="en-US"/>
        </w:rPr>
      </w:pPr>
      <w:r w:rsidRPr="00AF33AE">
        <w:rPr>
          <w:b/>
          <w:bCs/>
          <w:color w:val="1F1F1F"/>
          <w:sz w:val="24"/>
          <w:szCs w:val="24"/>
          <w:highlight w:val="white"/>
          <w:lang w:val="en-US"/>
        </w:rPr>
        <w:t>What information does the clustering process reveal about power generation patterns across the United States?</w:t>
      </w:r>
      <w:r w:rsidRPr="00AF33AE">
        <w:rPr>
          <w:color w:val="1F1F1F"/>
          <w:sz w:val="24"/>
          <w:szCs w:val="24"/>
          <w:highlight w:val="white"/>
          <w:lang w:val="en-US"/>
        </w:rPr>
        <w:br/>
      </w:r>
      <w:r w:rsidR="00FB7563" w:rsidRPr="00FB7563">
        <w:rPr>
          <w:color w:val="1F1F1F"/>
          <w:sz w:val="24"/>
          <w:szCs w:val="24"/>
          <w:highlight w:val="white"/>
          <w:lang w:val="en-US"/>
        </w:rPr>
        <w:t>This study discovers specific characteristics involving generation scale, efficiency</w:t>
      </w:r>
      <w:r w:rsidR="00DB1130">
        <w:rPr>
          <w:color w:val="1F1F1F"/>
          <w:sz w:val="24"/>
          <w:szCs w:val="24"/>
          <w:highlight w:val="white"/>
          <w:lang w:val="en-US"/>
        </w:rPr>
        <w:t xml:space="preserve"> </w:t>
      </w:r>
      <w:r w:rsidR="00FB7563" w:rsidRPr="00FB7563">
        <w:rPr>
          <w:color w:val="1F1F1F"/>
          <w:sz w:val="24"/>
          <w:szCs w:val="24"/>
          <w:highlight w:val="white"/>
          <w:lang w:val="en-US"/>
        </w:rPr>
        <w:t>and basic fuel sources through analysis of each cluster.</w:t>
      </w:r>
    </w:p>
    <w:p w14:paraId="0C28CAF8" w14:textId="65EEE7A3" w:rsidR="00AF33AE" w:rsidRDefault="00AF33AE" w:rsidP="004006F5">
      <w:pPr>
        <w:pStyle w:val="ListParagraph"/>
        <w:numPr>
          <w:ilvl w:val="0"/>
          <w:numId w:val="11"/>
        </w:numPr>
        <w:spacing w:line="360" w:lineRule="auto"/>
        <w:rPr>
          <w:color w:val="1F1F1F"/>
          <w:sz w:val="24"/>
          <w:szCs w:val="24"/>
          <w:highlight w:val="white"/>
          <w:lang w:val="en-US"/>
        </w:rPr>
      </w:pPr>
      <w:r w:rsidRPr="00AF33AE">
        <w:rPr>
          <w:b/>
          <w:bCs/>
          <w:color w:val="1F1F1F"/>
          <w:sz w:val="24"/>
          <w:szCs w:val="24"/>
          <w:highlight w:val="white"/>
          <w:lang w:val="en-US"/>
        </w:rPr>
        <w:t>How did different types of power plants behave during the early months of the COVID-19 pandemic (March</w:t>
      </w:r>
      <w:r w:rsidR="00DB1130">
        <w:rPr>
          <w:b/>
          <w:bCs/>
          <w:color w:val="1F1F1F"/>
          <w:sz w:val="24"/>
          <w:szCs w:val="24"/>
          <w:highlight w:val="white"/>
          <w:lang w:val="en-US"/>
        </w:rPr>
        <w:t xml:space="preserve"> to </w:t>
      </w:r>
      <w:r w:rsidRPr="00AF33AE">
        <w:rPr>
          <w:b/>
          <w:bCs/>
          <w:color w:val="1F1F1F"/>
          <w:sz w:val="24"/>
          <w:szCs w:val="24"/>
          <w:highlight w:val="white"/>
          <w:lang w:val="en-US"/>
        </w:rPr>
        <w:t>May 2020)?</w:t>
      </w:r>
      <w:r w:rsidRPr="00AF33AE">
        <w:rPr>
          <w:color w:val="1F1F1F"/>
          <w:sz w:val="24"/>
          <w:szCs w:val="24"/>
          <w:highlight w:val="white"/>
          <w:lang w:val="en-US"/>
        </w:rPr>
        <w:br/>
      </w:r>
      <w:r w:rsidR="004006F5" w:rsidRPr="004006F5">
        <w:rPr>
          <w:color w:val="1F1F1F"/>
          <w:sz w:val="24"/>
          <w:szCs w:val="24"/>
          <w:highlight w:val="white"/>
          <w:lang w:val="en-US"/>
        </w:rPr>
        <w:t>Monthly generation reports provided insight into how various energy sector segments have been impacted by demand shocks.</w:t>
      </w:r>
    </w:p>
    <w:p w14:paraId="1487BB68" w14:textId="77777777" w:rsidR="000116BF" w:rsidRPr="000116BF" w:rsidRDefault="000116BF" w:rsidP="000116BF">
      <w:pPr>
        <w:spacing w:line="360" w:lineRule="auto"/>
        <w:rPr>
          <w:color w:val="1F1F1F"/>
          <w:sz w:val="24"/>
          <w:szCs w:val="24"/>
          <w:highlight w:val="white"/>
          <w:lang w:val="en-US"/>
        </w:rPr>
      </w:pPr>
    </w:p>
    <w:p w14:paraId="6ED72A05" w14:textId="539A7234" w:rsidR="000116BF" w:rsidRPr="000116BF" w:rsidRDefault="000116BF" w:rsidP="00342A18">
      <w:pPr>
        <w:spacing w:line="360" w:lineRule="auto"/>
        <w:jc w:val="both"/>
        <w:rPr>
          <w:color w:val="1F1F1F"/>
          <w:sz w:val="24"/>
          <w:szCs w:val="24"/>
          <w:highlight w:val="white"/>
          <w:lang w:val="en-US"/>
        </w:rPr>
      </w:pPr>
      <w:r w:rsidRPr="000116BF">
        <w:rPr>
          <w:color w:val="1F1F1F"/>
          <w:sz w:val="24"/>
          <w:szCs w:val="24"/>
          <w:highlight w:val="white"/>
          <w:lang w:val="en-US"/>
        </w:rPr>
        <w:t>The main objective is to present utilities, regulators</w:t>
      </w:r>
      <w:r w:rsidR="00174A38">
        <w:rPr>
          <w:color w:val="1F1F1F"/>
          <w:sz w:val="24"/>
          <w:szCs w:val="24"/>
          <w:highlight w:val="white"/>
          <w:lang w:val="en-US"/>
        </w:rPr>
        <w:t xml:space="preserve"> </w:t>
      </w:r>
      <w:r w:rsidRPr="000116BF">
        <w:rPr>
          <w:color w:val="1F1F1F"/>
          <w:sz w:val="24"/>
          <w:szCs w:val="24"/>
          <w:highlight w:val="white"/>
          <w:lang w:val="en-US"/>
        </w:rPr>
        <w:t>and policymakers a clear, data-driven segmentation of U.S. power plants that can assist them comprehend system behavior, resource planning specifications, and probable areas for operational improvement.</w:t>
      </w:r>
    </w:p>
    <w:p w14:paraId="00000027" w14:textId="4F73F129" w:rsidR="00923B13" w:rsidRPr="00AF33AE" w:rsidRDefault="00923B13" w:rsidP="00AF33AE">
      <w:pPr>
        <w:spacing w:line="360" w:lineRule="auto"/>
        <w:jc w:val="both"/>
        <w:rPr>
          <w:color w:val="1F1F1F"/>
          <w:sz w:val="24"/>
          <w:szCs w:val="24"/>
          <w:highlight w:val="white"/>
          <w:lang w:val="en-US"/>
        </w:rPr>
      </w:pPr>
    </w:p>
    <w:p w14:paraId="00000028" w14:textId="77777777" w:rsidR="00923B13" w:rsidRDefault="00923B13" w:rsidP="00AF33AE">
      <w:pPr>
        <w:spacing w:line="360" w:lineRule="auto"/>
        <w:rPr>
          <w:color w:val="1F1F1F"/>
          <w:sz w:val="24"/>
          <w:szCs w:val="24"/>
          <w:highlight w:val="white"/>
        </w:rPr>
      </w:pPr>
    </w:p>
    <w:p w14:paraId="7E879C5B" w14:textId="77777777" w:rsidR="005A0D6A" w:rsidRDefault="005A0D6A" w:rsidP="00AF33AE">
      <w:pPr>
        <w:spacing w:line="360" w:lineRule="auto"/>
        <w:rPr>
          <w:b/>
          <w:bCs/>
          <w:color w:val="1F1F1F"/>
          <w:sz w:val="30"/>
          <w:szCs w:val="30"/>
          <w:highlight w:val="white"/>
        </w:rPr>
      </w:pPr>
      <w:r w:rsidRPr="005A0D6A">
        <w:rPr>
          <w:b/>
          <w:bCs/>
          <w:color w:val="1F1F1F"/>
          <w:sz w:val="30"/>
          <w:szCs w:val="30"/>
          <w:highlight w:val="white"/>
        </w:rPr>
        <w:t>4. Analysis and Discussion</w:t>
      </w:r>
    </w:p>
    <w:p w14:paraId="0BB46A3E" w14:textId="1E856530" w:rsidR="00AF33AE" w:rsidRPr="00AF33AE" w:rsidRDefault="00AF33AE" w:rsidP="00AF33AE">
      <w:pPr>
        <w:spacing w:line="360" w:lineRule="auto"/>
        <w:rPr>
          <w:b/>
          <w:bCs/>
          <w:color w:val="1F1F1F"/>
          <w:sz w:val="24"/>
          <w:szCs w:val="24"/>
          <w:highlight w:val="white"/>
          <w:lang w:val="en-US"/>
        </w:rPr>
      </w:pPr>
      <w:r w:rsidRPr="00AF33AE">
        <w:rPr>
          <w:b/>
          <w:bCs/>
          <w:color w:val="1F1F1F"/>
          <w:sz w:val="24"/>
          <w:szCs w:val="24"/>
          <w:highlight w:val="white"/>
          <w:lang w:val="en-US"/>
        </w:rPr>
        <w:t>4.1 Data Preparation and Feature Selection</w:t>
      </w:r>
    </w:p>
    <w:p w14:paraId="235C8CBD" w14:textId="41C1ECD7" w:rsidR="00AF33AE" w:rsidRPr="00AF33AE" w:rsidRDefault="00E51AD8" w:rsidP="00AF33AE">
      <w:pPr>
        <w:spacing w:line="360" w:lineRule="auto"/>
        <w:jc w:val="both"/>
        <w:rPr>
          <w:color w:val="1F1F1F"/>
          <w:sz w:val="24"/>
          <w:szCs w:val="24"/>
          <w:highlight w:val="white"/>
          <w:lang w:val="en-US"/>
        </w:rPr>
      </w:pPr>
      <w:r>
        <w:rPr>
          <w:color w:val="1F1F1F"/>
          <w:sz w:val="24"/>
          <w:szCs w:val="24"/>
          <w:highlight w:val="white"/>
          <w:lang w:val="en-US"/>
        </w:rPr>
        <w:t xml:space="preserve">        </w:t>
      </w:r>
      <w:r w:rsidR="00AF33AE" w:rsidRPr="00AF33AE">
        <w:rPr>
          <w:color w:val="1F1F1F"/>
          <w:sz w:val="24"/>
          <w:szCs w:val="24"/>
          <w:highlight w:val="white"/>
          <w:lang w:val="en-US"/>
        </w:rPr>
        <w:t xml:space="preserve">The original dataset included more than 97 variables containing plant identifiers, fuel information, monthly generation and annual totals. To make the data suitable for machine learning, column names were </w:t>
      </w:r>
      <w:r w:rsidRPr="00AF33AE">
        <w:rPr>
          <w:color w:val="1F1F1F"/>
          <w:sz w:val="24"/>
          <w:szCs w:val="24"/>
          <w:highlight w:val="white"/>
          <w:lang w:val="en-US"/>
        </w:rPr>
        <w:t>standardized,</w:t>
      </w:r>
      <w:r w:rsidR="00AF33AE" w:rsidRPr="00AF33AE">
        <w:rPr>
          <w:color w:val="1F1F1F"/>
          <w:sz w:val="24"/>
          <w:szCs w:val="24"/>
          <w:highlight w:val="white"/>
          <w:lang w:val="en-US"/>
        </w:rPr>
        <w:t xml:space="preserve"> and only essential variables were retained, such as plant ID, location, reported fuel type, monthly generation values, total annual generation and total fuel energy input.</w:t>
      </w:r>
    </w:p>
    <w:p w14:paraId="4AC00DEE" w14:textId="30F9EE6C" w:rsidR="00574576" w:rsidRPr="00574576" w:rsidRDefault="00574576" w:rsidP="00574576">
      <w:pPr>
        <w:spacing w:line="360" w:lineRule="auto"/>
        <w:jc w:val="both"/>
        <w:rPr>
          <w:color w:val="1F1F1F"/>
          <w:sz w:val="24"/>
          <w:szCs w:val="24"/>
          <w:highlight w:val="white"/>
          <w:lang w:val="en-US"/>
        </w:rPr>
      </w:pPr>
      <w:r>
        <w:rPr>
          <w:color w:val="1F1F1F"/>
          <w:sz w:val="24"/>
          <w:szCs w:val="24"/>
          <w:highlight w:val="white"/>
          <w:lang w:val="en-US"/>
        </w:rPr>
        <w:t xml:space="preserve">        </w:t>
      </w:r>
      <w:r w:rsidRPr="00574576">
        <w:rPr>
          <w:color w:val="1F1F1F"/>
          <w:sz w:val="24"/>
          <w:szCs w:val="24"/>
          <w:highlight w:val="white"/>
          <w:lang w:val="en-US"/>
        </w:rPr>
        <w:t>To attempt to fix missing or inconsistent values, fields were altered to numeric formats, and when generation was not reported, zeros were allocated. Zeros have been approved as valid applications because many plants operate occasionally. A clean, plant-level data set was created by combining all records that corresponded to the same plant.</w:t>
      </w:r>
    </w:p>
    <w:p w14:paraId="1EB75E4A" w14:textId="25B925AE" w:rsidR="00AF33AE" w:rsidRPr="00AF33AE" w:rsidRDefault="00E51AD8" w:rsidP="00AF33AE">
      <w:pPr>
        <w:spacing w:line="360" w:lineRule="auto"/>
        <w:jc w:val="both"/>
        <w:rPr>
          <w:color w:val="1F1F1F"/>
          <w:sz w:val="24"/>
          <w:szCs w:val="24"/>
          <w:highlight w:val="white"/>
          <w:lang w:val="en-US"/>
        </w:rPr>
      </w:pPr>
      <w:r>
        <w:rPr>
          <w:color w:val="1F1F1F"/>
          <w:sz w:val="24"/>
          <w:szCs w:val="24"/>
          <w:highlight w:val="white"/>
          <w:lang w:val="en-US"/>
        </w:rPr>
        <w:t xml:space="preserve">        </w:t>
      </w:r>
      <w:r w:rsidR="00766D4A" w:rsidRPr="00766D4A">
        <w:rPr>
          <w:color w:val="1F1F1F"/>
          <w:sz w:val="24"/>
          <w:szCs w:val="24"/>
          <w:highlight w:val="white"/>
          <w:lang w:val="en-US"/>
        </w:rPr>
        <w:t>The most important one of the new performance measures generated by feature design is thermal efficiency, and this is established by reducing total annual output by total fuel energy. Furthermore, a log transformation of annual generation was utilized to improve clustering performance and minimize skewness.</w:t>
      </w:r>
    </w:p>
    <w:p w14:paraId="181627E2" w14:textId="77777777" w:rsidR="00AF33AE" w:rsidRPr="00AF33AE" w:rsidRDefault="00AF33AE" w:rsidP="00AF33AE">
      <w:pPr>
        <w:spacing w:line="360" w:lineRule="auto"/>
        <w:rPr>
          <w:b/>
          <w:bCs/>
          <w:color w:val="1F1F1F"/>
          <w:sz w:val="24"/>
          <w:szCs w:val="24"/>
          <w:highlight w:val="white"/>
          <w:lang w:val="en-US"/>
        </w:rPr>
      </w:pPr>
      <w:r w:rsidRPr="00AF33AE">
        <w:rPr>
          <w:b/>
          <w:bCs/>
          <w:color w:val="1F1F1F"/>
          <w:sz w:val="24"/>
          <w:szCs w:val="24"/>
          <w:highlight w:val="white"/>
          <w:lang w:val="en-US"/>
        </w:rPr>
        <w:t>4.2 Clustering Methodology</w:t>
      </w:r>
    </w:p>
    <w:p w14:paraId="2504C63F" w14:textId="77777777" w:rsidR="00AF33AE" w:rsidRPr="00AF33AE" w:rsidRDefault="00AF33AE" w:rsidP="00AF33AE">
      <w:pPr>
        <w:spacing w:line="360" w:lineRule="auto"/>
        <w:jc w:val="both"/>
        <w:rPr>
          <w:color w:val="1F1F1F"/>
          <w:sz w:val="24"/>
          <w:szCs w:val="24"/>
          <w:highlight w:val="white"/>
          <w:lang w:val="en-US"/>
        </w:rPr>
      </w:pPr>
      <w:r w:rsidRPr="00AF33AE">
        <w:rPr>
          <w:color w:val="1F1F1F"/>
          <w:sz w:val="24"/>
          <w:szCs w:val="24"/>
          <w:highlight w:val="white"/>
          <w:lang w:val="en-US"/>
        </w:rPr>
        <w:t>The project used K-Means clustering, an unsupervised method that groups observations with similar characteristics. Clustering was performed using two standardized features:</w:t>
      </w:r>
    </w:p>
    <w:p w14:paraId="43361AC1" w14:textId="77777777" w:rsidR="00AF33AE" w:rsidRPr="00AF33AE" w:rsidRDefault="00AF33AE" w:rsidP="00AF33AE">
      <w:pPr>
        <w:numPr>
          <w:ilvl w:val="0"/>
          <w:numId w:val="12"/>
        </w:numPr>
        <w:spacing w:line="360" w:lineRule="auto"/>
        <w:jc w:val="both"/>
        <w:rPr>
          <w:color w:val="1F1F1F"/>
          <w:sz w:val="24"/>
          <w:szCs w:val="24"/>
          <w:highlight w:val="white"/>
          <w:lang w:val="en-US"/>
        </w:rPr>
      </w:pPr>
      <w:r w:rsidRPr="00AF33AE">
        <w:rPr>
          <w:color w:val="1F1F1F"/>
          <w:sz w:val="24"/>
          <w:szCs w:val="24"/>
          <w:highlight w:val="white"/>
          <w:lang w:val="en-US"/>
        </w:rPr>
        <w:t>Log-transformed annual generation</w:t>
      </w:r>
    </w:p>
    <w:p w14:paraId="0DAD3CFA" w14:textId="77777777" w:rsidR="00AF33AE" w:rsidRPr="00AF33AE" w:rsidRDefault="00AF33AE" w:rsidP="00AF33AE">
      <w:pPr>
        <w:numPr>
          <w:ilvl w:val="0"/>
          <w:numId w:val="12"/>
        </w:numPr>
        <w:spacing w:line="360" w:lineRule="auto"/>
        <w:jc w:val="both"/>
        <w:rPr>
          <w:color w:val="1F1F1F"/>
          <w:sz w:val="24"/>
          <w:szCs w:val="24"/>
          <w:highlight w:val="white"/>
          <w:lang w:val="en-US"/>
        </w:rPr>
      </w:pPr>
      <w:r w:rsidRPr="00AF33AE">
        <w:rPr>
          <w:color w:val="1F1F1F"/>
          <w:sz w:val="24"/>
          <w:szCs w:val="24"/>
          <w:highlight w:val="white"/>
          <w:lang w:val="en-US"/>
        </w:rPr>
        <w:t>Thermal efficiency</w:t>
      </w:r>
    </w:p>
    <w:p w14:paraId="6AA96A52" w14:textId="1DEE5E51" w:rsidR="002D1AB0" w:rsidRPr="002D1AB0" w:rsidRDefault="00AF33AE" w:rsidP="002D1AB0">
      <w:pPr>
        <w:spacing w:line="360" w:lineRule="auto"/>
        <w:jc w:val="both"/>
        <w:rPr>
          <w:color w:val="1F1F1F"/>
          <w:sz w:val="24"/>
          <w:szCs w:val="24"/>
          <w:highlight w:val="white"/>
          <w:lang w:val="en-US"/>
        </w:rPr>
      </w:pPr>
      <w:r w:rsidRPr="00AF33AE">
        <w:rPr>
          <w:color w:val="1F1F1F"/>
          <w:sz w:val="24"/>
          <w:szCs w:val="24"/>
          <w:highlight w:val="white"/>
          <w:lang w:val="en-US"/>
        </w:rPr>
        <w:t>Standardization</w:t>
      </w:r>
      <w:r w:rsidR="002D1AB0" w:rsidRPr="002D1AB0">
        <w:rPr>
          <w:color w:val="1F1F1F"/>
          <w:sz w:val="24"/>
          <w:szCs w:val="24"/>
          <w:highlight w:val="white"/>
          <w:lang w:val="en-US"/>
        </w:rPr>
        <w:t xml:space="preserve"> prevented massive generation values from dominating the </w:t>
      </w:r>
      <w:r w:rsidR="009548F1" w:rsidRPr="002D1AB0">
        <w:rPr>
          <w:color w:val="1F1F1F"/>
          <w:sz w:val="24"/>
          <w:szCs w:val="24"/>
          <w:highlight w:val="white"/>
          <w:lang w:val="en-US"/>
        </w:rPr>
        <w:t>results</w:t>
      </w:r>
      <w:r w:rsidR="002D1AB0" w:rsidRPr="002D1AB0">
        <w:rPr>
          <w:color w:val="1F1F1F"/>
          <w:sz w:val="24"/>
          <w:szCs w:val="24"/>
          <w:highlight w:val="white"/>
          <w:lang w:val="en-US"/>
        </w:rPr>
        <w:t xml:space="preserve"> and maintained that both features contributed equally. The entire data set was used for model training to try to capture all the structural variability observed among U.S. power plants, as clustering is exploratory rather than predictive.</w:t>
      </w:r>
    </w:p>
    <w:p w14:paraId="27CACB1F" w14:textId="0060BC30" w:rsidR="00AF33AE" w:rsidRPr="00AF33AE" w:rsidRDefault="00AF33AE" w:rsidP="002D1AB0">
      <w:pPr>
        <w:spacing w:line="360" w:lineRule="auto"/>
        <w:jc w:val="both"/>
        <w:rPr>
          <w:b/>
          <w:bCs/>
          <w:color w:val="1F1F1F"/>
          <w:sz w:val="24"/>
          <w:szCs w:val="24"/>
          <w:highlight w:val="white"/>
          <w:lang w:val="en-US"/>
        </w:rPr>
      </w:pPr>
      <w:r w:rsidRPr="00AF33AE">
        <w:rPr>
          <w:b/>
          <w:bCs/>
          <w:color w:val="1F1F1F"/>
          <w:sz w:val="24"/>
          <w:szCs w:val="24"/>
          <w:highlight w:val="white"/>
          <w:lang w:val="en-US"/>
        </w:rPr>
        <w:t>4.3 Choosing the Optimal Number of Clusters</w:t>
      </w:r>
    </w:p>
    <w:p w14:paraId="172E999C" w14:textId="42E21D9B" w:rsidR="0075286E" w:rsidRPr="0075286E" w:rsidRDefault="0075286E" w:rsidP="0075286E">
      <w:pPr>
        <w:spacing w:line="360" w:lineRule="auto"/>
        <w:jc w:val="both"/>
        <w:rPr>
          <w:color w:val="1F1F1F"/>
          <w:sz w:val="24"/>
          <w:szCs w:val="24"/>
          <w:highlight w:val="white"/>
          <w:lang w:val="en-US"/>
        </w:rPr>
      </w:pPr>
      <w:r w:rsidRPr="0075286E">
        <w:rPr>
          <w:color w:val="1F1F1F"/>
          <w:sz w:val="24"/>
          <w:szCs w:val="24"/>
          <w:highlight w:val="white"/>
          <w:lang w:val="en-US"/>
        </w:rPr>
        <w:t xml:space="preserve">Two evaluation </w:t>
      </w:r>
      <w:r w:rsidR="00032990" w:rsidRPr="0075286E">
        <w:rPr>
          <w:color w:val="1F1F1F"/>
          <w:sz w:val="24"/>
          <w:szCs w:val="24"/>
          <w:highlight w:val="white"/>
          <w:lang w:val="en-US"/>
        </w:rPr>
        <w:t>approaches,</w:t>
      </w:r>
      <w:r>
        <w:rPr>
          <w:color w:val="1F1F1F"/>
          <w:sz w:val="24"/>
          <w:szCs w:val="24"/>
          <w:highlight w:val="white"/>
          <w:lang w:val="en-US"/>
        </w:rPr>
        <w:t xml:space="preserve"> </w:t>
      </w:r>
      <w:r w:rsidRPr="0075286E">
        <w:rPr>
          <w:color w:val="1F1F1F"/>
          <w:sz w:val="24"/>
          <w:szCs w:val="24"/>
          <w:highlight w:val="white"/>
          <w:lang w:val="en-US"/>
        </w:rPr>
        <w:t xml:space="preserve">the Elbow </w:t>
      </w:r>
      <w:r w:rsidR="00FE261F" w:rsidRPr="0075286E">
        <w:rPr>
          <w:color w:val="1F1F1F"/>
          <w:sz w:val="24"/>
          <w:szCs w:val="24"/>
          <w:highlight w:val="white"/>
          <w:lang w:val="en-US"/>
        </w:rPr>
        <w:t>Method</w:t>
      </w:r>
      <w:r w:rsidR="00FE261F">
        <w:rPr>
          <w:color w:val="1F1F1F"/>
          <w:sz w:val="24"/>
          <w:szCs w:val="24"/>
          <w:highlight w:val="white"/>
          <w:lang w:val="en-US"/>
        </w:rPr>
        <w:t xml:space="preserve"> </w:t>
      </w:r>
      <w:r w:rsidR="00FE261F" w:rsidRPr="0075286E">
        <w:rPr>
          <w:color w:val="1F1F1F"/>
          <w:sz w:val="24"/>
          <w:szCs w:val="24"/>
          <w:highlight w:val="white"/>
          <w:lang w:val="en-US"/>
        </w:rPr>
        <w:t>and</w:t>
      </w:r>
      <w:r w:rsidRPr="0075286E">
        <w:rPr>
          <w:color w:val="1F1F1F"/>
          <w:sz w:val="24"/>
          <w:szCs w:val="24"/>
          <w:highlight w:val="white"/>
          <w:lang w:val="en-US"/>
        </w:rPr>
        <w:t xml:space="preserve"> the Silhouette Score</w:t>
      </w:r>
      <w:r>
        <w:rPr>
          <w:color w:val="1F1F1F"/>
          <w:sz w:val="24"/>
          <w:szCs w:val="24"/>
          <w:highlight w:val="white"/>
          <w:lang w:val="en-US"/>
        </w:rPr>
        <w:t xml:space="preserve"> </w:t>
      </w:r>
      <w:r w:rsidRPr="0075286E">
        <w:rPr>
          <w:color w:val="1F1F1F"/>
          <w:sz w:val="24"/>
          <w:szCs w:val="24"/>
          <w:highlight w:val="white"/>
          <w:lang w:val="en-US"/>
        </w:rPr>
        <w:t>had been implemented to figure out the right number of clusters. For K values between 2 and 10, both metrics were generated.</w:t>
      </w:r>
    </w:p>
    <w:p w14:paraId="40B2FC0C" w14:textId="4D9C559F" w:rsidR="009612BE" w:rsidRPr="009663D1" w:rsidRDefault="0027461B" w:rsidP="00AF33AE">
      <w:pPr>
        <w:spacing w:line="360" w:lineRule="auto"/>
        <w:jc w:val="both"/>
        <w:rPr>
          <w:noProof/>
          <w:lang w:val="en-US"/>
        </w:rPr>
      </w:pPr>
      <w:r w:rsidRPr="00032990">
        <w:rPr>
          <w:noProof/>
          <w:sz w:val="24"/>
          <w:szCs w:val="24"/>
        </w:rPr>
        <w:lastRenderedPageBreak/>
        <mc:AlternateContent>
          <mc:Choice Requires="wps">
            <w:drawing>
              <wp:anchor distT="0" distB="0" distL="114300" distR="114300" simplePos="0" relativeHeight="251663360" behindDoc="0" locked="0" layoutInCell="1" allowOverlap="1" wp14:anchorId="0A1938A6" wp14:editId="6FD576F7">
                <wp:simplePos x="0" y="0"/>
                <wp:positionH relativeFrom="column">
                  <wp:posOffset>873125</wp:posOffset>
                </wp:positionH>
                <wp:positionV relativeFrom="paragraph">
                  <wp:posOffset>4223385</wp:posOffset>
                </wp:positionV>
                <wp:extent cx="4189730" cy="163195"/>
                <wp:effectExtent l="0" t="0" r="1270" b="8255"/>
                <wp:wrapTopAndBottom/>
                <wp:docPr id="1220538057" name="Text Box 1"/>
                <wp:cNvGraphicFramePr/>
                <a:graphic xmlns:a="http://schemas.openxmlformats.org/drawingml/2006/main">
                  <a:graphicData uri="http://schemas.microsoft.com/office/word/2010/wordprocessingShape">
                    <wps:wsp>
                      <wps:cNvSpPr txBox="1"/>
                      <wps:spPr>
                        <a:xfrm>
                          <a:off x="0" y="0"/>
                          <a:ext cx="4189730" cy="163195"/>
                        </a:xfrm>
                        <a:prstGeom prst="rect">
                          <a:avLst/>
                        </a:prstGeom>
                        <a:solidFill>
                          <a:prstClr val="white"/>
                        </a:solidFill>
                        <a:ln>
                          <a:noFill/>
                        </a:ln>
                      </wps:spPr>
                      <wps:txbx>
                        <w:txbxContent>
                          <w:p w14:paraId="03AA1E74" w14:textId="13C10880" w:rsidR="0027461B" w:rsidRPr="0027461B" w:rsidRDefault="0027461B" w:rsidP="0027461B">
                            <w:pPr>
                              <w:pStyle w:val="Caption"/>
                              <w:jc w:val="center"/>
                              <w:rPr>
                                <w:noProof/>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Pr>
                                <w:noProof/>
                                <w:sz w:val="24"/>
                                <w:szCs w:val="24"/>
                              </w:rPr>
                              <w:t>1</w:t>
                            </w:r>
                            <w:r w:rsidRPr="0027461B">
                              <w:rPr>
                                <w:sz w:val="24"/>
                                <w:szCs w:val="24"/>
                              </w:rPr>
                              <w:fldChar w:fldCharType="end"/>
                            </w:r>
                            <w:r w:rsidRPr="0027461B">
                              <w:rPr>
                                <w:sz w:val="24"/>
                                <w:szCs w:val="24"/>
                              </w:rPr>
                              <w:t>. Elbow plot indicating optimal 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1938A6" id="_x0000_t202" coordsize="21600,21600" o:spt="202" path="m,l,21600r21600,l21600,xe">
                <v:stroke joinstyle="miter"/>
                <v:path gradientshapeok="t" o:connecttype="rect"/>
              </v:shapetype>
              <v:shape id="Text Box 1" o:spid="_x0000_s1026" type="#_x0000_t202" style="position:absolute;left:0;text-align:left;margin-left:68.75pt;margin-top:332.55pt;width:329.9pt;height:12.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" stroked="f">
                <v:textbox inset="0,0,0,0">
                  <w:txbxContent>
                    <w:p w14:paraId="03AA1E74" w14:textId="13C10880" w:rsidR="0027461B" w:rsidRPr="0027461B" w:rsidRDefault="0027461B" w:rsidP="0027461B">
                      <w:pPr>
                        <w:pStyle w:val="Caption"/>
                        <w:jc w:val="center"/>
                        <w:rPr>
                          <w:noProof/>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Pr>
                          <w:noProof/>
                          <w:sz w:val="24"/>
                          <w:szCs w:val="24"/>
                        </w:rPr>
                        <w:t>1</w:t>
                      </w:r>
                      <w:r w:rsidRPr="0027461B">
                        <w:rPr>
                          <w:sz w:val="24"/>
                          <w:szCs w:val="24"/>
                        </w:rPr>
                        <w:fldChar w:fldCharType="end"/>
                      </w:r>
                      <w:r w:rsidRPr="0027461B">
                        <w:rPr>
                          <w:sz w:val="24"/>
                          <w:szCs w:val="24"/>
                        </w:rPr>
                        <w:t>. Elbow plot indicating optimal K</w:t>
                      </w:r>
                    </w:p>
                  </w:txbxContent>
                </v:textbox>
                <w10:wrap type="topAndBottom"/>
              </v:shape>
            </w:pict>
          </mc:Fallback>
        </mc:AlternateContent>
      </w:r>
      <w:r w:rsidRPr="00032990">
        <w:rPr>
          <w:noProof/>
          <w:color w:val="1F1F1F"/>
          <w:sz w:val="24"/>
          <w:szCs w:val="24"/>
          <w:lang w:val="en-US"/>
        </w:rPr>
        <w:drawing>
          <wp:anchor distT="0" distB="0" distL="114300" distR="114300" simplePos="0" relativeHeight="251658240" behindDoc="1" locked="0" layoutInCell="1" allowOverlap="1" wp14:anchorId="2DE00D34" wp14:editId="3BEDDC62">
            <wp:simplePos x="0" y="0"/>
            <wp:positionH relativeFrom="margin">
              <wp:align>center</wp:align>
            </wp:positionH>
            <wp:positionV relativeFrom="paragraph">
              <wp:posOffset>893568</wp:posOffset>
            </wp:positionV>
            <wp:extent cx="4189730" cy="3350260"/>
            <wp:effectExtent l="0" t="0" r="1270" b="2540"/>
            <wp:wrapTopAndBottom/>
            <wp:docPr id="574729581" name="Picture 1" descr="A graph with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9581" name="Picture 1" descr="A graph with a line"/>
                    <pic:cNvPicPr/>
                  </pic:nvPicPr>
                  <pic:blipFill>
                    <a:blip r:embed="rId8">
                      <a:extLst>
                        <a:ext uri="{28A0092B-C50C-407E-A947-70E740481C1C}">
                          <a14:useLocalDpi xmlns:a14="http://schemas.microsoft.com/office/drawing/2010/main" val="0"/>
                        </a:ext>
                      </a:extLst>
                    </a:blip>
                    <a:stretch>
                      <a:fillRect/>
                    </a:stretch>
                  </pic:blipFill>
                  <pic:spPr>
                    <a:xfrm>
                      <a:off x="0" y="0"/>
                      <a:ext cx="4192919" cy="3353076"/>
                    </a:xfrm>
                    <a:prstGeom prst="rect">
                      <a:avLst/>
                    </a:prstGeom>
                  </pic:spPr>
                </pic:pic>
              </a:graphicData>
            </a:graphic>
            <wp14:sizeRelV relativeFrom="margin">
              <wp14:pctHeight>0</wp14:pctHeight>
            </wp14:sizeRelV>
          </wp:anchor>
        </w:drawing>
      </w:r>
      <w:r w:rsidR="009663D1" w:rsidRPr="00032990">
        <w:rPr>
          <w:noProof/>
          <w:sz w:val="24"/>
          <w:szCs w:val="24"/>
          <w:lang w:val="en-US"/>
        </w:rPr>
        <w:t xml:space="preserve">The Elbow Method plot is displayed in </w:t>
      </w:r>
      <w:r w:rsidR="009663D1" w:rsidRPr="00032990">
        <w:rPr>
          <w:b/>
          <w:bCs/>
          <w:noProof/>
          <w:sz w:val="24"/>
          <w:szCs w:val="24"/>
          <w:lang w:val="en-US"/>
        </w:rPr>
        <w:t xml:space="preserve">Figure 1 </w:t>
      </w:r>
      <w:r w:rsidR="009663D1" w:rsidRPr="00032990">
        <w:rPr>
          <w:noProof/>
          <w:sz w:val="24"/>
          <w:szCs w:val="24"/>
          <w:lang w:val="en-US"/>
        </w:rPr>
        <w:t>. The graph illustrates how inertia first decreases drastically until flattening toward at K = 7, demonstrating that the improvement declines as extra clusters are applied</w:t>
      </w:r>
      <w:r w:rsidR="009663D1" w:rsidRPr="009663D1">
        <w:rPr>
          <w:noProof/>
          <w:lang w:val="en-US"/>
        </w:rPr>
        <w:t>.</w:t>
      </w:r>
    </w:p>
    <w:p w14:paraId="62A27693" w14:textId="77777777" w:rsidR="0027461B" w:rsidRDefault="0027461B" w:rsidP="009612BE">
      <w:pPr>
        <w:spacing w:line="360" w:lineRule="auto"/>
        <w:jc w:val="both"/>
        <w:rPr>
          <w:color w:val="1F1F1F"/>
          <w:sz w:val="24"/>
          <w:szCs w:val="24"/>
        </w:rPr>
      </w:pPr>
    </w:p>
    <w:p w14:paraId="7478FB94" w14:textId="45FF5179" w:rsidR="009612BE" w:rsidRPr="009612BE" w:rsidRDefault="0027461B" w:rsidP="009612BE">
      <w:pPr>
        <w:spacing w:line="360" w:lineRule="auto"/>
        <w:jc w:val="both"/>
        <w:rPr>
          <w:color w:val="1F1F1F"/>
          <w:sz w:val="24"/>
          <w:szCs w:val="24"/>
          <w:highlight w:val="white"/>
        </w:rPr>
      </w:pPr>
      <w:r>
        <w:rPr>
          <w:noProof/>
        </w:rPr>
        <mc:AlternateContent>
          <mc:Choice Requires="wps">
            <w:drawing>
              <wp:anchor distT="0" distB="0" distL="114300" distR="114300" simplePos="0" relativeHeight="251665408" behindDoc="0" locked="0" layoutInCell="1" allowOverlap="1" wp14:anchorId="6C6DE723" wp14:editId="4F5EEB88">
                <wp:simplePos x="0" y="0"/>
                <wp:positionH relativeFrom="column">
                  <wp:posOffset>1064260</wp:posOffset>
                </wp:positionH>
                <wp:positionV relativeFrom="paragraph">
                  <wp:posOffset>3202940</wp:posOffset>
                </wp:positionV>
                <wp:extent cx="3814445" cy="231775"/>
                <wp:effectExtent l="0" t="0" r="0" b="0"/>
                <wp:wrapTopAndBottom/>
                <wp:docPr id="1319989246" name="Text Box 1"/>
                <wp:cNvGraphicFramePr/>
                <a:graphic xmlns:a="http://schemas.openxmlformats.org/drawingml/2006/main">
                  <a:graphicData uri="http://schemas.microsoft.com/office/word/2010/wordprocessingShape">
                    <wps:wsp>
                      <wps:cNvSpPr txBox="1"/>
                      <wps:spPr>
                        <a:xfrm>
                          <a:off x="0" y="0"/>
                          <a:ext cx="3814445" cy="231775"/>
                        </a:xfrm>
                        <a:prstGeom prst="rect">
                          <a:avLst/>
                        </a:prstGeom>
                        <a:solidFill>
                          <a:prstClr val="white"/>
                        </a:solidFill>
                        <a:ln>
                          <a:noFill/>
                        </a:ln>
                      </wps:spPr>
                      <wps:txbx>
                        <w:txbxContent>
                          <w:p w14:paraId="53D5764F" w14:textId="7AD0037D" w:rsidR="0027461B" w:rsidRPr="0027461B" w:rsidRDefault="0027461B" w:rsidP="0027461B">
                            <w:pPr>
                              <w:pStyle w:val="Caption"/>
                              <w:jc w:val="center"/>
                              <w:rPr>
                                <w:noProof/>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Pr>
                                <w:noProof/>
                                <w:sz w:val="24"/>
                                <w:szCs w:val="24"/>
                              </w:rPr>
                              <w:t>2</w:t>
                            </w:r>
                            <w:r w:rsidRPr="0027461B">
                              <w:rPr>
                                <w:sz w:val="24"/>
                                <w:szCs w:val="24"/>
                              </w:rPr>
                              <w:fldChar w:fldCharType="end"/>
                            </w:r>
                            <w:r w:rsidRPr="0027461B">
                              <w:rPr>
                                <w:sz w:val="24"/>
                                <w:szCs w:val="24"/>
                              </w:rPr>
                              <w:t>. Silhouette plot showing optimal 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6DE723" id="_x0000_s1027" type="#_x0000_t202" style="position:absolute;left:0;text-align:left;margin-left:83.8pt;margin-top:252.2pt;width:300.35pt;height:18.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" stroked="f">
                <v:textbox inset="0,0,0,0">
                  <w:txbxContent>
                    <w:p w14:paraId="53D5764F" w14:textId="7AD0037D" w:rsidR="0027461B" w:rsidRPr="0027461B" w:rsidRDefault="0027461B" w:rsidP="0027461B">
                      <w:pPr>
                        <w:pStyle w:val="Caption"/>
                        <w:jc w:val="center"/>
                        <w:rPr>
                          <w:noProof/>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Pr>
                          <w:noProof/>
                          <w:sz w:val="24"/>
                          <w:szCs w:val="24"/>
                        </w:rPr>
                        <w:t>2</w:t>
                      </w:r>
                      <w:r w:rsidRPr="0027461B">
                        <w:rPr>
                          <w:sz w:val="24"/>
                          <w:szCs w:val="24"/>
                        </w:rPr>
                        <w:fldChar w:fldCharType="end"/>
                      </w:r>
                      <w:r w:rsidRPr="0027461B">
                        <w:rPr>
                          <w:sz w:val="24"/>
                          <w:szCs w:val="24"/>
                        </w:rPr>
                        <w:t>. Silhouette plot showing optimal K</w:t>
                      </w:r>
                    </w:p>
                  </w:txbxContent>
                </v:textbox>
                <w10:wrap type="topAndBottom"/>
              </v:shape>
            </w:pict>
          </mc:Fallback>
        </mc:AlternateContent>
      </w:r>
      <w:r>
        <w:rPr>
          <w:noProof/>
          <w:color w:val="1F1F1F"/>
          <w:sz w:val="24"/>
          <w:szCs w:val="24"/>
        </w:rPr>
        <w:drawing>
          <wp:anchor distT="0" distB="0" distL="114300" distR="114300" simplePos="0" relativeHeight="251659264" behindDoc="0" locked="0" layoutInCell="1" allowOverlap="1" wp14:anchorId="7539C25B" wp14:editId="1D256F9D">
            <wp:simplePos x="0" y="0"/>
            <wp:positionH relativeFrom="margin">
              <wp:align>center</wp:align>
            </wp:positionH>
            <wp:positionV relativeFrom="paragraph">
              <wp:posOffset>780415</wp:posOffset>
            </wp:positionV>
            <wp:extent cx="3813175" cy="2408555"/>
            <wp:effectExtent l="0" t="0" r="0" b="0"/>
            <wp:wrapTopAndBottom/>
            <wp:docPr id="1916339224"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39224" name="Picture 2"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22028" cy="2414158"/>
                    </a:xfrm>
                    <a:prstGeom prst="rect">
                      <a:avLst/>
                    </a:prstGeom>
                  </pic:spPr>
                </pic:pic>
              </a:graphicData>
            </a:graphic>
            <wp14:sizeRelH relativeFrom="margin">
              <wp14:pctWidth>0</wp14:pctWidth>
            </wp14:sizeRelH>
            <wp14:sizeRelV relativeFrom="margin">
              <wp14:pctHeight>0</wp14:pctHeight>
            </wp14:sizeRelV>
          </wp:anchor>
        </w:drawing>
      </w:r>
      <w:r w:rsidR="009612BE" w:rsidRPr="009612BE">
        <w:rPr>
          <w:color w:val="1F1F1F"/>
          <w:sz w:val="24"/>
          <w:szCs w:val="24"/>
          <w:highlight w:val="white"/>
        </w:rPr>
        <w:t xml:space="preserve">Similarly, </w:t>
      </w:r>
      <w:r w:rsidR="009612BE" w:rsidRPr="009612BE">
        <w:rPr>
          <w:b/>
          <w:bCs/>
          <w:color w:val="1F1F1F"/>
          <w:sz w:val="24"/>
          <w:szCs w:val="24"/>
          <w:highlight w:val="white"/>
        </w:rPr>
        <w:t>Figure 2</w:t>
      </w:r>
      <w:r w:rsidR="009612BE" w:rsidRPr="009612BE">
        <w:rPr>
          <w:color w:val="1F1F1F"/>
          <w:sz w:val="24"/>
          <w:szCs w:val="24"/>
          <w:highlight w:val="white"/>
        </w:rPr>
        <w:t xml:space="preserve"> displays the </w:t>
      </w:r>
      <w:r w:rsidR="009612BE" w:rsidRPr="009612BE">
        <w:rPr>
          <w:i/>
          <w:iCs/>
          <w:color w:val="1F1F1F"/>
          <w:sz w:val="24"/>
          <w:szCs w:val="24"/>
          <w:highlight w:val="white"/>
        </w:rPr>
        <w:t>Silhouette Score</w:t>
      </w:r>
      <w:r w:rsidR="009612BE" w:rsidRPr="009612BE">
        <w:rPr>
          <w:color w:val="1F1F1F"/>
          <w:sz w:val="24"/>
          <w:szCs w:val="24"/>
          <w:highlight w:val="white"/>
        </w:rPr>
        <w:t xml:space="preserve"> for the same range of K values. The Silhouette Score measures how well-separated the clusters and the highest value occurred at K = 7, confirming that this number provides the best cluster separation.</w:t>
      </w:r>
    </w:p>
    <w:p w14:paraId="096A1F9B" w14:textId="77777777" w:rsidR="009612BE" w:rsidRPr="009612BE" w:rsidRDefault="009612BE" w:rsidP="009612BE">
      <w:pPr>
        <w:spacing w:line="360" w:lineRule="auto"/>
        <w:rPr>
          <w:b/>
          <w:bCs/>
          <w:color w:val="1F1F1F"/>
          <w:sz w:val="24"/>
          <w:szCs w:val="24"/>
          <w:highlight w:val="white"/>
          <w:lang w:val="en-US"/>
        </w:rPr>
      </w:pPr>
    </w:p>
    <w:p w14:paraId="2507ED0A" w14:textId="5861A940" w:rsidR="00AF33AE" w:rsidRPr="00AF33AE" w:rsidRDefault="00AF33AE" w:rsidP="00AF33AE">
      <w:pPr>
        <w:spacing w:line="360" w:lineRule="auto"/>
        <w:jc w:val="both"/>
        <w:rPr>
          <w:color w:val="1F1F1F"/>
          <w:sz w:val="24"/>
          <w:szCs w:val="24"/>
          <w:highlight w:val="white"/>
          <w:lang w:val="en-US"/>
        </w:rPr>
      </w:pPr>
      <w:r w:rsidRPr="00AF33AE">
        <w:rPr>
          <w:color w:val="1F1F1F"/>
          <w:sz w:val="24"/>
          <w:szCs w:val="24"/>
          <w:highlight w:val="white"/>
          <w:lang w:val="en-US"/>
        </w:rPr>
        <w:t>Since both methods aligned, seven clusters were selected. This number provided clear distinctions between plant types without creating unnecessary complexity.</w:t>
      </w:r>
    </w:p>
    <w:p w14:paraId="3C941A92" w14:textId="77777777" w:rsidR="00AF33AE" w:rsidRPr="00AF33AE" w:rsidRDefault="00AF33AE" w:rsidP="00AF33AE">
      <w:pPr>
        <w:spacing w:line="360" w:lineRule="auto"/>
        <w:rPr>
          <w:b/>
          <w:bCs/>
          <w:color w:val="1F1F1F"/>
          <w:sz w:val="24"/>
          <w:szCs w:val="24"/>
          <w:highlight w:val="white"/>
          <w:lang w:val="en-US"/>
        </w:rPr>
      </w:pPr>
      <w:r w:rsidRPr="00AF33AE">
        <w:rPr>
          <w:b/>
          <w:bCs/>
          <w:color w:val="1F1F1F"/>
          <w:sz w:val="24"/>
          <w:szCs w:val="24"/>
          <w:highlight w:val="white"/>
          <w:lang w:val="en-US"/>
        </w:rPr>
        <w:t>4.4 Interpretation of Cluster Profiles</w:t>
      </w:r>
    </w:p>
    <w:p w14:paraId="1C03BC62" w14:textId="668D9330" w:rsidR="00892E66" w:rsidRPr="00EB20ED" w:rsidRDefault="0027461B" w:rsidP="0027461B">
      <w:pPr>
        <w:spacing w:line="360" w:lineRule="auto"/>
        <w:jc w:val="both"/>
        <w:rPr>
          <w:noProof/>
          <w:lang w:val="en-US"/>
        </w:rPr>
      </w:pPr>
      <w:r w:rsidRPr="00032990">
        <w:rPr>
          <w:noProof/>
          <w:sz w:val="24"/>
          <w:szCs w:val="24"/>
        </w:rPr>
        <mc:AlternateContent>
          <mc:Choice Requires="wps">
            <w:drawing>
              <wp:anchor distT="0" distB="0" distL="114300" distR="114300" simplePos="0" relativeHeight="251667456" behindDoc="0" locked="0" layoutInCell="1" allowOverlap="1" wp14:anchorId="61E9C41A" wp14:editId="13671EC7">
                <wp:simplePos x="0" y="0"/>
                <wp:positionH relativeFrom="column">
                  <wp:posOffset>552450</wp:posOffset>
                </wp:positionH>
                <wp:positionV relativeFrom="paragraph">
                  <wp:posOffset>4455160</wp:posOffset>
                </wp:positionV>
                <wp:extent cx="4659630" cy="252095"/>
                <wp:effectExtent l="0" t="0" r="7620" b="0"/>
                <wp:wrapTopAndBottom/>
                <wp:docPr id="1794980019" name="Text Box 1"/>
                <wp:cNvGraphicFramePr/>
                <a:graphic xmlns:a="http://schemas.openxmlformats.org/drawingml/2006/main">
                  <a:graphicData uri="http://schemas.microsoft.com/office/word/2010/wordprocessingShape">
                    <wps:wsp>
                      <wps:cNvSpPr txBox="1"/>
                      <wps:spPr>
                        <a:xfrm>
                          <a:off x="0" y="0"/>
                          <a:ext cx="4659630" cy="252095"/>
                        </a:xfrm>
                        <a:prstGeom prst="rect">
                          <a:avLst/>
                        </a:prstGeom>
                        <a:solidFill>
                          <a:prstClr val="white"/>
                        </a:solidFill>
                        <a:ln>
                          <a:noFill/>
                        </a:ln>
                      </wps:spPr>
                      <wps:txbx>
                        <w:txbxContent>
                          <w:p w14:paraId="3AA18DAB" w14:textId="0475EC2F" w:rsidR="0027461B" w:rsidRPr="0027461B" w:rsidRDefault="0027461B" w:rsidP="0027461B">
                            <w:pPr>
                              <w:pStyle w:val="Caption"/>
                              <w:jc w:val="center"/>
                              <w:rPr>
                                <w:noProof/>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Pr>
                                <w:noProof/>
                                <w:sz w:val="24"/>
                                <w:szCs w:val="24"/>
                              </w:rPr>
                              <w:t>3</w:t>
                            </w:r>
                            <w:r w:rsidRPr="0027461B">
                              <w:rPr>
                                <w:sz w:val="24"/>
                                <w:szCs w:val="24"/>
                              </w:rPr>
                              <w:fldChar w:fldCharType="end"/>
                            </w:r>
                            <w:r w:rsidRPr="0027461B">
                              <w:rPr>
                                <w:sz w:val="24"/>
                                <w:szCs w:val="24"/>
                              </w:rPr>
                              <w:t>. PCA visualization of the seven power plant clusters (K = 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9C41A" id="_x0000_s1028" type="#_x0000_t202" style="position:absolute;left:0;text-align:left;margin-left:43.5pt;margin-top:350.8pt;width:366.9pt;height:1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" stroked="f">
                <v:textbox inset="0,0,0,0">
                  <w:txbxContent>
                    <w:p w14:paraId="3AA18DAB" w14:textId="0475EC2F" w:rsidR="0027461B" w:rsidRPr="0027461B" w:rsidRDefault="0027461B" w:rsidP="0027461B">
                      <w:pPr>
                        <w:pStyle w:val="Caption"/>
                        <w:jc w:val="center"/>
                        <w:rPr>
                          <w:noProof/>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Pr>
                          <w:noProof/>
                          <w:sz w:val="24"/>
                          <w:szCs w:val="24"/>
                        </w:rPr>
                        <w:t>3</w:t>
                      </w:r>
                      <w:r w:rsidRPr="0027461B">
                        <w:rPr>
                          <w:sz w:val="24"/>
                          <w:szCs w:val="24"/>
                        </w:rPr>
                        <w:fldChar w:fldCharType="end"/>
                      </w:r>
                      <w:r w:rsidRPr="0027461B">
                        <w:rPr>
                          <w:sz w:val="24"/>
                          <w:szCs w:val="24"/>
                        </w:rPr>
                        <w:t>. PCA visualization of the seven power plant clusters (K = 7).</w:t>
                      </w:r>
                    </w:p>
                  </w:txbxContent>
                </v:textbox>
                <w10:wrap type="topAndBottom"/>
              </v:shape>
            </w:pict>
          </mc:Fallback>
        </mc:AlternateContent>
      </w:r>
      <w:r w:rsidR="00892E66" w:rsidRPr="00032990">
        <w:rPr>
          <w:noProof/>
          <w:color w:val="1F1F1F"/>
          <w:sz w:val="24"/>
          <w:szCs w:val="24"/>
        </w:rPr>
        <w:drawing>
          <wp:anchor distT="0" distB="0" distL="114300" distR="114300" simplePos="0" relativeHeight="251660288" behindDoc="0" locked="0" layoutInCell="1" allowOverlap="1" wp14:anchorId="6FF1AAFC" wp14:editId="67D4AE6F">
            <wp:simplePos x="0" y="0"/>
            <wp:positionH relativeFrom="margin">
              <wp:align>center</wp:align>
            </wp:positionH>
            <wp:positionV relativeFrom="paragraph">
              <wp:posOffset>807237</wp:posOffset>
            </wp:positionV>
            <wp:extent cx="4489450" cy="3663950"/>
            <wp:effectExtent l="0" t="0" r="6350" b="0"/>
            <wp:wrapTopAndBottom/>
            <wp:docPr id="855259470" name="Picture 3" descr="A diagram of a plant seg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59470" name="Picture 3" descr="A diagram of a plant segmenta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89450" cy="3663950"/>
                    </a:xfrm>
                    <a:prstGeom prst="rect">
                      <a:avLst/>
                    </a:prstGeom>
                  </pic:spPr>
                </pic:pic>
              </a:graphicData>
            </a:graphic>
            <wp14:sizeRelH relativeFrom="margin">
              <wp14:pctWidth>0</wp14:pctWidth>
            </wp14:sizeRelH>
            <wp14:sizeRelV relativeFrom="margin">
              <wp14:pctHeight>0</wp14:pctHeight>
            </wp14:sizeRelV>
          </wp:anchor>
        </w:drawing>
      </w:r>
      <w:r w:rsidR="00EB20ED" w:rsidRPr="00032990">
        <w:rPr>
          <w:noProof/>
          <w:sz w:val="24"/>
          <w:szCs w:val="24"/>
          <w:lang w:val="en-US"/>
        </w:rPr>
        <w:t>The seven clusters symbolize in various operational tasks in the American electrical network.The organization of plants based upon size and efficiency was shown utilizing a PCA visualization</w:t>
      </w:r>
      <w:r w:rsidR="00892E66" w:rsidRPr="00EA51A5">
        <w:rPr>
          <w:color w:val="1F1F1F"/>
          <w:highlight w:val="white"/>
        </w:rPr>
        <w:t>.</w:t>
      </w:r>
    </w:p>
    <w:p w14:paraId="0896D4D2" w14:textId="77777777" w:rsidR="0027461B" w:rsidRDefault="0027461B" w:rsidP="00892E66">
      <w:pPr>
        <w:spacing w:line="360" w:lineRule="auto"/>
        <w:rPr>
          <w:b/>
          <w:bCs/>
          <w:color w:val="1F1F1F"/>
          <w:sz w:val="24"/>
          <w:szCs w:val="24"/>
          <w:highlight w:val="white"/>
        </w:rPr>
      </w:pPr>
    </w:p>
    <w:p w14:paraId="0922A5CA" w14:textId="76146C97" w:rsidR="00892E66" w:rsidRPr="00892E66" w:rsidRDefault="00892E66" w:rsidP="00892E66">
      <w:pPr>
        <w:spacing w:line="360" w:lineRule="auto"/>
        <w:rPr>
          <w:b/>
          <w:bCs/>
          <w:color w:val="1F1F1F"/>
          <w:sz w:val="24"/>
          <w:szCs w:val="24"/>
          <w:highlight w:val="white"/>
        </w:rPr>
      </w:pPr>
      <w:r w:rsidRPr="00892E66">
        <w:rPr>
          <w:b/>
          <w:bCs/>
          <w:color w:val="1F1F1F"/>
          <w:sz w:val="24"/>
          <w:szCs w:val="24"/>
          <w:highlight w:val="white"/>
        </w:rPr>
        <w:t>Below is a description of each cluster:</w:t>
      </w:r>
    </w:p>
    <w:p w14:paraId="68984B4D" w14:textId="4561C3FF"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Cluster 5</w:t>
      </w:r>
      <w:r w:rsidRPr="00AF33AE">
        <w:rPr>
          <w:color w:val="1F1F1F"/>
          <w:sz w:val="24"/>
          <w:szCs w:val="24"/>
          <w:highlight w:val="white"/>
          <w:lang w:val="en-US"/>
        </w:rPr>
        <w:t xml:space="preserve"> – “The Backbone” (Large Gas Plants)</w:t>
      </w:r>
    </w:p>
    <w:p w14:paraId="358DB492" w14:textId="38113EE4" w:rsidR="00AF33AE" w:rsidRPr="00AF33AE" w:rsidRDefault="0031003C" w:rsidP="00AF33AE">
      <w:pPr>
        <w:spacing w:line="360" w:lineRule="auto"/>
        <w:jc w:val="both"/>
        <w:rPr>
          <w:color w:val="1F1F1F"/>
          <w:sz w:val="24"/>
          <w:szCs w:val="24"/>
          <w:highlight w:val="white"/>
          <w:lang w:val="en-US"/>
        </w:rPr>
      </w:pPr>
      <w:r w:rsidRPr="0031003C">
        <w:rPr>
          <w:color w:val="1F1F1F"/>
          <w:sz w:val="24"/>
          <w:szCs w:val="24"/>
          <w:highlight w:val="white"/>
          <w:lang w:val="en-US"/>
        </w:rPr>
        <w:t xml:space="preserve">Most of the nation's electricity has been generated through that reasonably substantial group. These powerful natural gas installations operate </w:t>
      </w:r>
      <w:r w:rsidR="00A42C53" w:rsidRPr="0031003C">
        <w:rPr>
          <w:color w:val="1F1F1F"/>
          <w:sz w:val="24"/>
          <w:szCs w:val="24"/>
          <w:highlight w:val="white"/>
          <w:lang w:val="en-US"/>
        </w:rPr>
        <w:t>as major</w:t>
      </w:r>
      <w:r w:rsidRPr="0031003C">
        <w:rPr>
          <w:color w:val="1F1F1F"/>
          <w:sz w:val="24"/>
          <w:szCs w:val="24"/>
          <w:highlight w:val="white"/>
          <w:lang w:val="en-US"/>
        </w:rPr>
        <w:t xml:space="preserve"> base-load vendors</w:t>
      </w:r>
      <w:r w:rsidR="00AF33AE" w:rsidRPr="00AF33AE">
        <w:rPr>
          <w:color w:val="1F1F1F"/>
          <w:sz w:val="24"/>
          <w:szCs w:val="24"/>
          <w:highlight w:val="white"/>
          <w:lang w:val="en-US"/>
        </w:rPr>
        <w:t>.</w:t>
      </w:r>
    </w:p>
    <w:p w14:paraId="18551896" w14:textId="77777777"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Cluster 1</w:t>
      </w:r>
      <w:r w:rsidRPr="00AF33AE">
        <w:rPr>
          <w:color w:val="1F1F1F"/>
          <w:sz w:val="24"/>
          <w:szCs w:val="24"/>
          <w:highlight w:val="white"/>
          <w:lang w:val="en-US"/>
        </w:rPr>
        <w:t xml:space="preserve"> – “Wind Heavy” (Large Renewable Group)</w:t>
      </w:r>
    </w:p>
    <w:p w14:paraId="139CFA47" w14:textId="77777777" w:rsidR="00AF33AE" w:rsidRPr="00AF33AE" w:rsidRDefault="00AF33AE" w:rsidP="00AF33AE">
      <w:pPr>
        <w:spacing w:line="360" w:lineRule="auto"/>
        <w:jc w:val="both"/>
        <w:rPr>
          <w:color w:val="1F1F1F"/>
          <w:sz w:val="24"/>
          <w:szCs w:val="24"/>
          <w:highlight w:val="white"/>
          <w:lang w:val="en-US"/>
        </w:rPr>
      </w:pPr>
      <w:r w:rsidRPr="00AF33AE">
        <w:rPr>
          <w:color w:val="1F1F1F"/>
          <w:sz w:val="24"/>
          <w:szCs w:val="24"/>
          <w:highlight w:val="white"/>
          <w:lang w:val="en-US"/>
        </w:rPr>
        <w:t>A very large group dominated by wind facilities. High efficiency and major contributions to renewable energy goals define this cluster.</w:t>
      </w:r>
    </w:p>
    <w:p w14:paraId="083A29B9" w14:textId="77777777"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Cluster 0</w:t>
      </w:r>
      <w:r w:rsidRPr="00AF33AE">
        <w:rPr>
          <w:color w:val="1F1F1F"/>
          <w:sz w:val="24"/>
          <w:szCs w:val="24"/>
          <w:highlight w:val="white"/>
          <w:lang w:val="en-US"/>
        </w:rPr>
        <w:t xml:space="preserve"> – “Solar Army” (Distributed Solar Segment)</w:t>
      </w:r>
    </w:p>
    <w:p w14:paraId="3A5F4CF7" w14:textId="54C771C1" w:rsidR="00AF33AE" w:rsidRPr="00AF33AE" w:rsidRDefault="00AF33AE" w:rsidP="00AF33AE">
      <w:pPr>
        <w:spacing w:line="360" w:lineRule="auto"/>
        <w:jc w:val="both"/>
        <w:rPr>
          <w:color w:val="1F1F1F"/>
          <w:sz w:val="24"/>
          <w:szCs w:val="24"/>
          <w:highlight w:val="white"/>
          <w:lang w:val="en-US"/>
        </w:rPr>
      </w:pPr>
      <w:r w:rsidRPr="00AF33AE">
        <w:rPr>
          <w:color w:val="1F1F1F"/>
          <w:sz w:val="24"/>
          <w:szCs w:val="24"/>
          <w:highlight w:val="white"/>
          <w:lang w:val="en-US"/>
        </w:rPr>
        <w:lastRenderedPageBreak/>
        <w:t>The largest cluster by count. Composed mainly of small but efficient solar installations with strong seasonal patterns.</w:t>
      </w:r>
    </w:p>
    <w:p w14:paraId="75186064" w14:textId="77777777"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 xml:space="preserve">Cluster 2 </w:t>
      </w:r>
      <w:r w:rsidRPr="00AF33AE">
        <w:rPr>
          <w:color w:val="1F1F1F"/>
          <w:sz w:val="24"/>
          <w:szCs w:val="24"/>
          <w:highlight w:val="white"/>
          <w:lang w:val="en-US"/>
        </w:rPr>
        <w:t>– “Local Gas” (Mid-Sized Gas Plants)</w:t>
      </w:r>
    </w:p>
    <w:p w14:paraId="5A9B7213" w14:textId="77777777" w:rsidR="00A13415" w:rsidRPr="00A13415" w:rsidRDefault="00A13415" w:rsidP="00A13415">
      <w:pPr>
        <w:spacing w:line="360" w:lineRule="auto"/>
        <w:jc w:val="both"/>
        <w:rPr>
          <w:color w:val="1F1F1F"/>
          <w:sz w:val="24"/>
          <w:szCs w:val="24"/>
          <w:highlight w:val="white"/>
          <w:lang w:val="en-US"/>
        </w:rPr>
      </w:pPr>
      <w:r w:rsidRPr="00A13415">
        <w:rPr>
          <w:color w:val="1F1F1F"/>
          <w:sz w:val="24"/>
          <w:szCs w:val="24"/>
          <w:highlight w:val="white"/>
          <w:lang w:val="en-US"/>
        </w:rPr>
        <w:t>moderate efficiency and efficacy in the center. These manufacturing operations generally serve regional or local requirements.</w:t>
      </w:r>
    </w:p>
    <w:p w14:paraId="294FCF65" w14:textId="77777777"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Cluster 3</w:t>
      </w:r>
      <w:r w:rsidRPr="00AF33AE">
        <w:rPr>
          <w:color w:val="1F1F1F"/>
          <w:sz w:val="24"/>
          <w:szCs w:val="24"/>
          <w:highlight w:val="white"/>
          <w:lang w:val="en-US"/>
        </w:rPr>
        <w:t xml:space="preserve"> – “Emergency Backup” (Oil-Fired Plants)</w:t>
      </w:r>
    </w:p>
    <w:p w14:paraId="75D42710" w14:textId="77777777" w:rsidR="00AF33AE" w:rsidRPr="00AF33AE" w:rsidRDefault="00AF33AE" w:rsidP="00AF33AE">
      <w:pPr>
        <w:spacing w:line="360" w:lineRule="auto"/>
        <w:jc w:val="both"/>
        <w:rPr>
          <w:color w:val="1F1F1F"/>
          <w:sz w:val="24"/>
          <w:szCs w:val="24"/>
          <w:highlight w:val="white"/>
          <w:lang w:val="en-US"/>
        </w:rPr>
      </w:pPr>
      <w:r w:rsidRPr="00AF33AE">
        <w:rPr>
          <w:color w:val="1F1F1F"/>
          <w:sz w:val="24"/>
          <w:szCs w:val="24"/>
          <w:highlight w:val="white"/>
          <w:lang w:val="en-US"/>
        </w:rPr>
        <w:t>Low-efficiency plants used primarily during peak periods or emergencies, operating infrequently and at higher cost.</w:t>
      </w:r>
    </w:p>
    <w:p w14:paraId="66EB74B1" w14:textId="4061D0EA"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Cluster 4</w:t>
      </w:r>
      <w:r w:rsidRPr="00AF33AE">
        <w:rPr>
          <w:color w:val="1F1F1F"/>
          <w:sz w:val="24"/>
          <w:szCs w:val="24"/>
          <w:highlight w:val="white"/>
          <w:lang w:val="en-US"/>
        </w:rPr>
        <w:t xml:space="preserve"> – “</w:t>
      </w:r>
      <w:r w:rsidR="00496DD1" w:rsidRPr="00496DD1">
        <w:rPr>
          <w:color w:val="1F1F1F"/>
          <w:sz w:val="24"/>
          <w:szCs w:val="24"/>
          <w:highlight w:val="white"/>
        </w:rPr>
        <w:t>Inefficient Peakers</w:t>
      </w:r>
      <w:r w:rsidRPr="00AF33AE">
        <w:rPr>
          <w:color w:val="1F1F1F"/>
          <w:sz w:val="24"/>
          <w:szCs w:val="24"/>
          <w:highlight w:val="white"/>
          <w:lang w:val="en-US"/>
        </w:rPr>
        <w:t>” (Small Gas Units)</w:t>
      </w:r>
    </w:p>
    <w:p w14:paraId="2FE2D8BD" w14:textId="2DEA2693" w:rsidR="00E4209A" w:rsidRPr="00E4209A" w:rsidRDefault="00E4209A" w:rsidP="00E4209A">
      <w:pPr>
        <w:spacing w:line="360" w:lineRule="auto"/>
        <w:jc w:val="both"/>
        <w:rPr>
          <w:color w:val="1F1F1F"/>
          <w:sz w:val="24"/>
          <w:szCs w:val="24"/>
          <w:highlight w:val="white"/>
          <w:lang w:val="en-US"/>
        </w:rPr>
      </w:pPr>
      <w:r w:rsidRPr="00E4209A">
        <w:rPr>
          <w:color w:val="1F1F1F"/>
          <w:sz w:val="24"/>
          <w:szCs w:val="24"/>
          <w:highlight w:val="white"/>
          <w:lang w:val="en-US"/>
        </w:rPr>
        <w:t>older, ineffectual gas units that only activate whenever demand is high.</w:t>
      </w:r>
    </w:p>
    <w:p w14:paraId="00DFE238" w14:textId="77777777" w:rsidR="00AF33AE" w:rsidRPr="00AF33AE" w:rsidRDefault="00AF33AE" w:rsidP="00AF33AE">
      <w:pPr>
        <w:spacing w:line="360" w:lineRule="auto"/>
        <w:jc w:val="both"/>
        <w:rPr>
          <w:color w:val="1F1F1F"/>
          <w:sz w:val="24"/>
          <w:szCs w:val="24"/>
          <w:highlight w:val="white"/>
          <w:lang w:val="en-US"/>
        </w:rPr>
      </w:pPr>
      <w:r w:rsidRPr="00AF33AE">
        <w:rPr>
          <w:b/>
          <w:bCs/>
          <w:color w:val="1F1F1F"/>
          <w:sz w:val="24"/>
          <w:szCs w:val="24"/>
          <w:highlight w:val="white"/>
          <w:lang w:val="en-US"/>
        </w:rPr>
        <w:t>Cluster 6</w:t>
      </w:r>
      <w:r w:rsidRPr="00AF33AE">
        <w:rPr>
          <w:color w:val="1F1F1F"/>
          <w:sz w:val="24"/>
          <w:szCs w:val="24"/>
          <w:highlight w:val="white"/>
          <w:lang w:val="en-US"/>
        </w:rPr>
        <w:t xml:space="preserve"> – “High-Efficiency Backup” (Mixed Fuels)</w:t>
      </w:r>
    </w:p>
    <w:p w14:paraId="1E13E279" w14:textId="77777777" w:rsidR="001300B7" w:rsidRPr="001300B7" w:rsidRDefault="001300B7" w:rsidP="001300B7">
      <w:pPr>
        <w:spacing w:line="360" w:lineRule="auto"/>
        <w:jc w:val="both"/>
        <w:rPr>
          <w:color w:val="1F1F1F"/>
          <w:sz w:val="24"/>
          <w:szCs w:val="24"/>
          <w:highlight w:val="white"/>
          <w:lang w:val="en-US"/>
        </w:rPr>
      </w:pPr>
      <w:r w:rsidRPr="001300B7">
        <w:rPr>
          <w:color w:val="1F1F1F"/>
          <w:sz w:val="24"/>
          <w:szCs w:val="24"/>
          <w:highlight w:val="white"/>
          <w:lang w:val="en-US"/>
        </w:rPr>
        <w:t xml:space="preserve">Employing a variety of fuels, these power plants </w:t>
      </w:r>
      <w:proofErr w:type="gramStart"/>
      <w:r w:rsidRPr="001300B7">
        <w:rPr>
          <w:color w:val="1F1F1F"/>
          <w:sz w:val="24"/>
          <w:szCs w:val="24"/>
          <w:highlight w:val="white"/>
          <w:lang w:val="en-US"/>
        </w:rPr>
        <w:t>is</w:t>
      </w:r>
      <w:proofErr w:type="gramEnd"/>
      <w:r w:rsidRPr="001300B7">
        <w:rPr>
          <w:color w:val="1F1F1F"/>
          <w:sz w:val="24"/>
          <w:szCs w:val="24"/>
          <w:highlight w:val="white"/>
          <w:lang w:val="en-US"/>
        </w:rPr>
        <w:t xml:space="preserve"> small and quite efficient. Their low but continuous generation levels coincide with position in additional amenities and durability.</w:t>
      </w:r>
    </w:p>
    <w:p w14:paraId="2A4C9DB0" w14:textId="3DC0EA1B" w:rsidR="00AF33AE" w:rsidRPr="00AF33AE" w:rsidRDefault="00AF33AE" w:rsidP="00AF33AE">
      <w:pPr>
        <w:spacing w:line="360" w:lineRule="auto"/>
        <w:jc w:val="both"/>
        <w:rPr>
          <w:color w:val="1F1F1F"/>
          <w:sz w:val="24"/>
          <w:szCs w:val="24"/>
          <w:highlight w:val="white"/>
          <w:lang w:val="en-US"/>
        </w:rPr>
      </w:pPr>
      <w:r w:rsidRPr="00AF33AE">
        <w:rPr>
          <w:color w:val="1F1F1F"/>
          <w:sz w:val="24"/>
          <w:szCs w:val="24"/>
          <w:highlight w:val="white"/>
          <w:lang w:val="en-US"/>
        </w:rPr>
        <w:t>Overall, these clusters highlight clear operational divisions: base-load suppliers, renewables, distributed generators and various forms of backup capacity.</w:t>
      </w:r>
    </w:p>
    <w:p w14:paraId="118ED8CD" w14:textId="77777777" w:rsidR="00EA51A5" w:rsidRDefault="00EA51A5" w:rsidP="00AF33AE">
      <w:pPr>
        <w:spacing w:line="360" w:lineRule="auto"/>
        <w:rPr>
          <w:b/>
          <w:bCs/>
          <w:color w:val="1F1F1F"/>
          <w:sz w:val="24"/>
          <w:szCs w:val="24"/>
          <w:highlight w:val="white"/>
          <w:lang w:val="en-US"/>
        </w:rPr>
      </w:pPr>
    </w:p>
    <w:p w14:paraId="26592346" w14:textId="047EDA71" w:rsidR="00AF33AE" w:rsidRPr="00AF33AE" w:rsidRDefault="00AF33AE" w:rsidP="00AF33AE">
      <w:pPr>
        <w:spacing w:line="360" w:lineRule="auto"/>
        <w:rPr>
          <w:b/>
          <w:bCs/>
          <w:color w:val="1F1F1F"/>
          <w:sz w:val="24"/>
          <w:szCs w:val="24"/>
          <w:highlight w:val="white"/>
          <w:lang w:val="en-US"/>
        </w:rPr>
      </w:pPr>
      <w:r w:rsidRPr="00AF33AE">
        <w:rPr>
          <w:b/>
          <w:bCs/>
          <w:color w:val="1F1F1F"/>
          <w:sz w:val="24"/>
          <w:szCs w:val="24"/>
          <w:highlight w:val="white"/>
          <w:lang w:val="en-US"/>
        </w:rPr>
        <w:t>4.5 Monthly Patterns and COVID-19 Impact (March–May 2020)</w:t>
      </w:r>
    </w:p>
    <w:p w14:paraId="19A6826D" w14:textId="19F4EE32" w:rsidR="00EA51A5" w:rsidRDefault="00EA51A5" w:rsidP="00892E66">
      <w:pPr>
        <w:spacing w:line="360" w:lineRule="auto"/>
        <w:jc w:val="both"/>
        <w:rPr>
          <w:color w:val="1F1F1F"/>
          <w:sz w:val="24"/>
          <w:szCs w:val="24"/>
          <w:highlight w:val="white"/>
        </w:rPr>
      </w:pPr>
      <w:r w:rsidRPr="00EA51A5">
        <w:rPr>
          <w:color w:val="1F1F1F"/>
          <w:sz w:val="24"/>
          <w:szCs w:val="24"/>
          <w:highlight w:val="white"/>
        </w:rPr>
        <w:t xml:space="preserve">Monthly generation trends were analyzed to understand how each cluster performed throughout 2020, with particular </w:t>
      </w:r>
      <w:r w:rsidR="00BE09D6" w:rsidRPr="00EA51A5">
        <w:rPr>
          <w:color w:val="1F1F1F"/>
          <w:sz w:val="24"/>
          <w:szCs w:val="24"/>
          <w:highlight w:val="white"/>
        </w:rPr>
        <w:t>attention March</w:t>
      </w:r>
      <w:r w:rsidR="00BE09D6">
        <w:rPr>
          <w:color w:val="1F1F1F"/>
          <w:sz w:val="24"/>
          <w:szCs w:val="24"/>
          <w:highlight w:val="white"/>
        </w:rPr>
        <w:t xml:space="preserve"> to </w:t>
      </w:r>
      <w:r w:rsidR="00535928" w:rsidRPr="00EA51A5">
        <w:rPr>
          <w:color w:val="1F1F1F"/>
          <w:sz w:val="24"/>
          <w:szCs w:val="24"/>
          <w:highlight w:val="white"/>
        </w:rPr>
        <w:t>May,</w:t>
      </w:r>
      <w:r w:rsidR="001A75F1">
        <w:rPr>
          <w:color w:val="1F1F1F"/>
          <w:sz w:val="24"/>
          <w:szCs w:val="24"/>
          <w:highlight w:val="white"/>
        </w:rPr>
        <w:t xml:space="preserve"> </w:t>
      </w:r>
      <w:r w:rsidRPr="00EA51A5">
        <w:rPr>
          <w:color w:val="1F1F1F"/>
          <w:sz w:val="24"/>
          <w:szCs w:val="24"/>
          <w:highlight w:val="white"/>
        </w:rPr>
        <w:t>the months most affected by early COVID-19 lockdowns. Figure 4 below illustrates these monthly patterns across all seven clusters.</w:t>
      </w:r>
    </w:p>
    <w:p w14:paraId="4CB7491A" w14:textId="7DE33221" w:rsidR="00EA51A5" w:rsidRPr="00BC0A34" w:rsidRDefault="00BC0A34" w:rsidP="00BC0A34">
      <w:pPr>
        <w:spacing w:line="360" w:lineRule="auto"/>
        <w:rPr>
          <w:color w:val="1F1F1F"/>
          <w:sz w:val="24"/>
          <w:szCs w:val="24"/>
          <w:highlight w:val="white"/>
          <w:lang w:val="en-US"/>
        </w:rPr>
      </w:pPr>
      <w:r>
        <w:rPr>
          <w:noProof/>
        </w:rPr>
        <w:lastRenderedPageBreak/>
        <mc:AlternateContent>
          <mc:Choice Requires="wps">
            <w:drawing>
              <wp:anchor distT="0" distB="0" distL="114300" distR="114300" simplePos="0" relativeHeight="251669504" behindDoc="0" locked="0" layoutInCell="1" allowOverlap="1" wp14:anchorId="5E3F0863" wp14:editId="4F93125A">
                <wp:simplePos x="0" y="0"/>
                <wp:positionH relativeFrom="column">
                  <wp:posOffset>76200</wp:posOffset>
                </wp:positionH>
                <wp:positionV relativeFrom="paragraph">
                  <wp:posOffset>2901315</wp:posOffset>
                </wp:positionV>
                <wp:extent cx="5786120" cy="355600"/>
                <wp:effectExtent l="0" t="0" r="5080" b="6350"/>
                <wp:wrapTopAndBottom/>
                <wp:docPr id="965511722" name="Text Box 1"/>
                <wp:cNvGraphicFramePr/>
                <a:graphic xmlns:a="http://schemas.openxmlformats.org/drawingml/2006/main">
                  <a:graphicData uri="http://schemas.microsoft.com/office/word/2010/wordprocessingShape">
                    <wps:wsp>
                      <wps:cNvSpPr txBox="1"/>
                      <wps:spPr>
                        <a:xfrm>
                          <a:off x="0" y="0"/>
                          <a:ext cx="5786120" cy="355600"/>
                        </a:xfrm>
                        <a:prstGeom prst="rect">
                          <a:avLst/>
                        </a:prstGeom>
                        <a:solidFill>
                          <a:prstClr val="white"/>
                        </a:solidFill>
                        <a:ln>
                          <a:noFill/>
                        </a:ln>
                      </wps:spPr>
                      <wps:txbx>
                        <w:txbxContent>
                          <w:p w14:paraId="5B83E06E" w14:textId="73285F07" w:rsidR="0027461B" w:rsidRPr="0027461B" w:rsidRDefault="0027461B" w:rsidP="0027461B">
                            <w:pPr>
                              <w:pStyle w:val="Caption"/>
                              <w:jc w:val="center"/>
                              <w:rPr>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sidRPr="0027461B">
                              <w:rPr>
                                <w:noProof/>
                                <w:sz w:val="24"/>
                                <w:szCs w:val="24"/>
                              </w:rPr>
                              <w:t>4</w:t>
                            </w:r>
                            <w:r w:rsidRPr="0027461B">
                              <w:rPr>
                                <w:sz w:val="24"/>
                                <w:szCs w:val="24"/>
                              </w:rPr>
                              <w:fldChar w:fldCharType="end"/>
                            </w:r>
                            <w:r w:rsidRPr="0027461B">
                              <w:rPr>
                                <w:sz w:val="24"/>
                                <w:szCs w:val="24"/>
                              </w:rPr>
                              <w:t>.Average monthly net generation per plant by cluster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3F0863" id="_x0000_s1029" type="#_x0000_t202" style="position:absolute;margin-left:6pt;margin-top:228.45pt;width:455.6pt;height:2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ynuHQIAAEIEAAAOAAAAZHJzL2Uyb0RvYy54bWysU02P2jAQvVfqf7B8LwEq6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" stroked="f">
                <v:textbox inset="0,0,0,0">
                  <w:txbxContent>
                    <w:p w14:paraId="5B83E06E" w14:textId="73285F07" w:rsidR="0027461B" w:rsidRPr="0027461B" w:rsidRDefault="0027461B" w:rsidP="0027461B">
                      <w:pPr>
                        <w:pStyle w:val="Caption"/>
                        <w:jc w:val="center"/>
                        <w:rPr>
                          <w:color w:val="1F1F1F"/>
                          <w:sz w:val="24"/>
                          <w:szCs w:val="24"/>
                        </w:rPr>
                      </w:pPr>
                      <w:r w:rsidRPr="0027461B">
                        <w:rPr>
                          <w:sz w:val="24"/>
                          <w:szCs w:val="24"/>
                        </w:rPr>
                        <w:t xml:space="preserve">Figure </w:t>
                      </w:r>
                      <w:r w:rsidRPr="0027461B">
                        <w:rPr>
                          <w:sz w:val="24"/>
                          <w:szCs w:val="24"/>
                        </w:rPr>
                        <w:fldChar w:fldCharType="begin"/>
                      </w:r>
                      <w:r w:rsidRPr="0027461B">
                        <w:rPr>
                          <w:sz w:val="24"/>
                          <w:szCs w:val="24"/>
                        </w:rPr>
                        <w:instrText xml:space="preserve"> SEQ Figure \* ARABIC </w:instrText>
                      </w:r>
                      <w:r w:rsidRPr="0027461B">
                        <w:rPr>
                          <w:sz w:val="24"/>
                          <w:szCs w:val="24"/>
                        </w:rPr>
                        <w:fldChar w:fldCharType="separate"/>
                      </w:r>
                      <w:r w:rsidRPr="0027461B">
                        <w:rPr>
                          <w:noProof/>
                          <w:sz w:val="24"/>
                          <w:szCs w:val="24"/>
                        </w:rPr>
                        <w:t>4</w:t>
                      </w:r>
                      <w:r w:rsidRPr="0027461B">
                        <w:rPr>
                          <w:sz w:val="24"/>
                          <w:szCs w:val="24"/>
                        </w:rPr>
                        <w:fldChar w:fldCharType="end"/>
                      </w:r>
                      <w:r w:rsidRPr="0027461B">
                        <w:rPr>
                          <w:sz w:val="24"/>
                          <w:szCs w:val="24"/>
                        </w:rPr>
                        <w:t>.Average monthly net generation per plant by cluster (2020)</w:t>
                      </w:r>
                    </w:p>
                  </w:txbxContent>
                </v:textbox>
                <w10:wrap type="topAndBottom"/>
              </v:shape>
            </w:pict>
          </mc:Fallback>
        </mc:AlternateContent>
      </w:r>
      <w:r w:rsidR="00A42C53" w:rsidRPr="00EA51A5">
        <w:rPr>
          <w:noProof/>
          <w:color w:val="1F1F1F"/>
          <w:sz w:val="24"/>
          <w:szCs w:val="24"/>
          <w:lang w:val="en-US"/>
        </w:rPr>
        <w:drawing>
          <wp:anchor distT="0" distB="0" distL="114300" distR="114300" simplePos="0" relativeHeight="251661312" behindDoc="0" locked="0" layoutInCell="1" allowOverlap="1" wp14:anchorId="5E28FB2C" wp14:editId="3392DE79">
            <wp:simplePos x="0" y="0"/>
            <wp:positionH relativeFrom="margin">
              <wp:posOffset>495300</wp:posOffset>
            </wp:positionH>
            <wp:positionV relativeFrom="paragraph">
              <wp:posOffset>0</wp:posOffset>
            </wp:positionV>
            <wp:extent cx="4718050" cy="2876550"/>
            <wp:effectExtent l="0" t="0" r="6350" b="0"/>
            <wp:wrapTopAndBottom/>
            <wp:docPr id="1060170889" name="Picture 4" descr="A graph of a number of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0889" name="Picture 4" descr="A graph of a number of plan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18050" cy="2876550"/>
                    </a:xfrm>
                    <a:prstGeom prst="rect">
                      <a:avLst/>
                    </a:prstGeom>
                  </pic:spPr>
                </pic:pic>
              </a:graphicData>
            </a:graphic>
            <wp14:sizeRelH relativeFrom="margin">
              <wp14:pctWidth>0</wp14:pctWidth>
            </wp14:sizeRelH>
            <wp14:sizeRelV relativeFrom="margin">
              <wp14:pctHeight>0</wp14:pctHeight>
            </wp14:sizeRelV>
          </wp:anchor>
        </w:drawing>
      </w:r>
      <w:r w:rsidR="00EA51A5" w:rsidRPr="00EA51A5">
        <w:rPr>
          <w:b/>
          <w:bCs/>
          <w:color w:val="1F1F1F"/>
          <w:sz w:val="24"/>
          <w:szCs w:val="24"/>
          <w:highlight w:val="white"/>
          <w:lang w:val="en-US"/>
        </w:rPr>
        <w:t>The plot highlights several important patterns:</w:t>
      </w:r>
    </w:p>
    <w:p w14:paraId="2E7C579E" w14:textId="6511B075" w:rsidR="00EA51A5" w:rsidRPr="009E27D7" w:rsidRDefault="009E27D7" w:rsidP="009E27D7">
      <w:pPr>
        <w:pStyle w:val="ListParagraph"/>
        <w:numPr>
          <w:ilvl w:val="0"/>
          <w:numId w:val="16"/>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w:t>
      </w:r>
      <w:r w:rsidRPr="009E27D7">
        <w:rPr>
          <w:rFonts w:ascii="Times New Roman" w:eastAsia="Times New Roman" w:hAnsi="Times New Roman" w:cs="Times New Roman"/>
          <w:sz w:val="24"/>
          <w:szCs w:val="24"/>
          <w:lang w:val="en-US"/>
        </w:rPr>
        <w:t>rom the months of March to May 2020, there will be a drop in large gas plants (Cluster 5)</w:t>
      </w:r>
      <w:r w:rsidR="00EA51A5" w:rsidRPr="009E27D7">
        <w:rPr>
          <w:color w:val="1F1F1F"/>
          <w:sz w:val="24"/>
          <w:szCs w:val="24"/>
          <w:highlight w:val="white"/>
          <w:lang w:val="en-US"/>
        </w:rPr>
        <w:t>.</w:t>
      </w:r>
    </w:p>
    <w:p w14:paraId="733A14D3" w14:textId="77777777" w:rsidR="00EA51A5" w:rsidRPr="00EA51A5" w:rsidRDefault="00EA51A5" w:rsidP="00EA51A5">
      <w:pPr>
        <w:numPr>
          <w:ilvl w:val="0"/>
          <w:numId w:val="16"/>
        </w:numPr>
        <w:spacing w:line="360" w:lineRule="auto"/>
        <w:jc w:val="both"/>
        <w:rPr>
          <w:color w:val="1F1F1F"/>
          <w:sz w:val="24"/>
          <w:szCs w:val="24"/>
          <w:highlight w:val="white"/>
          <w:lang w:val="en-US"/>
        </w:rPr>
      </w:pPr>
      <w:r w:rsidRPr="00EA51A5">
        <w:rPr>
          <w:color w:val="1F1F1F"/>
          <w:sz w:val="24"/>
          <w:szCs w:val="24"/>
          <w:highlight w:val="white"/>
          <w:lang w:val="en-US"/>
        </w:rPr>
        <w:t>Wind and solar clusters reflect seasonal behavior rather than pandemic-driven changes.</w:t>
      </w:r>
    </w:p>
    <w:p w14:paraId="163DC6FC" w14:textId="2AC9495C" w:rsidR="00EA51A5" w:rsidRPr="00EA51A5" w:rsidRDefault="00EA51A5" w:rsidP="00EA51A5">
      <w:pPr>
        <w:numPr>
          <w:ilvl w:val="0"/>
          <w:numId w:val="16"/>
        </w:numPr>
        <w:spacing w:line="360" w:lineRule="auto"/>
        <w:jc w:val="both"/>
        <w:rPr>
          <w:color w:val="1F1F1F"/>
          <w:sz w:val="24"/>
          <w:szCs w:val="24"/>
          <w:highlight w:val="white"/>
          <w:lang w:val="en-US"/>
        </w:rPr>
      </w:pPr>
      <w:r w:rsidRPr="00EA51A5">
        <w:rPr>
          <w:color w:val="1F1F1F"/>
          <w:sz w:val="24"/>
          <w:szCs w:val="24"/>
          <w:highlight w:val="white"/>
          <w:lang w:val="en-US"/>
        </w:rPr>
        <w:t>Backup/Peaker clusters show consistently low output with further dips during the early pandemic months.</w:t>
      </w:r>
    </w:p>
    <w:p w14:paraId="5B076D6A" w14:textId="77777777" w:rsidR="00EA51A5" w:rsidRPr="00EA51A5" w:rsidRDefault="00EA51A5" w:rsidP="00EA51A5">
      <w:pPr>
        <w:numPr>
          <w:ilvl w:val="0"/>
          <w:numId w:val="16"/>
        </w:numPr>
        <w:spacing w:line="360" w:lineRule="auto"/>
        <w:jc w:val="both"/>
        <w:rPr>
          <w:color w:val="1F1F1F"/>
          <w:sz w:val="24"/>
          <w:szCs w:val="24"/>
          <w:highlight w:val="white"/>
          <w:lang w:val="en-US"/>
        </w:rPr>
      </w:pPr>
      <w:r w:rsidRPr="00EA51A5">
        <w:rPr>
          <w:color w:val="1F1F1F"/>
          <w:sz w:val="24"/>
          <w:szCs w:val="24"/>
          <w:highlight w:val="white"/>
          <w:lang w:val="en-US"/>
        </w:rPr>
        <w:t>Local gas plants follow national demand trends with modest reductions.</w:t>
      </w:r>
    </w:p>
    <w:p w14:paraId="4D58ADD5" w14:textId="2EB54D49" w:rsidR="007B7F95" w:rsidRPr="007B7F95" w:rsidRDefault="00AF33AE" w:rsidP="007B7F95">
      <w:pPr>
        <w:spacing w:line="360" w:lineRule="auto"/>
        <w:jc w:val="both"/>
        <w:rPr>
          <w:color w:val="1F1F1F"/>
          <w:sz w:val="24"/>
          <w:szCs w:val="24"/>
          <w:highlight w:val="white"/>
          <w:lang w:val="en-US"/>
        </w:rPr>
      </w:pPr>
      <w:r w:rsidRPr="00AF33AE">
        <w:rPr>
          <w:color w:val="1F1F1F"/>
          <w:sz w:val="24"/>
          <w:szCs w:val="24"/>
          <w:highlight w:val="white"/>
          <w:lang w:val="en-US"/>
        </w:rPr>
        <w:t xml:space="preserve">In </w:t>
      </w:r>
      <w:r w:rsidR="007B7F95" w:rsidRPr="00AF33AE">
        <w:rPr>
          <w:color w:val="1F1F1F"/>
          <w:sz w:val="24"/>
          <w:szCs w:val="24"/>
          <w:highlight w:val="white"/>
          <w:lang w:val="en-US"/>
        </w:rPr>
        <w:t>summary,</w:t>
      </w:r>
      <w:r w:rsidR="007B7F95" w:rsidRPr="007B7F95">
        <w:rPr>
          <w:color w:val="1F1F1F"/>
          <w:sz w:val="24"/>
          <w:szCs w:val="24"/>
          <w:highlight w:val="white"/>
          <w:lang w:val="en-US"/>
        </w:rPr>
        <w:t xml:space="preserve"> significant fossil fuel operations and Peaker units demonstrated the strongest COVID-19 effects, but renewable clusters maintained to demonstrate regular seasonal instability.</w:t>
      </w:r>
    </w:p>
    <w:p w14:paraId="49AE8D2F" w14:textId="77777777" w:rsidR="00D1753D" w:rsidRDefault="00D1753D" w:rsidP="00892E66">
      <w:pPr>
        <w:spacing w:line="360" w:lineRule="auto"/>
        <w:jc w:val="both"/>
        <w:rPr>
          <w:color w:val="1F1F1F"/>
          <w:sz w:val="24"/>
          <w:szCs w:val="24"/>
          <w:highlight w:val="white"/>
          <w:lang w:val="en-US"/>
        </w:rPr>
      </w:pPr>
    </w:p>
    <w:p w14:paraId="5AB4EB3D" w14:textId="6D35F2BF" w:rsidR="00892E66" w:rsidRDefault="00892E66" w:rsidP="00892E66">
      <w:pPr>
        <w:spacing w:line="360" w:lineRule="auto"/>
        <w:jc w:val="both"/>
        <w:rPr>
          <w:b/>
          <w:bCs/>
          <w:color w:val="1F1F1F"/>
          <w:sz w:val="30"/>
          <w:szCs w:val="30"/>
          <w:highlight w:val="white"/>
        </w:rPr>
      </w:pPr>
      <w:r w:rsidRPr="00892E66">
        <w:rPr>
          <w:b/>
          <w:bCs/>
          <w:color w:val="1F1F1F"/>
          <w:sz w:val="30"/>
          <w:szCs w:val="30"/>
          <w:highlight w:val="white"/>
        </w:rPr>
        <w:t>5. Conclusion</w:t>
      </w:r>
    </w:p>
    <w:p w14:paraId="54044F25" w14:textId="6DA8E752" w:rsidR="00634A3C" w:rsidRPr="00634A3C" w:rsidRDefault="00634A3C" w:rsidP="00634A3C">
      <w:pPr>
        <w:spacing w:line="360" w:lineRule="auto"/>
        <w:jc w:val="both"/>
        <w:rPr>
          <w:color w:val="1F1F1F"/>
          <w:sz w:val="24"/>
          <w:szCs w:val="24"/>
          <w:highlight w:val="white"/>
          <w:lang w:val="en-US"/>
        </w:rPr>
      </w:pPr>
      <w:r w:rsidRPr="00634A3C">
        <w:rPr>
          <w:color w:val="1F1F1F"/>
          <w:sz w:val="24"/>
          <w:szCs w:val="24"/>
          <w:highlight w:val="white"/>
          <w:lang w:val="en-US"/>
        </w:rPr>
        <w:t xml:space="preserve">This project analyzed 2020 EIA-923 power plant data employing machine learning to find major patterns in the manufacturing of power in the United States of America. Seven distinct facility categories, ranging from significant natural gas base-load units to major wind and solar clusters and multiple backup or Peaker plants, were discovered by K-Means clustering followed the design and engineering of features including annual generation and thermal efficiency. From March to May 2020, the monthly mean </w:t>
      </w:r>
      <w:r w:rsidRPr="00634A3C">
        <w:rPr>
          <w:color w:val="1F1F1F"/>
          <w:sz w:val="24"/>
          <w:szCs w:val="24"/>
          <w:highlight w:val="white"/>
          <w:lang w:val="en-US"/>
        </w:rPr>
        <w:lastRenderedPageBreak/>
        <w:t>demonstrated distinctive seasonal behavior among renewables and substantial COVID-19-related declines in output for important gas and Peaker units. All things examined, the clustering approach effectively separated extensive energy data into accessible operational categories that might help in planning and policy selections. To further develop system-level insights, further studies might look at additional indicators including emissions, capacity, cost or multi-year trends.</w:t>
      </w:r>
    </w:p>
    <w:p w14:paraId="00000062" w14:textId="77777777" w:rsidR="00923B13" w:rsidRDefault="00923B13" w:rsidP="00AF33AE">
      <w:pPr>
        <w:spacing w:line="360" w:lineRule="auto"/>
        <w:rPr>
          <w:b/>
          <w:bCs/>
          <w:color w:val="1F1F1F"/>
          <w:sz w:val="24"/>
          <w:szCs w:val="24"/>
          <w:highlight w:val="white"/>
        </w:rPr>
      </w:pPr>
    </w:p>
    <w:p w14:paraId="00000065" w14:textId="4FF898E0" w:rsidR="00923B13" w:rsidRDefault="00535928" w:rsidP="00AF33AE">
      <w:pPr>
        <w:spacing w:line="360" w:lineRule="auto"/>
        <w:rPr>
          <w:b/>
          <w:bCs/>
          <w:color w:val="1F1F1F"/>
          <w:sz w:val="30"/>
          <w:szCs w:val="30"/>
          <w:highlight w:val="white"/>
        </w:rPr>
      </w:pPr>
      <w:r>
        <w:rPr>
          <w:b/>
          <w:bCs/>
          <w:color w:val="1F1F1F"/>
          <w:sz w:val="30"/>
          <w:szCs w:val="30"/>
          <w:highlight w:val="white"/>
        </w:rPr>
        <w:t>Data Sources: -</w:t>
      </w:r>
      <w:hyperlink r:id="rId12" w:history="1">
        <w:r w:rsidR="00D072CF" w:rsidRPr="004141F8">
          <w:rPr>
            <w:rStyle w:val="Hyperlink"/>
            <w:b/>
            <w:bCs/>
            <w:highlight w:val="white"/>
          </w:rPr>
          <w:t>https://www.google.com/url?q=https%3A%2F%2Fwww.eia.gov%2Felectricity%2Fdata%2Feia923%2Farchive%2Fxls%2Ff923_2020.zip</w:t>
        </w:r>
      </w:hyperlink>
    </w:p>
    <w:p w14:paraId="00000066" w14:textId="77777777" w:rsidR="00923B13" w:rsidRDefault="00923B13" w:rsidP="00AF33AE">
      <w:pPr>
        <w:spacing w:line="360" w:lineRule="auto"/>
        <w:rPr>
          <w:color w:val="1F1F1F"/>
          <w:sz w:val="24"/>
          <w:szCs w:val="24"/>
          <w:highlight w:val="white"/>
        </w:rPr>
      </w:pPr>
    </w:p>
    <w:p w14:paraId="00000067" w14:textId="77777777" w:rsidR="00923B13" w:rsidRDefault="00923B13" w:rsidP="00AF33AE">
      <w:pPr>
        <w:spacing w:line="360" w:lineRule="auto"/>
        <w:rPr>
          <w:color w:val="1F1F1F"/>
          <w:sz w:val="24"/>
          <w:szCs w:val="24"/>
          <w:highlight w:val="white"/>
        </w:rPr>
      </w:pPr>
    </w:p>
    <w:p w14:paraId="00000068" w14:textId="77777777" w:rsidR="00923B13" w:rsidRDefault="00923B13" w:rsidP="00AF33AE">
      <w:pPr>
        <w:spacing w:line="360" w:lineRule="auto"/>
        <w:ind w:left="720"/>
        <w:rPr>
          <w:color w:val="1F1F1F"/>
          <w:sz w:val="24"/>
          <w:szCs w:val="24"/>
          <w:highlight w:val="white"/>
        </w:rPr>
      </w:pPr>
    </w:p>
    <w:p w14:paraId="00000069" w14:textId="77777777" w:rsidR="00923B13" w:rsidRDefault="00923B13" w:rsidP="00AF33AE">
      <w:pPr>
        <w:spacing w:line="360" w:lineRule="auto"/>
        <w:rPr>
          <w:b/>
          <w:bCs/>
          <w:color w:val="1F1F1F"/>
          <w:sz w:val="30"/>
          <w:szCs w:val="30"/>
          <w:highlight w:val="white"/>
        </w:rPr>
      </w:pPr>
    </w:p>
    <w:sectPr w:rsidR="00923B13" w:rsidSect="00CF3D95">
      <w:headerReference w:type="default" r:id="rId1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72918" w14:textId="77777777" w:rsidR="0096513A" w:rsidRDefault="0096513A" w:rsidP="009612BE">
      <w:pPr>
        <w:spacing w:line="240" w:lineRule="auto"/>
      </w:pPr>
      <w:r>
        <w:separator/>
      </w:r>
    </w:p>
  </w:endnote>
  <w:endnote w:type="continuationSeparator" w:id="0">
    <w:p w14:paraId="34EAABF4" w14:textId="77777777" w:rsidR="0096513A" w:rsidRDefault="0096513A" w:rsidP="009612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ACF5B8D-4E9E-4891-A986-851A28044628}"/>
    <w:embedBold r:id="rId2" w:fontKey="{1E12A032-DFC6-4531-8FE1-71DBAF1FCF94}"/>
  </w:font>
  <w:font w:name="Calibri">
    <w:panose1 w:val="020F0502020204030204"/>
    <w:charset w:val="00"/>
    <w:family w:val="swiss"/>
    <w:pitch w:val="variable"/>
    <w:sig w:usb0="E4002EFF" w:usb1="C200247B" w:usb2="00000009" w:usb3="00000000" w:csb0="000001FF" w:csb1="00000000"/>
    <w:embedRegular r:id="rId3" w:fontKey="{D7AECF48-0F60-4D92-ACB5-1FEB17E478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96EB" w14:textId="77777777" w:rsidR="0096513A" w:rsidRDefault="0096513A" w:rsidP="009612BE">
      <w:pPr>
        <w:spacing w:line="240" w:lineRule="auto"/>
      </w:pPr>
      <w:r>
        <w:separator/>
      </w:r>
    </w:p>
  </w:footnote>
  <w:footnote w:type="continuationSeparator" w:id="0">
    <w:p w14:paraId="574A112A" w14:textId="77777777" w:rsidR="0096513A" w:rsidRDefault="0096513A" w:rsidP="009612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B232" w14:textId="1D547381" w:rsidR="00CF3D95" w:rsidRDefault="00CF3D95">
    <w:pPr>
      <w:pStyle w:val="Header"/>
    </w:pPr>
    <w:r>
      <w:rPr>
        <w:noProof/>
      </w:rPr>
      <w:drawing>
        <wp:anchor distT="0" distB="0" distL="114300" distR="114300" simplePos="0" relativeHeight="251658240" behindDoc="1" locked="0" layoutInCell="1" allowOverlap="1" wp14:anchorId="565F7FC2" wp14:editId="6E897CF1">
          <wp:simplePos x="0" y="0"/>
          <wp:positionH relativeFrom="column">
            <wp:posOffset>-540255</wp:posOffset>
          </wp:positionH>
          <wp:positionV relativeFrom="paragraph">
            <wp:posOffset>-277445</wp:posOffset>
          </wp:positionV>
          <wp:extent cx="885190" cy="618490"/>
          <wp:effectExtent l="0" t="0" r="0" b="0"/>
          <wp:wrapTopAndBottom/>
          <wp:docPr id="678476904" name="Picture 1" descr="Logos | Our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Our Bra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190" cy="6184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C02"/>
    <w:multiLevelType w:val="multilevel"/>
    <w:tmpl w:val="96DE3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560E04"/>
    <w:multiLevelType w:val="multilevel"/>
    <w:tmpl w:val="A9E67B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826C23"/>
    <w:multiLevelType w:val="multilevel"/>
    <w:tmpl w:val="9C202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967CA0"/>
    <w:multiLevelType w:val="hybridMultilevel"/>
    <w:tmpl w:val="D3B8B2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26E50"/>
    <w:multiLevelType w:val="multilevel"/>
    <w:tmpl w:val="AA40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55FF3"/>
    <w:multiLevelType w:val="multilevel"/>
    <w:tmpl w:val="DC8A1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1451B49"/>
    <w:multiLevelType w:val="multilevel"/>
    <w:tmpl w:val="FCF01C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90C6A43"/>
    <w:multiLevelType w:val="multilevel"/>
    <w:tmpl w:val="B0183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39A591F"/>
    <w:multiLevelType w:val="hybridMultilevel"/>
    <w:tmpl w:val="12A00A2E"/>
    <w:lvl w:ilvl="0" w:tplc="4A921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F15C7"/>
    <w:multiLevelType w:val="multilevel"/>
    <w:tmpl w:val="61A8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F7D"/>
    <w:multiLevelType w:val="multilevel"/>
    <w:tmpl w:val="D41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16097"/>
    <w:multiLevelType w:val="multilevel"/>
    <w:tmpl w:val="82E898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3330EE8"/>
    <w:multiLevelType w:val="multilevel"/>
    <w:tmpl w:val="2020B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690D2F"/>
    <w:multiLevelType w:val="multilevel"/>
    <w:tmpl w:val="DB24A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85139DD"/>
    <w:multiLevelType w:val="multilevel"/>
    <w:tmpl w:val="01C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54BAD"/>
    <w:multiLevelType w:val="multilevel"/>
    <w:tmpl w:val="E814C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65715167">
    <w:abstractNumId w:val="5"/>
  </w:num>
  <w:num w:numId="2" w16cid:durableId="730154109">
    <w:abstractNumId w:val="15"/>
  </w:num>
  <w:num w:numId="3" w16cid:durableId="1666473415">
    <w:abstractNumId w:val="1"/>
  </w:num>
  <w:num w:numId="4" w16cid:durableId="1185049557">
    <w:abstractNumId w:val="11"/>
  </w:num>
  <w:num w:numId="5" w16cid:durableId="1673873782">
    <w:abstractNumId w:val="7"/>
  </w:num>
  <w:num w:numId="6" w16cid:durableId="422336119">
    <w:abstractNumId w:val="13"/>
  </w:num>
  <w:num w:numId="7" w16cid:durableId="359400807">
    <w:abstractNumId w:val="6"/>
  </w:num>
  <w:num w:numId="8" w16cid:durableId="969701406">
    <w:abstractNumId w:val="2"/>
  </w:num>
  <w:num w:numId="9" w16cid:durableId="97407611">
    <w:abstractNumId w:val="0"/>
  </w:num>
  <w:num w:numId="10" w16cid:durableId="1033766862">
    <w:abstractNumId w:val="12"/>
  </w:num>
  <w:num w:numId="11" w16cid:durableId="19665270">
    <w:abstractNumId w:val="3"/>
  </w:num>
  <w:num w:numId="12" w16cid:durableId="647318753">
    <w:abstractNumId w:val="4"/>
  </w:num>
  <w:num w:numId="13" w16cid:durableId="1497457268">
    <w:abstractNumId w:val="14"/>
  </w:num>
  <w:num w:numId="14" w16cid:durableId="429812163">
    <w:abstractNumId w:val="9"/>
  </w:num>
  <w:num w:numId="15" w16cid:durableId="1397166071">
    <w:abstractNumId w:val="8"/>
  </w:num>
  <w:num w:numId="16" w16cid:durableId="1066076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13"/>
    <w:rsid w:val="000116BF"/>
    <w:rsid w:val="00021816"/>
    <w:rsid w:val="00032990"/>
    <w:rsid w:val="00081681"/>
    <w:rsid w:val="00093635"/>
    <w:rsid w:val="000F1B00"/>
    <w:rsid w:val="001300B7"/>
    <w:rsid w:val="00166A8D"/>
    <w:rsid w:val="00174A38"/>
    <w:rsid w:val="001A75F1"/>
    <w:rsid w:val="001F533B"/>
    <w:rsid w:val="00202BC4"/>
    <w:rsid w:val="002309F2"/>
    <w:rsid w:val="0026326B"/>
    <w:rsid w:val="0027461B"/>
    <w:rsid w:val="0028233A"/>
    <w:rsid w:val="0029724B"/>
    <w:rsid w:val="002B07A5"/>
    <w:rsid w:val="002D1AB0"/>
    <w:rsid w:val="003035FA"/>
    <w:rsid w:val="0031003C"/>
    <w:rsid w:val="00332DDB"/>
    <w:rsid w:val="00342A18"/>
    <w:rsid w:val="003C00B0"/>
    <w:rsid w:val="004006F5"/>
    <w:rsid w:val="004141F8"/>
    <w:rsid w:val="00433D95"/>
    <w:rsid w:val="004432D4"/>
    <w:rsid w:val="00496DD1"/>
    <w:rsid w:val="00533F49"/>
    <w:rsid w:val="00535928"/>
    <w:rsid w:val="00574576"/>
    <w:rsid w:val="005A0D6A"/>
    <w:rsid w:val="006237B9"/>
    <w:rsid w:val="00634A3C"/>
    <w:rsid w:val="00662A06"/>
    <w:rsid w:val="007052C6"/>
    <w:rsid w:val="0075286E"/>
    <w:rsid w:val="00766D4A"/>
    <w:rsid w:val="007762B5"/>
    <w:rsid w:val="0079579E"/>
    <w:rsid w:val="007B7F95"/>
    <w:rsid w:val="007E28BA"/>
    <w:rsid w:val="007F3EFC"/>
    <w:rsid w:val="008100B3"/>
    <w:rsid w:val="00816A9F"/>
    <w:rsid w:val="008352B4"/>
    <w:rsid w:val="00855A49"/>
    <w:rsid w:val="00874B0D"/>
    <w:rsid w:val="00892E66"/>
    <w:rsid w:val="008A0AF9"/>
    <w:rsid w:val="008A39B8"/>
    <w:rsid w:val="00917982"/>
    <w:rsid w:val="00923B13"/>
    <w:rsid w:val="009548F1"/>
    <w:rsid w:val="009612BE"/>
    <w:rsid w:val="0096513A"/>
    <w:rsid w:val="009663D1"/>
    <w:rsid w:val="009C6233"/>
    <w:rsid w:val="009D1FA5"/>
    <w:rsid w:val="009E27D7"/>
    <w:rsid w:val="00A04F96"/>
    <w:rsid w:val="00A06F31"/>
    <w:rsid w:val="00A13415"/>
    <w:rsid w:val="00A42C53"/>
    <w:rsid w:val="00A54961"/>
    <w:rsid w:val="00AA2567"/>
    <w:rsid w:val="00AF33AE"/>
    <w:rsid w:val="00BC0A34"/>
    <w:rsid w:val="00BE09D6"/>
    <w:rsid w:val="00C27E12"/>
    <w:rsid w:val="00CA74B8"/>
    <w:rsid w:val="00CF3D95"/>
    <w:rsid w:val="00CF7C5F"/>
    <w:rsid w:val="00D040F7"/>
    <w:rsid w:val="00D06AA8"/>
    <w:rsid w:val="00D072CF"/>
    <w:rsid w:val="00D1753D"/>
    <w:rsid w:val="00D27E37"/>
    <w:rsid w:val="00D56257"/>
    <w:rsid w:val="00DB1130"/>
    <w:rsid w:val="00E26DCA"/>
    <w:rsid w:val="00E4209A"/>
    <w:rsid w:val="00E51AD8"/>
    <w:rsid w:val="00E646E9"/>
    <w:rsid w:val="00EA0CB4"/>
    <w:rsid w:val="00EA51A5"/>
    <w:rsid w:val="00EB20ED"/>
    <w:rsid w:val="00EE5F72"/>
    <w:rsid w:val="00EF010A"/>
    <w:rsid w:val="00F6326E"/>
    <w:rsid w:val="00FB7563"/>
    <w:rsid w:val="00FE2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4A35F"/>
  <w15:docId w15:val="{1CBC50E1-32DE-4B9A-B618-6C5DA7EA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F33AE"/>
    <w:pPr>
      <w:ind w:left="720"/>
      <w:contextualSpacing/>
    </w:pPr>
  </w:style>
  <w:style w:type="paragraph" w:styleId="Header">
    <w:name w:val="header"/>
    <w:basedOn w:val="Normal"/>
    <w:link w:val="HeaderChar"/>
    <w:uiPriority w:val="99"/>
    <w:unhideWhenUsed/>
    <w:rsid w:val="009612BE"/>
    <w:pPr>
      <w:tabs>
        <w:tab w:val="center" w:pos="4680"/>
        <w:tab w:val="right" w:pos="9360"/>
      </w:tabs>
      <w:spacing w:line="240" w:lineRule="auto"/>
    </w:pPr>
  </w:style>
  <w:style w:type="character" w:customStyle="1" w:styleId="HeaderChar">
    <w:name w:val="Header Char"/>
    <w:basedOn w:val="DefaultParagraphFont"/>
    <w:link w:val="Header"/>
    <w:uiPriority w:val="99"/>
    <w:rsid w:val="009612BE"/>
  </w:style>
  <w:style w:type="paragraph" w:styleId="Footer">
    <w:name w:val="footer"/>
    <w:basedOn w:val="Normal"/>
    <w:link w:val="FooterChar"/>
    <w:uiPriority w:val="99"/>
    <w:unhideWhenUsed/>
    <w:rsid w:val="009612BE"/>
    <w:pPr>
      <w:tabs>
        <w:tab w:val="center" w:pos="4680"/>
        <w:tab w:val="right" w:pos="9360"/>
      </w:tabs>
      <w:spacing w:line="240" w:lineRule="auto"/>
    </w:pPr>
  </w:style>
  <w:style w:type="character" w:customStyle="1" w:styleId="FooterChar">
    <w:name w:val="Footer Char"/>
    <w:basedOn w:val="DefaultParagraphFont"/>
    <w:link w:val="Footer"/>
    <w:uiPriority w:val="99"/>
    <w:rsid w:val="009612BE"/>
  </w:style>
  <w:style w:type="paragraph" w:styleId="Caption">
    <w:name w:val="caption"/>
    <w:basedOn w:val="Normal"/>
    <w:next w:val="Normal"/>
    <w:uiPriority w:val="35"/>
    <w:unhideWhenUsed/>
    <w:qFormat/>
    <w:rsid w:val="0027461B"/>
    <w:pPr>
      <w:spacing w:after="200" w:line="240" w:lineRule="auto"/>
    </w:pPr>
    <w:rPr>
      <w:i/>
      <w:iCs/>
      <w:color w:val="1F497D" w:themeColor="text2"/>
      <w:sz w:val="18"/>
      <w:szCs w:val="18"/>
    </w:rPr>
  </w:style>
  <w:style w:type="table" w:styleId="TableGrid">
    <w:name w:val="Table Grid"/>
    <w:basedOn w:val="TableNormal"/>
    <w:uiPriority w:val="39"/>
    <w:rsid w:val="00EA0CB4"/>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72CF"/>
    <w:rPr>
      <w:color w:val="0000FF" w:themeColor="hyperlink"/>
      <w:u w:val="single"/>
    </w:rPr>
  </w:style>
  <w:style w:type="character" w:styleId="UnresolvedMention">
    <w:name w:val="Unresolved Mention"/>
    <w:basedOn w:val="DefaultParagraphFont"/>
    <w:uiPriority w:val="99"/>
    <w:semiHidden/>
    <w:unhideWhenUsed/>
    <w:rsid w:val="00D07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m/url?q=https%3A%2F%2Fwww.eia.gov%2Felectricity%2Fdata%2Feia923%2Farchive%2Fxls%2Ff923_2020.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9</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Patel, Akshar</cp:lastModifiedBy>
  <cp:revision>76</cp:revision>
  <dcterms:created xsi:type="dcterms:W3CDTF">2025-12-02T21:32:00Z</dcterms:created>
  <dcterms:modified xsi:type="dcterms:W3CDTF">2025-12-06T03:39:00Z</dcterms:modified>
</cp:coreProperties>
</file>