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color w:val="2E5395"/>
          <w:sz w:val="56"/>
          <w:szCs w:val="56"/>
        </w:rPr>
        <w:t xml:space="preserve">Apache Parquet</w:t>
      </w:r>
    </w:p>
    <w:p>
      <w:pPr>
        <w:spacing w:after="80"/>
        <w:jc w:val="center"/>
      </w:pPr>
      <w:r>
        <w:rPr>
          <w:color w:val="555555"/>
          <w:sz w:val="28"/>
          <w:szCs w:val="28"/>
        </w:rPr>
        <w:t xml:space="preserve">A Columnar Storage Format for Big Data</w:t>
      </w:r>
    </w:p>
    <w:p>
      <w:pPr>
        <w:spacing w:after="800"/>
        <w:jc w:val="center"/>
      </w:pPr>
      <w:r>
        <w:rPr>
          <w:i/>
          <w:iCs/>
          <w:color w:val="777777"/>
          <w:sz w:val="24"/>
          <w:szCs w:val="24"/>
        </w:rPr>
        <w:t xml:space="preserve">Course Project Report</w:t>
      </w:r>
    </w:p>
    <w:p>
      <w:r>
        <w:br w:type="page"/>
      </w:r>
    </w:p>
    <w:p>
      <w:pPr>
        <w:pStyle w:val="Heading1"/>
        <w:spacing w:after="160" w:before="320"/>
      </w:pPr>
      <w:r>
        <w:t xml:space="preserve">1. Introduction</w:t>
      </w:r>
    </w:p>
    <w:p>
      <w:pPr>
        <w:spacing w:after="160"/>
      </w:pPr>
      <w:r>
        <w:t xml:space="preserve">Apache Parquet is an open-source, column-oriented data file format designed for efficient storage and retrieval of large datasets. It was originally developed jointly by Twitter and Cloudera in 2013 and is now an Apache Software Foundation top-level project, widely used across the big data ecosystem (Apache Spark, Hadoop, Hive, Presto/Trino, and modern cloud data warehouses).</w:t>
      </w:r>
    </w:p>
    <w:p>
      <w:pPr>
        <w:spacing w:after="160"/>
      </w:pPr>
      <w:r>
        <w:t xml:space="preserve">This report introduces the core ideas behind Parquet, explains why columnar storage matters for analytics workloads, and walks through a small hands-on project that compares Parquet against the traditional CSV format on file size, write/read speed, and selective (“columnar”) reads.</w:t>
      </w:r>
    </w:p>
    <w:p>
      <w:pPr>
        <w:pStyle w:val="Heading1"/>
        <w:spacing w:after="160" w:before="320"/>
      </w:pPr>
      <w:r>
        <w:t xml:space="preserve">2. What Is Apache Parquet?</w:t>
      </w:r>
    </w:p>
    <w:p>
      <w:pPr>
        <w:spacing w:after="160"/>
      </w:pPr>
      <w:r>
        <w:t xml:space="preserve">Unlike row-based formats such as CSV or JSON — which store every field of a record contiguously — Parquet stores data column by column. All the values for one column are stored together on disk, followed by all the values for the next column, and so on.</w:t>
      </w:r>
    </w:p>
    <w:p>
      <w:pPr>
        <w:pStyle w:val="Heading2"/>
        <w:spacing w:after="120" w:before="240"/>
      </w:pPr>
      <w:r>
        <w:t xml:space="preserve">2.1 Row-based vs. Columnar Storage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c>
          <w:tcPr>
            <w:tcW w:type="dxa" w:w="2400"/>
            <w:shd w:fill="2E5395" w:val="clear"/>
          </w:tcPr>
          <w:p>
            <w:pPr>
              <w:jc w:val="left"/>
            </w:pPr>
            <w:r>
              <w:rPr>
                <w:b/>
                <w:bCs/>
                <w:color w:val="FFFFFF"/>
                <w:sz w:val="20"/>
                <w:szCs w:val="20"/>
              </w:rPr>
              <w:t xml:space="preserve">Aspect</w:t>
            </w:r>
          </w:p>
        </w:tc>
        <w:tc>
          <w:tcPr>
            <w:tcW w:type="dxa" w:w="3600"/>
            <w:shd w:fill="2E5395" w:val="clear"/>
          </w:tcPr>
          <w:p>
            <w:pPr>
              <w:jc w:val="left"/>
            </w:pPr>
            <w:r>
              <w:rPr>
                <w:b/>
                <w:bCs/>
                <w:color w:val="FFFFFF"/>
                <w:sz w:val="20"/>
                <w:szCs w:val="20"/>
              </w:rPr>
              <w:t xml:space="preserve">Row-based (CSV / JSON)</w:t>
            </w:r>
          </w:p>
        </w:tc>
        <w:tc>
          <w:tcPr>
            <w:tcW w:type="dxa" w:w="3600"/>
            <w:shd w:fill="2E5395" w:val="clear"/>
          </w:tcPr>
          <w:p>
            <w:pPr>
              <w:jc w:val="left"/>
            </w:pPr>
            <w:r>
              <w:rPr>
                <w:b/>
                <w:bCs/>
                <w:color w:val="FFFFFF"/>
                <w:sz w:val="20"/>
                <w:szCs w:val="20"/>
              </w:rPr>
              <w:t xml:space="preserve">Columnar (Parquet)</w:t>
            </w:r>
          </w:p>
        </w:tc>
      </w:tr>
      <w:tr>
        <w:tc>
          <w:tcPr>
            <w:tcW w:type="dxa" w:w="2400"/>
            <w:shd w:fill="FFFFFF" w:val="clear"/>
          </w:tcPr>
          <w:p>
            <w:pPr>
              <w:jc w:val="left"/>
            </w:pPr>
            <w:r>
              <w:rPr>
                <w:b w:val="false"/>
                <w:bCs w:val="false"/>
                <w:color w:val="000000"/>
                <w:sz w:val="20"/>
                <w:szCs w:val="20"/>
              </w:rPr>
              <w:t xml:space="preserve">Layout on disk</w:t>
            </w:r>
          </w:p>
        </w:tc>
        <w:tc>
          <w:tcPr>
            <w:tcW w:type="dxa" w:w="3600"/>
            <w:shd w:fill="FFFFFF" w:val="clear"/>
          </w:tcPr>
          <w:p>
            <w:pPr>
              <w:jc w:val="left"/>
            </w:pPr>
            <w:r>
              <w:rPr>
                <w:b w:val="false"/>
                <w:bCs w:val="false"/>
                <w:color w:val="000000"/>
                <w:sz w:val="20"/>
                <w:szCs w:val="20"/>
              </w:rPr>
              <w:t xml:space="preserve">Record 1, Record 2, Record 3 …</w:t>
            </w:r>
          </w:p>
        </w:tc>
        <w:tc>
          <w:tcPr>
            <w:tcW w:type="dxa" w:w="3600"/>
            <w:shd w:fill="FFFFFF" w:val="clear"/>
          </w:tcPr>
          <w:p>
            <w:pPr>
              <w:jc w:val="left"/>
            </w:pPr>
            <w:r>
              <w:rPr>
                <w:b w:val="false"/>
                <w:bCs w:val="false"/>
                <w:color w:val="000000"/>
                <w:sz w:val="20"/>
                <w:szCs w:val="20"/>
              </w:rPr>
              <w:t xml:space="preserve">Column A values, Column B values …</w:t>
            </w:r>
          </w:p>
        </w:tc>
      </w:tr>
      <w:tr>
        <w:tc>
          <w:tcPr>
            <w:tcW w:type="dxa" w:w="2400"/>
            <w:shd w:fill="FFFFFF" w:val="clear"/>
          </w:tcPr>
          <w:p>
            <w:pPr>
              <w:jc w:val="left"/>
            </w:pPr>
            <w:r>
              <w:rPr>
                <w:b w:val="false"/>
                <w:bCs w:val="false"/>
                <w:color w:val="000000"/>
                <w:sz w:val="20"/>
                <w:szCs w:val="20"/>
              </w:rPr>
              <w:t xml:space="preserve">Best for</w:t>
            </w:r>
          </w:p>
        </w:tc>
        <w:tc>
          <w:tcPr>
            <w:tcW w:type="dxa" w:w="3600"/>
            <w:shd w:fill="FFFFFF" w:val="clear"/>
          </w:tcPr>
          <w:p>
            <w:pPr>
              <w:jc w:val="left"/>
            </w:pPr>
            <w:r>
              <w:rPr>
                <w:b w:val="false"/>
                <w:bCs w:val="false"/>
                <w:color w:val="000000"/>
                <w:sz w:val="20"/>
                <w:szCs w:val="20"/>
              </w:rPr>
              <w:t xml:space="preserve">Transactional workloads (read/write full rows)</w:t>
            </w:r>
          </w:p>
        </w:tc>
        <w:tc>
          <w:tcPr>
            <w:tcW w:type="dxa" w:w="3600"/>
            <w:shd w:fill="FFFFFF" w:val="clear"/>
          </w:tcPr>
          <w:p>
            <w:pPr>
              <w:jc w:val="left"/>
            </w:pPr>
            <w:r>
              <w:rPr>
                <w:b w:val="false"/>
                <w:bCs w:val="false"/>
                <w:color w:val="000000"/>
                <w:sz w:val="20"/>
                <w:szCs w:val="20"/>
              </w:rPr>
              <w:t xml:space="preserve">Analytical workloads (aggregate a few columns)</w:t>
            </w:r>
          </w:p>
        </w:tc>
      </w:tr>
      <w:tr>
        <w:tc>
          <w:tcPr>
            <w:tcW w:type="dxa" w:w="2400"/>
            <w:shd w:fill="FFFFFF" w:val="clear"/>
          </w:tcPr>
          <w:p>
            <w:pPr>
              <w:jc w:val="left"/>
            </w:pPr>
            <w:r>
              <w:rPr>
                <w:b w:val="false"/>
                <w:bCs w:val="false"/>
                <w:color w:val="000000"/>
                <w:sz w:val="20"/>
                <w:szCs w:val="20"/>
              </w:rPr>
              <w:t xml:space="preserve">Compression</w:t>
            </w:r>
          </w:p>
        </w:tc>
        <w:tc>
          <w:tcPr>
            <w:tcW w:type="dxa" w:w="3600"/>
            <w:shd w:fill="FFFFFF" w:val="clear"/>
          </w:tcPr>
          <w:p>
            <w:pPr>
              <w:jc w:val="left"/>
            </w:pPr>
            <w:r>
              <w:rPr>
                <w:b w:val="false"/>
                <w:bCs w:val="false"/>
                <w:color w:val="000000"/>
                <w:sz w:val="20"/>
                <w:szCs w:val="20"/>
              </w:rPr>
              <w:t xml:space="preserve">Limited — mixed data types per row</w:t>
            </w:r>
          </w:p>
        </w:tc>
        <w:tc>
          <w:tcPr>
            <w:tcW w:type="dxa" w:w="3600"/>
            <w:shd w:fill="FFFFFF" w:val="clear"/>
          </w:tcPr>
          <w:p>
            <w:pPr>
              <w:jc w:val="left"/>
            </w:pPr>
            <w:r>
              <w:rPr>
                <w:b w:val="false"/>
                <w:bCs w:val="false"/>
                <w:color w:val="000000"/>
                <w:sz w:val="20"/>
                <w:szCs w:val="20"/>
              </w:rPr>
              <w:t xml:space="preserve">High — similar values stored together</w:t>
            </w:r>
          </w:p>
        </w:tc>
      </w:tr>
      <w:tr>
        <w:tc>
          <w:tcPr>
            <w:tcW w:type="dxa" w:w="2400"/>
            <w:shd w:fill="FFFFFF" w:val="clear"/>
          </w:tcPr>
          <w:p>
            <w:pPr>
              <w:jc w:val="left"/>
            </w:pPr>
            <w:r>
              <w:rPr>
                <w:b w:val="false"/>
                <w:bCs w:val="false"/>
                <w:color w:val="000000"/>
                <w:sz w:val="20"/>
                <w:szCs w:val="20"/>
              </w:rPr>
              <w:t xml:space="preserve">Reading a subset of columns</w:t>
            </w:r>
          </w:p>
        </w:tc>
        <w:tc>
          <w:tcPr>
            <w:tcW w:type="dxa" w:w="3600"/>
            <w:shd w:fill="FFFFFF" w:val="clear"/>
          </w:tcPr>
          <w:p>
            <w:pPr>
              <w:jc w:val="left"/>
            </w:pPr>
            <w:r>
              <w:rPr>
                <w:b w:val="false"/>
                <w:bCs w:val="false"/>
                <w:color w:val="000000"/>
                <w:sz w:val="20"/>
                <w:szCs w:val="20"/>
              </w:rPr>
              <w:t xml:space="preserve">Must read entire row anyway</w:t>
            </w:r>
          </w:p>
        </w:tc>
        <w:tc>
          <w:tcPr>
            <w:tcW w:type="dxa" w:w="3600"/>
            <w:shd w:fill="FFFFFF" w:val="clear"/>
          </w:tcPr>
          <w:p>
            <w:pPr>
              <w:jc w:val="left"/>
            </w:pPr>
            <w:r>
              <w:rPr>
                <w:b w:val="false"/>
                <w:bCs w:val="false"/>
                <w:color w:val="000000"/>
                <w:sz w:val="20"/>
                <w:szCs w:val="20"/>
              </w:rPr>
              <w:t xml:space="preserve">Reads only the needed column chunks</w:t>
            </w:r>
          </w:p>
        </w:tc>
      </w:tr>
      <w:tr>
        <w:tc>
          <w:tcPr>
            <w:tcW w:type="dxa" w:w="2400"/>
            <w:shd w:fill="FFFFFF" w:val="clear"/>
          </w:tcPr>
          <w:p>
            <w:pPr>
              <w:jc w:val="left"/>
            </w:pPr>
            <w:r>
              <w:rPr>
                <w:b w:val="false"/>
                <w:bCs w:val="false"/>
                <w:color w:val="000000"/>
                <w:sz w:val="20"/>
                <w:szCs w:val="20"/>
              </w:rPr>
              <w:t xml:space="preserve">Schema</w:t>
            </w:r>
          </w:p>
        </w:tc>
        <w:tc>
          <w:tcPr>
            <w:tcW w:type="dxa" w:w="3600"/>
            <w:shd w:fill="FFFFFF" w:val="clear"/>
          </w:tcPr>
          <w:p>
            <w:pPr>
              <w:jc w:val="left"/>
            </w:pPr>
            <w:r>
              <w:rPr>
                <w:b w:val="false"/>
                <w:bCs w:val="false"/>
                <w:color w:val="000000"/>
                <w:sz w:val="20"/>
                <w:szCs w:val="20"/>
              </w:rPr>
              <w:t xml:space="preserve">Not enforced (CSV) / flexible (JSON)</w:t>
            </w:r>
          </w:p>
        </w:tc>
        <w:tc>
          <w:tcPr>
            <w:tcW w:type="dxa" w:w="3600"/>
            <w:shd w:fill="FFFFFF" w:val="clear"/>
          </w:tcPr>
          <w:p>
            <w:pPr>
              <w:jc w:val="left"/>
            </w:pPr>
            <w:r>
              <w:rPr>
                <w:b w:val="false"/>
                <w:bCs w:val="false"/>
                <w:color w:val="000000"/>
                <w:sz w:val="20"/>
                <w:szCs w:val="20"/>
              </w:rPr>
              <w:t xml:space="preserve">Strongly typed schema embedded in file</w:t>
            </w:r>
          </w:p>
        </w:tc>
      </w:tr>
    </w:tbl>
    <w:p>
      <w:pPr>
        <w:spacing w:after="200"/>
      </w:pPr>
    </w:p>
    <w:p>
      <w:pPr>
        <w:pStyle w:val="Heading1"/>
        <w:spacing w:after="160" w:before="320"/>
      </w:pPr>
      <w:r>
        <w:t xml:space="preserve">3. Key Features of Parquet</w:t>
      </w:r>
    </w:p>
    <w:p>
      <w:pPr>
        <w:pStyle w:val="ListParagraph"/>
        <w:numPr>
          <w:ilvl w:val="0"/>
          <w:numId w:val="2"/>
        </w:numPr>
        <w:spacing w:after="80"/>
      </w:pPr>
      <w:r>
        <w:t xml:space="preserve">Columnar layout – enables reading only the columns a query actually needs (“column pruning”).</w:t>
      </w:r>
    </w:p>
    <w:p>
      <w:pPr>
        <w:pStyle w:val="ListParagraph"/>
        <w:numPr>
          <w:ilvl w:val="0"/>
          <w:numId w:val="2"/>
        </w:numPr>
        <w:spacing w:after="80"/>
      </w:pPr>
      <w:r>
        <w:t xml:space="preserve">Efficient compression – similar values stored together compress far better than mixed row data; supports Snappy, Gzip, Zstd, and more.</w:t>
      </w:r>
    </w:p>
    <w:p>
      <w:pPr>
        <w:pStyle w:val="ListParagraph"/>
        <w:numPr>
          <w:ilvl w:val="0"/>
          <w:numId w:val="2"/>
        </w:numPr>
        <w:spacing w:after="80"/>
      </w:pPr>
      <w:r>
        <w:t xml:space="preserve">Embedded schema – every Parquet file carries its own schema (column names and types), so it is self-describing.</w:t>
      </w:r>
    </w:p>
    <w:p>
      <w:pPr>
        <w:pStyle w:val="ListParagraph"/>
        <w:numPr>
          <w:ilvl w:val="0"/>
          <w:numId w:val="2"/>
        </w:numPr>
        <w:spacing w:after="80"/>
      </w:pPr>
      <w:r>
        <w:t xml:space="preserve">Row groups – large files are split into row groups, each with its own per-column statistics (min/max), enabling “predicate pushdown” — skipping row groups that can't match a filter.</w:t>
      </w:r>
    </w:p>
    <w:p>
      <w:pPr>
        <w:pStyle w:val="ListParagraph"/>
        <w:numPr>
          <w:ilvl w:val="0"/>
          <w:numId w:val="2"/>
        </w:numPr>
        <w:spacing w:after="80"/>
      </w:pPr>
      <w:r>
        <w:t xml:space="preserve">Splittable and parallelizable – works natively with distributed engines like Spark and Hadoop, which can process different row groups in parallel.</w:t>
      </w:r>
    </w:p>
    <w:p>
      <w:pPr>
        <w:pStyle w:val="ListParagraph"/>
        <w:numPr>
          <w:ilvl w:val="0"/>
          <w:numId w:val="2"/>
        </w:numPr>
        <w:spacing w:after="80"/>
      </w:pPr>
      <w:r>
        <w:t xml:space="preserve">Language/ecosystem agnostic – supported by Python (pandas, pyarrow), Java, Spark, Hive, Presto/Trino, Snowflake, BigQuery, and more.</w:t>
      </w:r>
    </w:p>
    <w:p>
      <w:pPr>
        <w:pStyle w:val="Heading1"/>
        <w:spacing w:after="160" w:before="320"/>
      </w:pPr>
      <w:r>
        <w:t xml:space="preserve">4. Project: Parquet vs. CSV Benchmark</w:t>
      </w:r>
    </w:p>
    <w:p>
      <w:pPr>
        <w:spacing w:after="160"/>
      </w:pPr>
      <w:r>
        <w:t xml:space="preserve">To make these concepts concrete, this project generates a synthetic 200,000-row sales-order dataset (order id, date, region, product SKU, quantity, price, discount, return flag) using pandas, then writes it to disk in four forms: CSV, and Parquet with Snappy, Gzip, and no compression. It then measures:</w:t>
      </w:r>
    </w:p>
    <w:p>
      <w:pPr>
        <w:pStyle w:val="ListParagraph"/>
        <w:numPr>
          <w:ilvl w:val="0"/>
          <w:numId w:val="2"/>
        </w:numPr>
        <w:spacing w:after="80"/>
      </w:pPr>
      <w:r>
        <w:t xml:space="preserve">Write time for each format.</w:t>
      </w:r>
    </w:p>
    <w:p>
      <w:pPr>
        <w:pStyle w:val="ListParagraph"/>
        <w:numPr>
          <w:ilvl w:val="0"/>
          <w:numId w:val="2"/>
        </w:numPr>
        <w:spacing w:after="80"/>
      </w:pPr>
      <w:r>
        <w:t xml:space="preserve">Full-table read time for CSV vs. Parquet.</w:t>
      </w:r>
    </w:p>
    <w:p>
      <w:pPr>
        <w:pStyle w:val="ListParagraph"/>
        <w:numPr>
          <w:ilvl w:val="0"/>
          <w:numId w:val="2"/>
        </w:numPr>
        <w:spacing w:after="80"/>
      </w:pPr>
      <w:r>
        <w:t xml:space="preserve">The time to read only 2 of 9 columns — demonstrating columnar pruning.</w:t>
      </w:r>
    </w:p>
    <w:p>
      <w:pPr>
        <w:pStyle w:val="ListParagraph"/>
        <w:numPr>
          <w:ilvl w:val="0"/>
          <w:numId w:val="2"/>
        </w:numPr>
        <w:spacing w:after="80"/>
      </w:pPr>
      <w:r>
        <w:t xml:space="preserve">Resulting file size and compression ratio relative to CSV.</w:t>
      </w:r>
    </w:p>
    <w:p>
      <w:pPr>
        <w:pStyle w:val="ListParagraph"/>
        <w:numPr>
          <w:ilvl w:val="0"/>
          <w:numId w:val="2"/>
        </w:numPr>
        <w:spacing w:after="80"/>
      </w:pPr>
      <w:r>
        <w:t xml:space="preserve">Parquet's internal schema and per-column compressed size, read directly from the file's metadata footer.</w:t>
      </w:r>
    </w:p>
    <w:p>
      <w:pPr>
        <w:pStyle w:val="Heading2"/>
        <w:spacing w:after="120" w:before="240"/>
      </w:pPr>
      <w:r>
        <w:t xml:space="preserve">4.1 Tech Stack</w:t>
      </w:r>
    </w:p>
    <w:p>
      <w:pPr>
        <w:pStyle w:val="ListParagraph"/>
        <w:numPr>
          <w:ilvl w:val="0"/>
          <w:numId w:val="2"/>
        </w:numPr>
        <w:spacing w:after="80"/>
      </w:pPr>
      <w:r>
        <w:t xml:space="preserve">Python 3</w:t>
      </w:r>
    </w:p>
    <w:p>
      <w:pPr>
        <w:pStyle w:val="ListParagraph"/>
        <w:numPr>
          <w:ilvl w:val="0"/>
          <w:numId w:val="2"/>
        </w:numPr>
        <w:spacing w:after="80"/>
      </w:pPr>
      <w:r>
        <w:t xml:space="preserve">pandas – dataset creation and CSV I/O</w:t>
      </w:r>
    </w:p>
    <w:p>
      <w:pPr>
        <w:pStyle w:val="ListParagraph"/>
        <w:numPr>
          <w:ilvl w:val="0"/>
          <w:numId w:val="2"/>
        </w:numPr>
        <w:spacing w:after="80"/>
      </w:pPr>
      <w:r>
        <w:t xml:space="preserve">pyarrow – Parquet read/write engine and low-level metadata inspection</w:t>
      </w:r>
    </w:p>
    <w:p>
      <w:pPr>
        <w:pStyle w:val="Heading2"/>
        <w:spacing w:after="120" w:before="240"/>
      </w:pPr>
      <w:r>
        <w:t xml:space="preserve">4.2 How the Data Is Written (excerpt)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df.to_parquet("data_snappy.parquet", engine="pyarrow",</w:t>
      </w:r>
      <w:r>
        <w:rPr>
          <w:rFonts w:ascii="Consolas" w:cs="Consolas" w:eastAsia="Consolas" w:hAnsi="Consolas"/>
          <w:sz w:val="18"/>
          <w:szCs w:val="18"/>
        </w:rPr>
        <w:br/>
        <w:t xml:space="preserve">              compression="snappy", index=False)</w:t>
      </w:r>
      <w:r>
        <w:rPr>
          <w:rFonts w:ascii="Consolas" w:cs="Consolas" w:eastAsia="Consolas" w:hAnsi="Consolas"/>
          <w:sz w:val="18"/>
          <w:szCs w:val="18"/>
        </w:rPr>
        <w:br/>
        <w:t xml:space="preserve"/>
      </w:r>
      <w:r>
        <w:rPr>
          <w:rFonts w:ascii="Consolas" w:cs="Consolas" w:eastAsia="Consolas" w:hAnsi="Consolas"/>
          <w:sz w:val="18"/>
          <w:szCs w:val="18"/>
        </w:rPr>
        <w:br/>
        <w:t xml:space="preserve">df.to_parquet("data_gzip.parquet", engine="pyarrow",</w:t>
      </w:r>
      <w:r>
        <w:rPr>
          <w:rFonts w:ascii="Consolas" w:cs="Consolas" w:eastAsia="Consolas" w:hAnsi="Consolas"/>
          <w:sz w:val="18"/>
          <w:szCs w:val="18"/>
        </w:rPr>
        <w:br/>
        <w:t xml:space="preserve">              compression="gzip", index=False)</w:t>
      </w:r>
    </w:p>
    <w:p>
      <w:pPr>
        <w:pStyle w:val="Heading2"/>
        <w:spacing w:after="120" w:before="240"/>
      </w:pPr>
      <w:r>
        <w:t xml:space="preserve">4.3 Demonstrating Columnar Pruning (excerpt)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 CSV has no concept of columns on disk -- it must scan every byte</w:t>
      </w:r>
      <w:r>
        <w:rPr>
          <w:rFonts w:ascii="Consolas" w:cs="Consolas" w:eastAsia="Consolas" w:hAnsi="Consolas"/>
          <w:sz w:val="18"/>
          <w:szCs w:val="18"/>
        </w:rPr>
        <w:br/>
        <w:t xml:space="preserve">pd.read_csv("data.csv", usecols=["region", "total_price"])</w:t>
      </w:r>
      <w:r>
        <w:rPr>
          <w:rFonts w:ascii="Consolas" w:cs="Consolas" w:eastAsia="Consolas" w:hAnsi="Consolas"/>
          <w:sz w:val="18"/>
          <w:szCs w:val="18"/>
        </w:rPr>
        <w:br/>
        <w:t xml:space="preserve"/>
      </w:r>
      <w:r>
        <w:rPr>
          <w:rFonts w:ascii="Consolas" w:cs="Consolas" w:eastAsia="Consolas" w:hAnsi="Consolas"/>
          <w:sz w:val="18"/>
          <w:szCs w:val="18"/>
        </w:rPr>
        <w:br/>
        <w:t xml:space="preserve"># Parquet reads only the column chunks it needs</w:t>
      </w:r>
      <w:r>
        <w:rPr>
          <w:rFonts w:ascii="Consolas" w:cs="Consolas" w:eastAsia="Consolas" w:hAnsi="Consolas"/>
          <w:sz w:val="18"/>
          <w:szCs w:val="18"/>
        </w:rPr>
        <w:br/>
        <w:t xml:space="preserve">pd.read_parquet("data_snappy.parquet",</w:t>
      </w:r>
      <w:r>
        <w:rPr>
          <w:rFonts w:ascii="Consolas" w:cs="Consolas" w:eastAsia="Consolas" w:hAnsi="Consolas"/>
          <w:sz w:val="18"/>
          <w:szCs w:val="18"/>
        </w:rPr>
        <w:br/>
        <w:t xml:space="preserve">                 columns=["region", "total_price"])</w:t>
      </w:r>
    </w:p>
    <w:p>
      <w:pPr>
        <w:pStyle w:val="Heading2"/>
        <w:spacing w:after="120" w:before="240"/>
      </w:pPr>
      <w:r>
        <w:t xml:space="preserve">4.4 Inspecting Parquet Metadata (excerpt)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import pyarrow.parquet as pq</w:t>
      </w:r>
      <w:r>
        <w:rPr>
          <w:rFonts w:ascii="Consolas" w:cs="Consolas" w:eastAsia="Consolas" w:hAnsi="Consolas"/>
          <w:sz w:val="18"/>
          <w:szCs w:val="18"/>
        </w:rPr>
        <w:br/>
        <w:t xml:space="preserve">pf = pq.ParquetFile("data_snappy.parquet")</w:t>
      </w:r>
      <w:r>
        <w:rPr>
          <w:rFonts w:ascii="Consolas" w:cs="Consolas" w:eastAsia="Consolas" w:hAnsi="Consolas"/>
          <w:sz w:val="18"/>
          <w:szCs w:val="18"/>
        </w:rPr>
        <w:br/>
        <w:t xml:space="preserve">print(pf.schema)                 # embedded, typed schema</w:t>
      </w:r>
      <w:r>
        <w:rPr>
          <w:rFonts w:ascii="Consolas" w:cs="Consolas" w:eastAsia="Consolas" w:hAnsi="Consolas"/>
          <w:sz w:val="18"/>
          <w:szCs w:val="18"/>
        </w:rPr>
        <w:br/>
        <w:t xml:space="preserve">print(pf.metadata.num_row_groups)</w:t>
      </w:r>
      <w:r>
        <w:rPr>
          <w:rFonts w:ascii="Consolas" w:cs="Consolas" w:eastAsia="Consolas" w:hAnsi="Consolas"/>
          <w:sz w:val="18"/>
          <w:szCs w:val="18"/>
        </w:rPr>
        <w:br/>
        <w:t xml:space="preserve">for i in range(pf.metadata.row_group(0).num_columns):</w:t>
      </w:r>
      <w:r>
        <w:rPr>
          <w:rFonts w:ascii="Consolas" w:cs="Consolas" w:eastAsia="Consolas" w:hAnsi="Consolas"/>
          <w:sz w:val="18"/>
          <w:szCs w:val="18"/>
        </w:rPr>
        <w:br/>
        <w:t xml:space="preserve">    col = pf.metadata.row_group(0).column(i)</w:t>
      </w:r>
      <w:r>
        <w:rPr>
          <w:rFonts w:ascii="Consolas" w:cs="Consolas" w:eastAsia="Consolas" w:hAnsi="Consolas"/>
          <w:sz w:val="18"/>
          <w:szCs w:val="18"/>
        </w:rPr>
        <w:br/>
        <w:t xml:space="preserve">    print(col.path_in_schema, col.compression,</w:t>
      </w:r>
      <w:r>
        <w:rPr>
          <w:rFonts w:ascii="Consolas" w:cs="Consolas" w:eastAsia="Consolas" w:hAnsi="Consolas"/>
          <w:sz w:val="18"/>
          <w:szCs w:val="18"/>
        </w:rPr>
        <w:br/>
        <w:t xml:space="preserve">          col.total_compressed_size)</w:t>
      </w:r>
    </w:p>
    <w:p>
      <w:pPr>
        <w:pStyle w:val="Heading1"/>
        <w:spacing w:after="160" w:before="320"/>
      </w:pPr>
      <w:r>
        <w:t xml:space="preserve">5. How to Run the Project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pip install pandas pyarrow</w:t>
      </w:r>
      <w:r>
        <w:rPr>
          <w:rFonts w:ascii="Consolas" w:cs="Consolas" w:eastAsia="Consolas" w:hAnsi="Consolas"/>
          <w:sz w:val="18"/>
          <w:szCs w:val="18"/>
        </w:rPr>
        <w:br/>
        <w:t xml:space="preserve">python parquet_demo.py</w:t>
      </w:r>
    </w:p>
    <w:p>
      <w:pPr>
        <w:spacing w:after="160"/>
      </w:pPr>
      <w:r>
        <w:t xml:space="preserve">The script prints a results table to the console and also saves it to results_summary.csv in the project folder.</w:t>
      </w:r>
    </w:p>
    <w:p>
      <w:pPr>
        <w:pStyle w:val="Heading1"/>
        <w:spacing w:after="160" w:before="320"/>
      </w:pPr>
      <w:r>
        <w:t xml:space="preserve">6. Results</w:t>
      </w:r>
    </w:p>
    <w:p>
      <w:pPr>
        <w:spacing w:after="160"/>
      </w:pPr>
      <w:r>
        <w:t xml:space="preserve">The table below is a template for recording the numbers produced by results_summary.csv after running the script. Exact figures vary by machine, but the relative pattern — Parquet noticeably smaller and columnar reads noticeably faster — is consistent.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00"/>
        <w:gridCol w:w="1800"/>
        <w:gridCol w:w="2000"/>
      </w:tblGrid>
      <w:tr>
        <w:tc>
          <w:tcPr>
            <w:tcW w:type="dxa" w:w="1800"/>
            <w:shd w:fill="2E5395" w:val="clear"/>
          </w:tcPr>
          <w:p>
            <w:pPr>
              <w:jc w:val="left"/>
            </w:pPr>
            <w:r>
              <w:rPr>
                <w:b/>
                <w:bCs/>
                <w:color w:val="FFFFFF"/>
                <w:sz w:val="20"/>
                <w:szCs w:val="20"/>
              </w:rPr>
              <w:t xml:space="preserve">Format</w:t>
            </w:r>
          </w:p>
        </w:tc>
        <w:tc>
          <w:tcPr>
            <w:tcW w:type="dxa" w:w="1600"/>
            <w:shd w:fill="2E5395" w:val="clear"/>
          </w:tcPr>
          <w:p>
            <w:pPr>
              <w:jc w:val="left"/>
            </w:pPr>
            <w:r>
              <w:rPr>
                <w:b/>
                <w:bCs/>
                <w:color w:val="FFFFFF"/>
                <w:sz w:val="20"/>
                <w:szCs w:val="20"/>
              </w:rPr>
              <w:t xml:space="preserve">Codec</w:t>
            </w:r>
          </w:p>
        </w:tc>
        <w:tc>
          <w:tcPr>
            <w:tcW w:type="dxa" w:w="2400"/>
            <w:shd w:fill="2E5395" w:val="clear"/>
          </w:tcPr>
          <w:p>
            <w:pPr>
              <w:jc w:val="left"/>
            </w:pPr>
            <w:r>
              <w:rPr>
                <w:b/>
                <w:bCs/>
                <w:color w:val="FFFFFF"/>
                <w:sz w:val="20"/>
                <w:szCs w:val="20"/>
              </w:rPr>
              <w:t xml:space="preserve">Operation</w:t>
            </w:r>
          </w:p>
        </w:tc>
        <w:tc>
          <w:tcPr>
            <w:tcW w:type="dxa" w:w="1800"/>
            <w:shd w:fill="2E5395" w:val="clear"/>
          </w:tcPr>
          <w:p>
            <w:pPr>
              <w:jc w:val="left"/>
            </w:pPr>
            <w:r>
              <w:rPr>
                <w:b/>
                <w:bCs/>
                <w:color w:val="FFFFFF"/>
                <w:sz w:val="20"/>
                <w:szCs w:val="20"/>
              </w:rPr>
              <w:t xml:space="preserve">Time (s)</w:t>
            </w:r>
          </w:p>
        </w:tc>
        <w:tc>
          <w:tcPr>
            <w:tcW w:type="dxa" w:w="2000"/>
            <w:shd w:fill="2E5395" w:val="clear"/>
          </w:tcPr>
          <w:p>
            <w:pPr>
              <w:jc w:val="left"/>
            </w:pPr>
            <w:r>
              <w:rPr>
                <w:b/>
                <w:bCs/>
                <w:color w:val="FFFFFF"/>
                <w:sz w:val="20"/>
                <w:szCs w:val="20"/>
              </w:rPr>
              <w:t xml:space="preserve">File Size (MB)</w:t>
            </w:r>
          </w:p>
        </w:tc>
      </w:tr>
      <w:tr>
        <w:tc>
          <w:tcPr>
            <w:tcW w:type="dxa" w:w="1800"/>
            <w:shd w:fill="FFFFFF" w:val="clear"/>
          </w:tcPr>
          <w:p>
            <w:pPr>
              <w:jc w:val="left"/>
            </w:pPr>
            <w:r>
              <w:rPr>
                <w:b w:val="false"/>
                <w:bCs w:val="false"/>
                <w:color w:val="000000"/>
                <w:sz w:val="20"/>
                <w:szCs w:val="20"/>
              </w:rPr>
              <w:t xml:space="preserve">CSV</w:t>
            </w:r>
          </w:p>
        </w:tc>
        <w:tc>
          <w:tcPr>
            <w:tcW w:type="dxa" w:w="1600"/>
            <w:shd w:fill="FFFFFF" w:val="clear"/>
          </w:tcPr>
          <w:p>
            <w:pPr>
              <w:jc w:val="left"/>
            </w:pPr>
            <w:r>
              <w:rPr>
                <w:b w:val="false"/>
                <w:bCs w:val="false"/>
                <w:color w:val="000000"/>
                <w:sz w:val="20"/>
                <w:szCs w:val="20"/>
              </w:rPr>
              <w:t xml:space="preserve">n/a</w:t>
            </w:r>
          </w:p>
        </w:tc>
        <w:tc>
          <w:tcPr>
            <w:tcW w:type="dxa" w:w="2400"/>
            <w:shd w:fill="FFFFFF" w:val="clear"/>
          </w:tcPr>
          <w:p>
            <w:pPr>
              <w:jc w:val="left"/>
            </w:pPr>
            <w:r>
              <w:rPr>
                <w:b w:val="false"/>
                <w:bCs w:val="false"/>
                <w:color w:val="000000"/>
                <w:sz w:val="20"/>
                <w:szCs w:val="20"/>
              </w:rPr>
              <w:t xml:space="preserve">write</w:t>
            </w:r>
          </w:p>
        </w:tc>
        <w:tc>
          <w:tcPr>
            <w:tcW w:type="dxa" w:w="1800"/>
            <w:shd w:fill="FFFFFF" w:val="clear"/>
          </w:tcPr>
          <w:p>
            <w:pPr>
              <w:jc w:val="left"/>
            </w:pPr>
            <w:r>
              <w:rPr>
                <w:b w:val="false"/>
                <w:bCs w:val="false"/>
                <w:color w:val="000000"/>
                <w:sz w:val="20"/>
                <w:szCs w:val="20"/>
              </w:rPr>
              <w:t xml:space="preserve">[fill in]</w:t>
            </w:r>
          </w:p>
        </w:tc>
        <w:tc>
          <w:tcPr>
            <w:tcW w:type="dxa" w:w="2000"/>
            <w:shd w:fill="FFFFFF" w:val="clear"/>
          </w:tcPr>
          <w:p>
            <w:pPr>
              <w:jc w:val="left"/>
            </w:pPr>
            <w:r>
              <w:rPr>
                <w:b w:val="false"/>
                <w:bCs w:val="false"/>
                <w:color w:val="000000"/>
                <w:sz w:val="20"/>
                <w:szCs w:val="20"/>
              </w:rPr>
              <w:t xml:space="preserve">[fill in]</w:t>
            </w:r>
          </w:p>
        </w:tc>
      </w:tr>
      <w:tr>
        <w:tc>
          <w:tcPr>
            <w:tcW w:type="dxa" w:w="1800"/>
            <w:shd w:fill="FFFFFF" w:val="clear"/>
          </w:tcPr>
          <w:p>
            <w:pPr>
              <w:jc w:val="left"/>
            </w:pPr>
            <w:r>
              <w:rPr>
                <w:b w:val="false"/>
                <w:bCs w:val="false"/>
                <w:color w:val="000000"/>
                <w:sz w:val="20"/>
                <w:szCs w:val="20"/>
              </w:rPr>
              <w:t xml:space="preserve">Parquet</w:t>
            </w:r>
          </w:p>
        </w:tc>
        <w:tc>
          <w:tcPr>
            <w:tcW w:type="dxa" w:w="1600"/>
            <w:shd w:fill="FFFFFF" w:val="clear"/>
          </w:tcPr>
          <w:p>
            <w:pPr>
              <w:jc w:val="left"/>
            </w:pPr>
            <w:r>
              <w:rPr>
                <w:b w:val="false"/>
                <w:bCs w:val="false"/>
                <w:color w:val="000000"/>
                <w:sz w:val="20"/>
                <w:szCs w:val="20"/>
              </w:rPr>
              <w:t xml:space="preserve">snappy</w:t>
            </w:r>
          </w:p>
        </w:tc>
        <w:tc>
          <w:tcPr>
            <w:tcW w:type="dxa" w:w="2400"/>
            <w:shd w:fill="FFFFFF" w:val="clear"/>
          </w:tcPr>
          <w:p>
            <w:pPr>
              <w:jc w:val="left"/>
            </w:pPr>
            <w:r>
              <w:rPr>
                <w:b w:val="false"/>
                <w:bCs w:val="false"/>
                <w:color w:val="000000"/>
                <w:sz w:val="20"/>
                <w:szCs w:val="20"/>
              </w:rPr>
              <w:t xml:space="preserve">write</w:t>
            </w:r>
          </w:p>
        </w:tc>
        <w:tc>
          <w:tcPr>
            <w:tcW w:type="dxa" w:w="1800"/>
            <w:shd w:fill="FFFFFF" w:val="clear"/>
          </w:tcPr>
          <w:p>
            <w:pPr>
              <w:jc w:val="left"/>
            </w:pPr>
            <w:r>
              <w:rPr>
                <w:b w:val="false"/>
                <w:bCs w:val="false"/>
                <w:color w:val="000000"/>
                <w:sz w:val="20"/>
                <w:szCs w:val="20"/>
              </w:rPr>
              <w:t xml:space="preserve">[fill in]</w:t>
            </w:r>
          </w:p>
        </w:tc>
        <w:tc>
          <w:tcPr>
            <w:tcW w:type="dxa" w:w="2000"/>
            <w:shd w:fill="FFFFFF" w:val="clear"/>
          </w:tcPr>
          <w:p>
            <w:pPr>
              <w:jc w:val="left"/>
            </w:pPr>
            <w:r>
              <w:rPr>
                <w:b w:val="false"/>
                <w:bCs w:val="false"/>
                <w:color w:val="000000"/>
                <w:sz w:val="20"/>
                <w:szCs w:val="20"/>
              </w:rPr>
              <w:t xml:space="preserve">[fill in]</w:t>
            </w:r>
          </w:p>
        </w:tc>
      </w:tr>
      <w:tr>
        <w:tc>
          <w:tcPr>
            <w:tcW w:type="dxa" w:w="1800"/>
            <w:shd w:fill="FFFFFF" w:val="clear"/>
          </w:tcPr>
          <w:p>
            <w:pPr>
              <w:jc w:val="left"/>
            </w:pPr>
            <w:r>
              <w:rPr>
                <w:b w:val="false"/>
                <w:bCs w:val="false"/>
                <w:color w:val="000000"/>
                <w:sz w:val="20"/>
                <w:szCs w:val="20"/>
              </w:rPr>
              <w:t xml:space="preserve">Parquet</w:t>
            </w:r>
          </w:p>
        </w:tc>
        <w:tc>
          <w:tcPr>
            <w:tcW w:type="dxa" w:w="1600"/>
            <w:shd w:fill="FFFFFF" w:val="clear"/>
          </w:tcPr>
          <w:p>
            <w:pPr>
              <w:jc w:val="left"/>
            </w:pPr>
            <w:r>
              <w:rPr>
                <w:b w:val="false"/>
                <w:bCs w:val="false"/>
                <w:color w:val="000000"/>
                <w:sz w:val="20"/>
                <w:szCs w:val="20"/>
              </w:rPr>
              <w:t xml:space="preserve">gzip</w:t>
            </w:r>
          </w:p>
        </w:tc>
        <w:tc>
          <w:tcPr>
            <w:tcW w:type="dxa" w:w="2400"/>
            <w:shd w:fill="FFFFFF" w:val="clear"/>
          </w:tcPr>
          <w:p>
            <w:pPr>
              <w:jc w:val="left"/>
            </w:pPr>
            <w:r>
              <w:rPr>
                <w:b w:val="false"/>
                <w:bCs w:val="false"/>
                <w:color w:val="000000"/>
                <w:sz w:val="20"/>
                <w:szCs w:val="20"/>
              </w:rPr>
              <w:t xml:space="preserve">write</w:t>
            </w:r>
          </w:p>
        </w:tc>
        <w:tc>
          <w:tcPr>
            <w:tcW w:type="dxa" w:w="1800"/>
            <w:shd w:fill="FFFFFF" w:val="clear"/>
          </w:tcPr>
          <w:p>
            <w:pPr>
              <w:jc w:val="left"/>
            </w:pPr>
            <w:r>
              <w:rPr>
                <w:b w:val="false"/>
                <w:bCs w:val="false"/>
                <w:color w:val="000000"/>
                <w:sz w:val="20"/>
                <w:szCs w:val="20"/>
              </w:rPr>
              <w:t xml:space="preserve">[fill in]</w:t>
            </w:r>
          </w:p>
        </w:tc>
        <w:tc>
          <w:tcPr>
            <w:tcW w:type="dxa" w:w="2000"/>
            <w:shd w:fill="FFFFFF" w:val="clear"/>
          </w:tcPr>
          <w:p>
            <w:pPr>
              <w:jc w:val="left"/>
            </w:pPr>
            <w:r>
              <w:rPr>
                <w:b w:val="false"/>
                <w:bCs w:val="false"/>
                <w:color w:val="000000"/>
                <w:sz w:val="20"/>
                <w:szCs w:val="20"/>
              </w:rPr>
              <w:t xml:space="preserve">[fill in]</w:t>
            </w:r>
          </w:p>
        </w:tc>
      </w:tr>
      <w:tr>
        <w:tc>
          <w:tcPr>
            <w:tcW w:type="dxa" w:w="1800"/>
            <w:shd w:fill="FFFFFF" w:val="clear"/>
          </w:tcPr>
          <w:p>
            <w:pPr>
              <w:jc w:val="left"/>
            </w:pPr>
            <w:r>
              <w:rPr>
                <w:b w:val="false"/>
                <w:bCs w:val="false"/>
                <w:color w:val="000000"/>
                <w:sz w:val="20"/>
                <w:szCs w:val="20"/>
              </w:rPr>
              <w:t xml:space="preserve">Parquet</w:t>
            </w:r>
          </w:p>
        </w:tc>
        <w:tc>
          <w:tcPr>
            <w:tcW w:type="dxa" w:w="1600"/>
            <w:shd w:fill="FFFFFF" w:val="clear"/>
          </w:tcPr>
          <w:p>
            <w:pPr>
              <w:jc w:val="left"/>
            </w:pPr>
            <w:r>
              <w:rPr>
                <w:b w:val="false"/>
                <w:bCs w:val="false"/>
                <w:color w:val="000000"/>
                <w:sz w:val="20"/>
                <w:szCs w:val="20"/>
              </w:rPr>
              <w:t xml:space="preserve">none</w:t>
            </w:r>
          </w:p>
        </w:tc>
        <w:tc>
          <w:tcPr>
            <w:tcW w:type="dxa" w:w="2400"/>
            <w:shd w:fill="FFFFFF" w:val="clear"/>
          </w:tcPr>
          <w:p>
            <w:pPr>
              <w:jc w:val="left"/>
            </w:pPr>
            <w:r>
              <w:rPr>
                <w:b w:val="false"/>
                <w:bCs w:val="false"/>
                <w:color w:val="000000"/>
                <w:sz w:val="20"/>
                <w:szCs w:val="20"/>
              </w:rPr>
              <w:t xml:space="preserve">write</w:t>
            </w:r>
          </w:p>
        </w:tc>
        <w:tc>
          <w:tcPr>
            <w:tcW w:type="dxa" w:w="1800"/>
            <w:shd w:fill="FFFFFF" w:val="clear"/>
          </w:tcPr>
          <w:p>
            <w:pPr>
              <w:jc w:val="left"/>
            </w:pPr>
            <w:r>
              <w:rPr>
                <w:b w:val="false"/>
                <w:bCs w:val="false"/>
                <w:color w:val="000000"/>
                <w:sz w:val="20"/>
                <w:szCs w:val="20"/>
              </w:rPr>
              <w:t xml:space="preserve">[fill in]</w:t>
            </w:r>
          </w:p>
        </w:tc>
        <w:tc>
          <w:tcPr>
            <w:tcW w:type="dxa" w:w="2000"/>
            <w:shd w:fill="FFFFFF" w:val="clear"/>
          </w:tcPr>
          <w:p>
            <w:pPr>
              <w:jc w:val="left"/>
            </w:pPr>
            <w:r>
              <w:rPr>
                <w:b w:val="false"/>
                <w:bCs w:val="false"/>
                <w:color w:val="000000"/>
                <w:sz w:val="20"/>
                <w:szCs w:val="20"/>
              </w:rPr>
              <w:t xml:space="preserve">[fill in]</w:t>
            </w:r>
          </w:p>
        </w:tc>
      </w:tr>
      <w:tr>
        <w:tc>
          <w:tcPr>
            <w:tcW w:type="dxa" w:w="1800"/>
            <w:shd w:fill="FFFFFF" w:val="clear"/>
          </w:tcPr>
          <w:p>
            <w:pPr>
              <w:jc w:val="left"/>
            </w:pPr>
            <w:r>
              <w:rPr>
                <w:b w:val="false"/>
                <w:bCs w:val="false"/>
                <w:color w:val="000000"/>
                <w:sz w:val="20"/>
                <w:szCs w:val="20"/>
              </w:rPr>
              <w:t xml:space="preserve">CSV</w:t>
            </w:r>
          </w:p>
        </w:tc>
        <w:tc>
          <w:tcPr>
            <w:tcW w:type="dxa" w:w="1600"/>
            <w:shd w:fill="FFFFFF" w:val="clear"/>
          </w:tcPr>
          <w:p>
            <w:pPr>
              <w:jc w:val="left"/>
            </w:pPr>
            <w:r>
              <w:rPr>
                <w:b w:val="false"/>
                <w:bCs w:val="false"/>
                <w:color w:val="000000"/>
                <w:sz w:val="20"/>
                <w:szCs w:val="20"/>
              </w:rPr>
              <w:t xml:space="preserve">n/a</w:t>
            </w:r>
          </w:p>
        </w:tc>
        <w:tc>
          <w:tcPr>
            <w:tcW w:type="dxa" w:w="2400"/>
            <w:shd w:fill="FFFFFF" w:val="clear"/>
          </w:tcPr>
          <w:p>
            <w:pPr>
              <w:jc w:val="left"/>
            </w:pPr>
            <w:r>
              <w:rPr>
                <w:b w:val="false"/>
                <w:bCs w:val="false"/>
                <w:color w:val="000000"/>
                <w:sz w:val="20"/>
                <w:szCs w:val="20"/>
              </w:rPr>
              <w:t xml:space="preserve">full read</w:t>
            </w:r>
          </w:p>
        </w:tc>
        <w:tc>
          <w:tcPr>
            <w:tcW w:type="dxa" w:w="1800"/>
            <w:shd w:fill="FFFFFF" w:val="clear"/>
          </w:tcPr>
          <w:p>
            <w:pPr>
              <w:jc w:val="left"/>
            </w:pPr>
            <w:r>
              <w:rPr>
                <w:b w:val="false"/>
                <w:bCs w:val="false"/>
                <w:color w:val="000000"/>
                <w:sz w:val="20"/>
                <w:szCs w:val="20"/>
              </w:rPr>
              <w:t xml:space="preserve">[fill in]</w:t>
            </w:r>
          </w:p>
        </w:tc>
        <w:tc>
          <w:tcPr>
            <w:tcW w:type="dxa" w:w="2000"/>
            <w:shd w:fill="FFFFFF" w:val="clear"/>
          </w:tcPr>
          <w:p>
            <w:pPr>
              <w:jc w:val="left"/>
            </w:pPr>
            <w:r>
              <w:rPr>
                <w:b w:val="false"/>
                <w:bCs w:val="false"/>
                <w:color w:val="000000"/>
                <w:sz w:val="20"/>
                <w:szCs w:val="20"/>
              </w:rPr>
              <w:t xml:space="preserve">—</w:t>
            </w:r>
          </w:p>
        </w:tc>
      </w:tr>
      <w:tr>
        <w:tc>
          <w:tcPr>
            <w:tcW w:type="dxa" w:w="1800"/>
            <w:shd w:fill="FFFFFF" w:val="clear"/>
          </w:tcPr>
          <w:p>
            <w:pPr>
              <w:jc w:val="left"/>
            </w:pPr>
            <w:r>
              <w:rPr>
                <w:b w:val="false"/>
                <w:bCs w:val="false"/>
                <w:color w:val="000000"/>
                <w:sz w:val="20"/>
                <w:szCs w:val="20"/>
              </w:rPr>
              <w:t xml:space="preserve">Parquet</w:t>
            </w:r>
          </w:p>
        </w:tc>
        <w:tc>
          <w:tcPr>
            <w:tcW w:type="dxa" w:w="1600"/>
            <w:shd w:fill="FFFFFF" w:val="clear"/>
          </w:tcPr>
          <w:p>
            <w:pPr>
              <w:jc w:val="left"/>
            </w:pPr>
            <w:r>
              <w:rPr>
                <w:b w:val="false"/>
                <w:bCs w:val="false"/>
                <w:color w:val="000000"/>
                <w:sz w:val="20"/>
                <w:szCs w:val="20"/>
              </w:rPr>
              <w:t xml:space="preserve">snappy</w:t>
            </w:r>
          </w:p>
        </w:tc>
        <w:tc>
          <w:tcPr>
            <w:tcW w:type="dxa" w:w="2400"/>
            <w:shd w:fill="FFFFFF" w:val="clear"/>
          </w:tcPr>
          <w:p>
            <w:pPr>
              <w:jc w:val="left"/>
            </w:pPr>
            <w:r>
              <w:rPr>
                <w:b w:val="false"/>
                <w:bCs w:val="false"/>
                <w:color w:val="000000"/>
                <w:sz w:val="20"/>
                <w:szCs w:val="20"/>
              </w:rPr>
              <w:t xml:space="preserve">full read</w:t>
            </w:r>
          </w:p>
        </w:tc>
        <w:tc>
          <w:tcPr>
            <w:tcW w:type="dxa" w:w="1800"/>
            <w:shd w:fill="FFFFFF" w:val="clear"/>
          </w:tcPr>
          <w:p>
            <w:pPr>
              <w:jc w:val="left"/>
            </w:pPr>
            <w:r>
              <w:rPr>
                <w:b w:val="false"/>
                <w:bCs w:val="false"/>
                <w:color w:val="000000"/>
                <w:sz w:val="20"/>
                <w:szCs w:val="20"/>
              </w:rPr>
              <w:t xml:space="preserve">[fill in]</w:t>
            </w:r>
          </w:p>
        </w:tc>
        <w:tc>
          <w:tcPr>
            <w:tcW w:type="dxa" w:w="2000"/>
            <w:shd w:fill="FFFFFF" w:val="clear"/>
          </w:tcPr>
          <w:p>
            <w:pPr>
              <w:jc w:val="left"/>
            </w:pPr>
            <w:r>
              <w:rPr>
                <w:b w:val="false"/>
                <w:bCs w:val="false"/>
                <w:color w:val="000000"/>
                <w:sz w:val="20"/>
                <w:szCs w:val="20"/>
              </w:rPr>
              <w:t xml:space="preserve">—</w:t>
            </w:r>
          </w:p>
        </w:tc>
      </w:tr>
      <w:tr>
        <w:tc>
          <w:tcPr>
            <w:tcW w:type="dxa" w:w="1800"/>
            <w:shd w:fill="FFFFFF" w:val="clear"/>
          </w:tcPr>
          <w:p>
            <w:pPr>
              <w:jc w:val="left"/>
            </w:pPr>
            <w:r>
              <w:rPr>
                <w:b w:val="false"/>
                <w:bCs w:val="false"/>
                <w:color w:val="000000"/>
                <w:sz w:val="20"/>
                <w:szCs w:val="20"/>
              </w:rPr>
              <w:t xml:space="preserve">CSV</w:t>
            </w:r>
          </w:p>
        </w:tc>
        <w:tc>
          <w:tcPr>
            <w:tcW w:type="dxa" w:w="1600"/>
            <w:shd w:fill="FFFFFF" w:val="clear"/>
          </w:tcPr>
          <w:p>
            <w:pPr>
              <w:jc w:val="left"/>
            </w:pPr>
            <w:r>
              <w:rPr>
                <w:b w:val="false"/>
                <w:bCs w:val="false"/>
                <w:color w:val="000000"/>
                <w:sz w:val="20"/>
                <w:szCs w:val="20"/>
              </w:rPr>
              <w:t xml:space="preserve">n/a</w:t>
            </w:r>
          </w:p>
        </w:tc>
        <w:tc>
          <w:tcPr>
            <w:tcW w:type="dxa" w:w="2400"/>
            <w:shd w:fill="FFFFFF" w:val="clear"/>
          </w:tcPr>
          <w:p>
            <w:pPr>
              <w:jc w:val="left"/>
            </w:pPr>
            <w:r>
              <w:rPr>
                <w:b w:val="false"/>
                <w:bCs w:val="false"/>
                <w:color w:val="000000"/>
                <w:sz w:val="20"/>
                <w:szCs w:val="20"/>
              </w:rPr>
              <w:t xml:space="preserve">read 2 cols</w:t>
            </w:r>
          </w:p>
        </w:tc>
        <w:tc>
          <w:tcPr>
            <w:tcW w:type="dxa" w:w="1800"/>
            <w:shd w:fill="FFFFFF" w:val="clear"/>
          </w:tcPr>
          <w:p>
            <w:pPr>
              <w:jc w:val="left"/>
            </w:pPr>
            <w:r>
              <w:rPr>
                <w:b w:val="false"/>
                <w:bCs w:val="false"/>
                <w:color w:val="000000"/>
                <w:sz w:val="20"/>
                <w:szCs w:val="20"/>
              </w:rPr>
              <w:t xml:space="preserve">[fill in]</w:t>
            </w:r>
          </w:p>
        </w:tc>
        <w:tc>
          <w:tcPr>
            <w:tcW w:type="dxa" w:w="2000"/>
            <w:shd w:fill="FFFFFF" w:val="clear"/>
          </w:tcPr>
          <w:p>
            <w:pPr>
              <w:jc w:val="left"/>
            </w:pPr>
            <w:r>
              <w:rPr>
                <w:b w:val="false"/>
                <w:bCs w:val="false"/>
                <w:color w:val="000000"/>
                <w:sz w:val="20"/>
                <w:szCs w:val="20"/>
              </w:rPr>
              <w:t xml:space="preserve">—</w:t>
            </w:r>
          </w:p>
        </w:tc>
      </w:tr>
      <w:tr>
        <w:tc>
          <w:tcPr>
            <w:tcW w:type="dxa" w:w="1800"/>
            <w:shd w:fill="FFFFFF" w:val="clear"/>
          </w:tcPr>
          <w:p>
            <w:pPr>
              <w:jc w:val="left"/>
            </w:pPr>
            <w:r>
              <w:rPr>
                <w:b w:val="false"/>
                <w:bCs w:val="false"/>
                <w:color w:val="000000"/>
                <w:sz w:val="20"/>
                <w:szCs w:val="20"/>
              </w:rPr>
              <w:t xml:space="preserve">Parquet</w:t>
            </w:r>
          </w:p>
        </w:tc>
        <w:tc>
          <w:tcPr>
            <w:tcW w:type="dxa" w:w="1600"/>
            <w:shd w:fill="FFFFFF" w:val="clear"/>
          </w:tcPr>
          <w:p>
            <w:pPr>
              <w:jc w:val="left"/>
            </w:pPr>
            <w:r>
              <w:rPr>
                <w:b w:val="false"/>
                <w:bCs w:val="false"/>
                <w:color w:val="000000"/>
                <w:sz w:val="20"/>
                <w:szCs w:val="20"/>
              </w:rPr>
              <w:t xml:space="preserve">snappy</w:t>
            </w:r>
          </w:p>
        </w:tc>
        <w:tc>
          <w:tcPr>
            <w:tcW w:type="dxa" w:w="2400"/>
            <w:shd w:fill="FFFFFF" w:val="clear"/>
          </w:tcPr>
          <w:p>
            <w:pPr>
              <w:jc w:val="left"/>
            </w:pPr>
            <w:r>
              <w:rPr>
                <w:b w:val="false"/>
                <w:bCs w:val="false"/>
                <w:color w:val="000000"/>
                <w:sz w:val="20"/>
                <w:szCs w:val="20"/>
              </w:rPr>
              <w:t xml:space="preserve">read 2 cols</w:t>
            </w:r>
          </w:p>
        </w:tc>
        <w:tc>
          <w:tcPr>
            <w:tcW w:type="dxa" w:w="1800"/>
            <w:shd w:fill="FFFFFF" w:val="clear"/>
          </w:tcPr>
          <w:p>
            <w:pPr>
              <w:jc w:val="left"/>
            </w:pPr>
            <w:r>
              <w:rPr>
                <w:b w:val="false"/>
                <w:bCs w:val="false"/>
                <w:color w:val="000000"/>
                <w:sz w:val="20"/>
                <w:szCs w:val="20"/>
              </w:rPr>
              <w:t xml:space="preserve">[fill in]</w:t>
            </w:r>
          </w:p>
        </w:tc>
        <w:tc>
          <w:tcPr>
            <w:tcW w:type="dxa" w:w="2000"/>
            <w:shd w:fill="FFFFFF" w:val="clear"/>
          </w:tcPr>
          <w:p>
            <w:pPr>
              <w:jc w:val="left"/>
            </w:pPr>
            <w:r>
              <w:rPr>
                <w:b w:val="false"/>
                <w:bCs w:val="false"/>
                <w:color w:val="000000"/>
                <w:sz w:val="20"/>
                <w:szCs w:val="20"/>
              </w:rPr>
              <w:t xml:space="preserve">—</w:t>
            </w:r>
          </w:p>
        </w:tc>
      </w:tr>
    </w:tbl>
    <w:p>
      <w:pPr>
        <w:spacing w:after="200"/>
      </w:pPr>
    </w:p>
    <w:p>
      <w:pPr>
        <w:pStyle w:val="Heading2"/>
        <w:spacing w:after="120" w:before="240"/>
      </w:pPr>
      <w:r>
        <w:t xml:space="preserve">6.1 Expected Pattern</w:t>
      </w:r>
    </w:p>
    <w:p>
      <w:pPr>
        <w:pStyle w:val="ListParagraph"/>
        <w:numPr>
          <w:ilvl w:val="0"/>
          <w:numId w:val="2"/>
        </w:numPr>
        <w:spacing w:after="80"/>
      </w:pPr>
      <w:r>
        <w:t xml:space="preserve">Parquet files are typically 4–10x smaller than the equivalent CSV, because columnar storage groups similar values together, which compresses far better than mixed row data.</w:t>
      </w:r>
    </w:p>
    <w:p>
      <w:pPr>
        <w:pStyle w:val="ListParagraph"/>
        <w:numPr>
          <w:ilvl w:val="0"/>
          <w:numId w:val="2"/>
        </w:numPr>
        <w:spacing w:after="80"/>
      </w:pPr>
      <w:r>
        <w:t xml:space="preserve">Reading all columns from Parquet is usually faster than parsing CSV, since Parquet stores data in a binary, typed format rather than re-parsing text on every read.</w:t>
      </w:r>
    </w:p>
    <w:p>
      <w:pPr>
        <w:pStyle w:val="ListParagraph"/>
        <w:numPr>
          <w:ilvl w:val="0"/>
          <w:numId w:val="2"/>
        </w:numPr>
        <w:spacing w:after="80"/>
      </w:pPr>
      <w:r>
        <w:t xml:space="preserve">Reading a subset of columns from Parquet is dramatically faster than from CSV, because Parquet can skip the column chunks it doesn't need, while CSV must still scan every row from start to finish.</w:t>
      </w:r>
    </w:p>
    <w:p>
      <w:pPr>
        <w:pStyle w:val="Heading1"/>
        <w:spacing w:after="160" w:before="320"/>
      </w:pPr>
      <w:r>
        <w:t xml:space="preserve">7. Conclusion</w:t>
      </w:r>
    </w:p>
    <w:p>
      <w:pPr>
        <w:spacing w:after="160"/>
      </w:pPr>
      <w:r>
        <w:t xml:space="preserve">This project confirms, with a hands-on benchmark, why Parquet has become the default storage format for analytical big-data workloads. Its columnar layout enables strong compression and lets query engines read only the data a query actually needs, while its embedded schema and per-row-group statistics make it self-describing and friendly to distributed processing engines such as Apache Spark. For row-by-row transactional access patterns, row-based formats remain preferable — but for analytics, reporting, and data warehousing, Parquet's advantages in size and read speed are substantial.</w:t>
      </w:r>
    </w:p>
    <w:p>
      <w:pPr>
        <w:pStyle w:val="Heading1"/>
        <w:spacing w:after="160" w:before="320"/>
      </w:pPr>
      <w:r>
        <w:t xml:space="preserve">8. References</w:t>
      </w:r>
    </w:p>
    <w:p>
      <w:pPr>
        <w:spacing w:after="160"/>
      </w:pPr>
      <w:r>
        <w:rPr>
          <w:sz w:val="20"/>
          <w:szCs w:val="20"/>
        </w:rPr>
        <w:t xml:space="preserve">Apache Parquet Documentation – https://parquet.apache.org/docs/</w:t>
      </w:r>
    </w:p>
    <w:p>
      <w:pPr>
        <w:spacing w:after="160"/>
      </w:pPr>
      <w:r>
        <w:rPr>
          <w:sz w:val="20"/>
          <w:szCs w:val="20"/>
        </w:rPr>
        <w:t xml:space="preserve">Apache Arrow / PyArrow Documentation – https://arrow.apache.org/docs/python/parquet.html</w:t>
      </w:r>
    </w:p>
    <w:p>
      <w:pPr>
        <w:spacing w:after="160"/>
      </w:pPr>
      <w:r>
        <w:rPr>
          <w:sz w:val="20"/>
          <w:szCs w:val="20"/>
        </w:rPr>
        <w:t xml:space="preserve">pandas I/O documentation – https://pandas.pydata.org/docs/user_guide/io.html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2026-08-11T15:23:10.281Z</dcterms:created>
  <dcterms:modified xsi:type="dcterms:W3CDTF">2026-08-11T15:23:10.294Z</dcterms:modified>
</cp:coreProperties>
</file>

<file path=docProps/custom.xml><?xml version="1.0" encoding="utf-8"?>
<Properties xmlns="http://schemas.openxmlformats.org/officeDocument/2006/custom-properties" xmlns:vt="http://schemas.openxmlformats.org/officeDocument/2006/docPropsVTypes"/>
</file>