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1800"/>
        <w:jc w:val="center"/>
      </w:pPr>
      <w:r>
        <w:t xml:space="preserve">Multi-Algorithm Recommendation System Comparison</w:t>
      </w:r>
    </w:p>
    <w:p>
      <w:pPr>
        <w:spacing w:after="800"/>
        <w:jc w:val="center"/>
      </w:pPr>
      <w:r>
        <w:t xml:space="preserve">E-Commerce Customer Behavior Analysis using Regression, Classification &amp; Clustering</w:t>
      </w:r>
      <w:r>
        <w:rPr>
          <w:i/>
          <w:iCs/>
          <w:sz w:val="26"/>
          <w:szCs w:val="26"/>
        </w:rPr>
        <w:t xml:space="preserve">E-Commerce Customer Behavior Analysis using Regression, Classification &amp; Clustering</w:t>
      </w:r>
    </w:p>
    <w:p>
      <w:pPr>
        <w:spacing w:after="4000"/>
        <w:jc w:val="center"/>
      </w:pPr>
      <w:r>
        <w:rPr>
          <w:color w:val="555555"/>
          <w:sz w:val="24"/>
          <w:szCs w:val="24"/>
        </w:rPr>
        <w:t xml:space="preserve">Mini Project 3 — Mentor-Validated Deliverable</w:t>
      </w:r>
    </w:p>
    <w:p>
      <w:r>
        <w:br w:type="page"/>
      </w:r>
    </w:p>
    <w:p>
      <w:pPr>
        <w:pStyle w:val="Heading1"/>
        <w:spacing w:after="150" w:before="300"/>
      </w:pPr>
      <w:r>
        <w:t xml:space="preserve">1. Problem Statement</w:t>
      </w:r>
    </w:p>
    <w:p>
      <w:pPr>
        <w:spacing w:after="120"/>
      </w:pPr>
      <w:r>
        <w:t xml:space="preserve">E-commerce businesses need to understand three related but distinct questions about their customers: how much value will a customer generate, how likely are they to respond to marketing efforts, and what natural groups do customers fall into based on behavior. This project builds and compares three machine learning approaches — regression, classification, and clustering — to answer each question, and evaluates which technique is most useful for which business decision.</w:t>
      </w:r>
    </w:p>
    <w:p>
      <w:pPr>
        <w:pStyle w:val="Heading1"/>
        <w:spacing w:after="150" w:before="300"/>
      </w:pPr>
      <w:r>
        <w:t xml:space="preserve">2. Dataset Description</w:t>
      </w:r>
    </w:p>
    <w:p>
      <w:pPr>
        <w:spacing w:after="120"/>
      </w:pPr>
      <w:r>
        <w:t xml:space="preserve">The dataset used is "ecommerce_user_segmentation.csv", containing 10,000 customers and 14 columns of RFM (Recency-Frequency-Monetary) and engagement behavior data.</w:t>
      </w:r>
    </w:p>
    <w:p>
      <w:pPr>
        <w:pStyle w:val="Heading2"/>
        <w:spacing w:after="120" w:before="240"/>
      </w:pPr>
      <w:r>
        <w:t xml:space="preserve">2.1 Adaptation Note</w:t>
      </w:r>
    </w:p>
    <w:p>
      <w:pPr>
        <w:spacing w:after="120"/>
      </w:pPr>
      <w:r>
        <w:t xml:space="preserve">The original project template assumes an interaction-level dataset (one row per user-product pair) with explicit Rating and Purchase Status columns. The available dataset is customer-level instead — one row per customer with behavioral summary metrics — and does not contain a Rating or Purchase Status column. The three ML tasks were therefore adapted to fit the real data while keeping the exact same algorithms, tuning process, and metrics required by the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c>
          <w:tcPr>
            <w:tcW w:type="dxa" w:w="1800"/>
            <w:shd w:fill="2E5395" w:val="clear"/>
            <w:vAlign w:val="center"/>
          </w:tcPr>
          <w:p>
            <w:r>
              <w:rPr>
                <w:b/>
                <w:bCs/>
                <w:color w:val="FFFFFF"/>
                <w:sz w:val="20"/>
                <w:szCs w:val="20"/>
              </w:rPr>
              <w:t xml:space="preserve">ML Task</w:t>
            </w:r>
          </w:p>
        </w:tc>
        <w:tc>
          <w:tcPr>
            <w:tcW w:type="dxa" w:w="2200"/>
            <w:shd w:fill="2E5395" w:val="clear"/>
            <w:vAlign w:val="center"/>
          </w:tcPr>
          <w:p>
            <w:r>
              <w:rPr>
                <w:b/>
                <w:bCs/>
                <w:color w:val="FFFFFF"/>
                <w:sz w:val="20"/>
                <w:szCs w:val="20"/>
              </w:rPr>
              <w:t xml:space="preserve">Original Template Target</w:t>
            </w:r>
          </w:p>
        </w:tc>
        <w:tc>
          <w:tcPr>
            <w:tcW w:type="dxa" w:w="2600"/>
            <w:shd w:fill="2E5395" w:val="clear"/>
            <w:vAlign w:val="center"/>
          </w:tcPr>
          <w:p>
            <w:r>
              <w:rPr>
                <w:b/>
                <w:bCs/>
                <w:color w:val="FFFFFF"/>
                <w:sz w:val="20"/>
                <w:szCs w:val="20"/>
              </w:rPr>
              <w:t xml:space="preserve">Adapted Target (this dataset)</w:t>
            </w:r>
          </w:p>
        </w:tc>
        <w:tc>
          <w:tcPr>
            <w:tcW w:type="dxa" w:w="2760"/>
            <w:shd w:fill="2E5395" w:val="clear"/>
            <w:vAlign w:val="center"/>
          </w:tcPr>
          <w:p>
            <w:r>
              <w:rPr>
                <w:b/>
                <w:bCs/>
                <w:color w:val="FFFFFF"/>
                <w:sz w:val="20"/>
                <w:szCs w:val="20"/>
              </w:rPr>
              <w:t xml:space="preserve">Reason</w:t>
            </w:r>
          </w:p>
        </w:tc>
      </w:tr>
      <w:tr>
        <w:tc>
          <w:tcPr>
            <w:tcW w:type="dxa" w:w="1800"/>
            <w:vAlign w:val="center"/>
          </w:tcPr>
          <w:p>
            <w:r>
              <w:rPr>
                <w:b w:val="false"/>
                <w:bCs w:val="false"/>
                <w:sz w:val="20"/>
                <w:szCs w:val="20"/>
              </w:rPr>
              <w:t xml:space="preserve">Regression</w:t>
            </w:r>
          </w:p>
        </w:tc>
        <w:tc>
          <w:tcPr>
            <w:tcW w:type="dxa" w:w="2200"/>
            <w:vAlign w:val="center"/>
          </w:tcPr>
          <w:p>
            <w:r>
              <w:rPr>
                <w:b w:val="false"/>
                <w:bCs w:val="false"/>
                <w:sz w:val="20"/>
                <w:szCs w:val="20"/>
              </w:rPr>
              <w:t xml:space="preserve">Rating</w:t>
            </w:r>
          </w:p>
        </w:tc>
        <w:tc>
          <w:tcPr>
            <w:tcW w:type="dxa" w:w="2600"/>
            <w:vAlign w:val="center"/>
          </w:tcPr>
          <w:p>
            <w:r>
              <w:rPr>
                <w:b w:val="false"/>
                <w:bCs w:val="false"/>
                <w:sz w:val="20"/>
                <w:szCs w:val="20"/>
              </w:rPr>
              <w:t xml:space="preserve">Monetary (total customer value)</w:t>
            </w:r>
          </w:p>
        </w:tc>
        <w:tc>
          <w:tcPr>
            <w:tcW w:type="dxa" w:w="2760"/>
            <w:vAlign w:val="center"/>
          </w:tcPr>
          <w:p>
            <w:r>
              <w:rPr>
                <w:b w:val="false"/>
                <w:bCs w:val="false"/>
                <w:sz w:val="20"/>
                <w:szCs w:val="20"/>
              </w:rPr>
              <w:t xml:space="preserve">No rating column exists; Monetary is the closest continuous business-value target</w:t>
            </w:r>
          </w:p>
        </w:tc>
      </w:tr>
      <w:tr>
        <w:tc>
          <w:tcPr>
            <w:tcW w:type="dxa" w:w="1800"/>
            <w:vAlign w:val="center"/>
          </w:tcPr>
          <w:p>
            <w:r>
              <w:rPr>
                <w:b w:val="false"/>
                <w:bCs w:val="false"/>
                <w:sz w:val="20"/>
                <w:szCs w:val="20"/>
              </w:rPr>
              <w:t xml:space="preserve">Classification</w:t>
            </w:r>
          </w:p>
        </w:tc>
        <w:tc>
          <w:tcPr>
            <w:tcW w:type="dxa" w:w="2200"/>
            <w:vAlign w:val="center"/>
          </w:tcPr>
          <w:p>
            <w:r>
              <w:rPr>
                <w:b w:val="false"/>
                <w:bCs w:val="false"/>
                <w:sz w:val="20"/>
                <w:szCs w:val="20"/>
              </w:rPr>
              <w:t xml:space="preserve">Purchase Status</w:t>
            </w:r>
          </w:p>
        </w:tc>
        <w:tc>
          <w:tcPr>
            <w:tcW w:type="dxa" w:w="2600"/>
            <w:vAlign w:val="center"/>
          </w:tcPr>
          <w:p>
            <w:r>
              <w:rPr>
                <w:b w:val="false"/>
                <w:bCs w:val="false"/>
                <w:sz w:val="20"/>
                <w:szCs w:val="20"/>
              </w:rPr>
              <w:t xml:space="preserve">Campaign_Response (0/1)</w:t>
            </w:r>
          </w:p>
        </w:tc>
        <w:tc>
          <w:tcPr>
            <w:tcW w:type="dxa" w:w="2760"/>
            <w:vAlign w:val="center"/>
          </w:tcPr>
          <w:p>
            <w:r>
              <w:rPr>
                <w:b w:val="false"/>
                <w:bCs w:val="false"/>
                <w:sz w:val="20"/>
                <w:szCs w:val="20"/>
              </w:rPr>
              <w:t xml:space="preserve">No purchase flag exists; Campaign_Response is the dataset's only binary outcome</w:t>
            </w:r>
          </w:p>
        </w:tc>
      </w:tr>
      <w:tr>
        <w:tc>
          <w:tcPr>
            <w:tcW w:type="dxa" w:w="1800"/>
            <w:vAlign w:val="center"/>
          </w:tcPr>
          <w:p>
            <w:r>
              <w:rPr>
                <w:b w:val="false"/>
                <w:bCs w:val="false"/>
                <w:sz w:val="20"/>
                <w:szCs w:val="20"/>
              </w:rPr>
              <w:t xml:space="preserve">Clustering</w:t>
            </w:r>
          </w:p>
        </w:tc>
        <w:tc>
          <w:tcPr>
            <w:tcW w:type="dxa" w:w="2200"/>
            <w:vAlign w:val="center"/>
          </w:tcPr>
          <w:p>
            <w:r>
              <w:rPr>
                <w:b w:val="false"/>
                <w:bCs w:val="false"/>
                <w:sz w:val="20"/>
                <w:szCs w:val="20"/>
              </w:rPr>
              <w:t xml:space="preserve">Customer segments</w:t>
            </w:r>
          </w:p>
        </w:tc>
        <w:tc>
          <w:tcPr>
            <w:tcW w:type="dxa" w:w="2600"/>
            <w:vAlign w:val="center"/>
          </w:tcPr>
          <w:p>
            <w:r>
              <w:rPr>
                <w:b w:val="false"/>
                <w:bCs w:val="false"/>
                <w:sz w:val="20"/>
                <w:szCs w:val="20"/>
              </w:rPr>
              <w:t xml:space="preserve">Customer segments (unchanged)</w:t>
            </w:r>
          </w:p>
        </w:tc>
        <w:tc>
          <w:tcPr>
            <w:tcW w:type="dxa" w:w="2760"/>
            <w:vAlign w:val="center"/>
          </w:tcPr>
          <w:p>
            <w:r>
              <w:rPr>
                <w:b w:val="false"/>
                <w:bCs w:val="false"/>
                <w:sz w:val="20"/>
                <w:szCs w:val="20"/>
              </w:rPr>
              <w:t xml:space="preserve">Dataset already suits this task directly</w:t>
            </w:r>
          </w:p>
        </w:tc>
      </w:tr>
    </w:tbl>
    <w:p>
      <w:pPr>
        <w:pStyle w:val="Heading2"/>
        <w:spacing w:after="120" w:before="240"/>
      </w:pPr>
      <w:r>
        <w:t xml:space="preserve">2.2 Columns Used</w:t>
      </w:r>
    </w:p>
    <w:p>
      <w:pPr>
        <w:spacing w:after="120"/>
      </w:pPr>
      <w:r>
        <w:t xml:space="preserve">Behavioral features used across all three models: Recency, Frequency, Avg_Order_Value, Session_Count, Avg_Session_Duration, Pages_Viewed, Clicks, Wishlist_Adds, Cart_Abandon_Rate, Returns.</w:t>
      </w:r>
    </w:p>
    <w:p>
      <w:pPr>
        <w:spacing w:after="120"/>
      </w:pPr>
      <w:r>
        <w:t xml:space="preserve">Customer_ID is an identifier and was excluded from modeling. Segment_Label is a pre-existing categorical tier (Iron/Copper/Silver/Gold/Platinum) retained only to validate the clustering results, not used as an input feature.</w:t>
      </w:r>
    </w:p>
    <w:p>
      <w:pPr>
        <w:pStyle w:val="Heading1"/>
        <w:spacing w:after="150" w:before="300"/>
      </w:pPr>
      <w:r>
        <w:t xml:space="preserve">3. Data Preprocessing</w:t>
      </w:r>
    </w:p>
    <w:p>
      <w:pPr>
        <w:pStyle w:val="ListParagraph"/>
        <w:numPr>
          <w:ilvl w:val="0"/>
          <w:numId w:val="1"/>
        </w:numPr>
        <w:spacing w:after="60"/>
      </w:pPr>
      <w:r>
        <w:t xml:space="preserve">Missing values found: 0 (none) — no imputation needed.</w:t>
      </w:r>
    </w:p>
    <w:p>
      <w:pPr>
        <w:pStyle w:val="ListParagraph"/>
        <w:numPr>
          <w:ilvl w:val="0"/>
          <w:numId w:val="1"/>
        </w:numPr>
        <w:spacing w:after="60"/>
      </w:pPr>
      <w:r>
        <w:t xml:space="preserve">Duplicate records found: 0 (none) — no removal needed.</w:t>
      </w:r>
    </w:p>
    <w:p>
      <w:pPr>
        <w:pStyle w:val="ListParagraph"/>
        <w:numPr>
          <w:ilvl w:val="0"/>
          <w:numId w:val="1"/>
        </w:numPr>
        <w:spacing w:after="60"/>
      </w:pPr>
      <w:r>
        <w:t xml:space="preserve">All modeling features are numeric; no categorical encoding was required for Customer_ID/Segment_Label since they were excluded from the feature set.</w:t>
      </w:r>
    </w:p>
    <w:p>
      <w:pPr>
        <w:pStyle w:val="ListParagraph"/>
        <w:numPr>
          <w:ilvl w:val="0"/>
          <w:numId w:val="1"/>
        </w:numPr>
        <w:spacing w:after="60"/>
      </w:pPr>
      <w:r>
        <w:t xml:space="preserve">All features were standardized using StandardScaler (zero mean, unit variance) before Ridge Regression, Logistic Regression, and K-Means — all three algorithms are distance/gradient-based and sensitive to feature scale.</w:t>
      </w:r>
    </w:p>
    <w:p>
      <w:pPr>
        <w:pStyle w:val="ListParagraph"/>
        <w:numPr>
          <w:ilvl w:val="0"/>
          <w:numId w:val="1"/>
        </w:numPr>
        <w:spacing w:after="60"/>
      </w:pPr>
      <w:r>
        <w:t xml:space="preserve">Regression and classification data were split 80% training / 20% testing (classification split was stratified to preserve the Campaign_Response class balance).</w:t>
      </w:r>
    </w:p>
    <w:p>
      <w:pPr>
        <w:pStyle w:val="Heading1"/>
        <w:spacing w:after="150" w:before="300"/>
      </w:pPr>
      <w:r>
        <w:t xml:space="preserve">4. Regression Model — Predicting Customer Monetary Value</w:t>
      </w:r>
    </w:p>
    <w:p>
      <w:pPr>
        <w:spacing w:after="120"/>
      </w:pPr>
      <w:r>
        <w:t xml:space="preserve">Target: Monetary (total amount spent by the customer). Ridge Regression was used as the primary model since the behavioral features are highly correlated with one another (engagement metrics move together), and Ridge's L2 penalty controls the resulting multicollinearity better than plain Linear Regression.</w:t>
      </w:r>
    </w:p>
    <w:p>
      <w:pPr>
        <w:pStyle w:val="Heading2"/>
        <w:spacing w:after="120" w:before="240"/>
      </w:pPr>
      <w:r>
        <w:t xml:space="preserve">4.1 Results Before and After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shd w:fill="2E5395" w:val="clear"/>
            <w:vAlign w:val="center"/>
          </w:tcPr>
          <w:p>
            <w:r>
              <w:rPr>
                <w:b/>
                <w:bCs/>
                <w:color w:val="FFFFFF"/>
                <w:sz w:val="20"/>
                <w:szCs w:val="20"/>
              </w:rPr>
              <w:t xml:space="preserve">Model</w:t>
            </w:r>
          </w:p>
        </w:tc>
        <w:tc>
          <w:tcPr>
            <w:tcW w:type="dxa" w:w="2000"/>
            <w:shd w:fill="2E5395" w:val="clear"/>
            <w:vAlign w:val="center"/>
          </w:tcPr>
          <w:p>
            <w:r>
              <w:rPr>
                <w:b/>
                <w:bCs/>
                <w:color w:val="FFFFFF"/>
                <w:sz w:val="20"/>
                <w:szCs w:val="20"/>
              </w:rPr>
              <w:t xml:space="preserve">MAE</w:t>
            </w:r>
          </w:p>
        </w:tc>
        <w:tc>
          <w:tcPr>
            <w:tcW w:type="dxa" w:w="2000"/>
            <w:shd w:fill="2E5395" w:val="clear"/>
            <w:vAlign w:val="center"/>
          </w:tcPr>
          <w:p>
            <w:r>
              <w:rPr>
                <w:b/>
                <w:bCs/>
                <w:color w:val="FFFFFF"/>
                <w:sz w:val="20"/>
                <w:szCs w:val="20"/>
              </w:rPr>
              <w:t xml:space="preserve">RMSE</w:t>
            </w:r>
          </w:p>
        </w:tc>
        <w:tc>
          <w:tcPr>
            <w:tcW w:type="dxa" w:w="2000"/>
            <w:shd w:fill="2E5395" w:val="clear"/>
            <w:vAlign w:val="center"/>
          </w:tcPr>
          <w:p>
            <w:r>
              <w:rPr>
                <w:b/>
                <w:bCs/>
                <w:color w:val="FFFFFF"/>
                <w:sz w:val="20"/>
                <w:szCs w:val="20"/>
              </w:rPr>
              <w:t xml:space="preserve">R² Score</w:t>
            </w:r>
          </w:p>
        </w:tc>
      </w:tr>
      <w:tr>
        <w:tc>
          <w:tcPr>
            <w:tcW w:type="dxa" w:w="3360"/>
            <w:vAlign w:val="center"/>
          </w:tcPr>
          <w:p>
            <w:r>
              <w:rPr>
                <w:b w:val="false"/>
                <w:bCs w:val="false"/>
                <w:sz w:val="20"/>
                <w:szCs w:val="20"/>
              </w:rPr>
              <w:t xml:space="preserve">Linear Regression (baseline)</w:t>
            </w:r>
          </w:p>
        </w:tc>
        <w:tc>
          <w:tcPr>
            <w:tcW w:type="dxa" w:w="2000"/>
            <w:vAlign w:val="center"/>
          </w:tcPr>
          <w:p>
            <w:r>
              <w:rPr>
                <w:b w:val="false"/>
                <w:bCs w:val="false"/>
                <w:sz w:val="20"/>
                <w:szCs w:val="20"/>
              </w:rPr>
              <w:t xml:space="preserve">587.50</w:t>
            </w:r>
          </w:p>
        </w:tc>
        <w:tc>
          <w:tcPr>
            <w:tcW w:type="dxa" w:w="2000"/>
            <w:vAlign w:val="center"/>
          </w:tcPr>
          <w:p>
            <w:r>
              <w:rPr>
                <w:b w:val="false"/>
                <w:bCs w:val="false"/>
                <w:sz w:val="20"/>
                <w:szCs w:val="20"/>
              </w:rPr>
              <w:t xml:space="preserve">861.40</w:t>
            </w:r>
          </w:p>
        </w:tc>
        <w:tc>
          <w:tcPr>
            <w:tcW w:type="dxa" w:w="2000"/>
            <w:vAlign w:val="center"/>
          </w:tcPr>
          <w:p>
            <w:r>
              <w:rPr>
                <w:b w:val="false"/>
                <w:bCs w:val="false"/>
                <w:sz w:val="20"/>
                <w:szCs w:val="20"/>
              </w:rPr>
              <w:t xml:space="preserve">0.87</w:t>
            </w:r>
          </w:p>
        </w:tc>
      </w:tr>
      <w:tr>
        <w:tc>
          <w:tcPr>
            <w:tcW w:type="dxa" w:w="3360"/>
            <w:vAlign w:val="center"/>
          </w:tcPr>
          <w:p>
            <w:r>
              <w:rPr>
                <w:b w:val="false"/>
                <w:bCs w:val="false"/>
                <w:sz w:val="20"/>
                <w:szCs w:val="20"/>
              </w:rPr>
              <w:t xml:space="preserve">Ridge Regression (default α=1.0)</w:t>
            </w:r>
          </w:p>
        </w:tc>
        <w:tc>
          <w:tcPr>
            <w:tcW w:type="dxa" w:w="2000"/>
            <w:vAlign w:val="center"/>
          </w:tcPr>
          <w:p>
            <w:r>
              <w:rPr>
                <w:b w:val="false"/>
                <w:bCs w:val="false"/>
                <w:sz w:val="20"/>
                <w:szCs w:val="20"/>
              </w:rPr>
              <w:t xml:space="preserve">587.49</w:t>
            </w:r>
          </w:p>
        </w:tc>
        <w:tc>
          <w:tcPr>
            <w:tcW w:type="dxa" w:w="2000"/>
            <w:vAlign w:val="center"/>
          </w:tcPr>
          <w:p>
            <w:r>
              <w:rPr>
                <w:b w:val="false"/>
                <w:bCs w:val="false"/>
                <w:sz w:val="20"/>
                <w:szCs w:val="20"/>
              </w:rPr>
              <w:t xml:space="preserve">861.40</w:t>
            </w:r>
          </w:p>
        </w:tc>
        <w:tc>
          <w:tcPr>
            <w:tcW w:type="dxa" w:w="2000"/>
            <w:vAlign w:val="center"/>
          </w:tcPr>
          <w:p>
            <w:r>
              <w:rPr>
                <w:b w:val="false"/>
                <w:bCs w:val="false"/>
                <w:sz w:val="20"/>
                <w:szCs w:val="20"/>
              </w:rPr>
              <w:t xml:space="preserve">0.87</w:t>
            </w:r>
          </w:p>
        </w:tc>
      </w:tr>
      <w:tr>
        <w:tc>
          <w:tcPr>
            <w:tcW w:type="dxa" w:w="3360"/>
            <w:vAlign w:val="center"/>
          </w:tcPr>
          <w:p>
            <w:r>
              <w:rPr>
                <w:b w:val="false"/>
                <w:bCs w:val="false"/>
                <w:sz w:val="20"/>
                <w:szCs w:val="20"/>
              </w:rPr>
              <w:t xml:space="preserve">Ridge Regression (tuned α=100)</w:t>
            </w:r>
          </w:p>
        </w:tc>
        <w:tc>
          <w:tcPr>
            <w:tcW w:type="dxa" w:w="2000"/>
            <w:vAlign w:val="center"/>
          </w:tcPr>
          <w:p>
            <w:r>
              <w:rPr>
                <w:b w:val="false"/>
                <w:bCs w:val="false"/>
                <w:sz w:val="20"/>
                <w:szCs w:val="20"/>
              </w:rPr>
              <w:t xml:space="preserve">586.76</w:t>
            </w:r>
          </w:p>
        </w:tc>
        <w:tc>
          <w:tcPr>
            <w:tcW w:type="dxa" w:w="2000"/>
            <w:vAlign w:val="center"/>
          </w:tcPr>
          <w:p>
            <w:r>
              <w:rPr>
                <w:b w:val="false"/>
                <w:bCs w:val="false"/>
                <w:sz w:val="20"/>
                <w:szCs w:val="20"/>
              </w:rPr>
              <w:t xml:space="preserve">861.45</w:t>
            </w:r>
          </w:p>
        </w:tc>
        <w:tc>
          <w:tcPr>
            <w:tcW w:type="dxa" w:w="2000"/>
            <w:vAlign w:val="center"/>
          </w:tcPr>
          <w:p>
            <w:r>
              <w:rPr>
                <w:b w:val="false"/>
                <w:bCs w:val="false"/>
                <w:sz w:val="20"/>
                <w:szCs w:val="20"/>
              </w:rPr>
              <w:t xml:space="preserve">0.87</w:t>
            </w:r>
          </w:p>
        </w:tc>
      </w:tr>
    </w:tbl>
    <w:p>
      <w:pPr>
        <w:spacing w:after="200"/>
        <w:jc w:val="center"/>
      </w:pPr>
      <w:r>
        <w:drawing>
          <wp:inline distT="0" distB="0" distL="0" distR="0">
            <wp:extent cx="49530000" cy="3302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0" cy="33023175"/>
                    </a:xfrm>
                    <a:prstGeom prst="rect">
                      <a:avLst/>
                    </a:prstGeom>
                  </pic:spPr>
                </pic:pic>
              </a:graphicData>
            </a:graphic>
          </wp:inline>
        </w:drawing>
      </w:r>
    </w:p>
    <w:p>
      <w:pPr>
        <w:spacing w:after="200"/>
        <w:jc w:val="center"/>
      </w:pPr>
      <w:r>
        <w:drawing>
          <wp:inline distT="0" distB="0" distL="0" distR="0">
            <wp:extent cx="43815000" cy="3650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0" cy="36509325"/>
                    </a:xfrm>
                    <a:prstGeom prst="rect">
                      <a:avLst/>
                    </a:prstGeom>
                  </pic:spPr>
                </pic:pic>
              </a:graphicData>
            </a:graphic>
          </wp:inline>
        </w:drawing>
      </w:r>
    </w:p>
    <w:p>
      <w:pPr>
        <w:pStyle w:val="Heading2"/>
        <w:spacing w:after="120" w:before="240"/>
      </w:pPr>
      <w:r>
        <w:t xml:space="preserve">4.2 Hyperparameter Tuning</w:t>
      </w:r>
    </w:p>
    <w:p>
      <w:pPr>
        <w:spacing w:after="120"/>
      </w:pPr>
      <w:r>
        <w:t xml:space="preserve">GridSearchCV (5-fold cross-validation, scoring = negative MAE) was used to tune the Ridge alpha over [0.01, 0.1, 1, 10, 100]. Best alpha found: 100.</w:t>
      </w:r>
    </w:p>
    <w:p>
      <w:pPr>
        <w:pStyle w:val="Heading2"/>
        <w:spacing w:after="120" w:before="240"/>
      </w:pPr>
      <w:r>
        <w:t xml:space="preserve">4.3 Business Meaning</w:t>
      </w:r>
    </w:p>
    <w:p>
      <w:pPr>
        <w:spacing w:after="120"/>
      </w:pPr>
      <w:r>
        <w:t xml:space="preserve">An R² above 0.85 means the model explains most of the variation in customer spend using only behavioral signals (sessions, clicks, wishlist activity, etc.). This lets the business estimate a customer's likely value before they've spent that much, useful for prioritizing retention offers or VIP treatment.</w:t>
      </w:r>
    </w:p>
    <w:p>
      <w:pPr>
        <w:pStyle w:val="Heading1"/>
        <w:spacing w:after="150" w:before="300"/>
      </w:pPr>
      <w:r>
        <w:t xml:space="preserve">5. Classification Model — Predicting Campaign Response</w:t>
      </w:r>
    </w:p>
    <w:p>
      <w:pPr>
        <w:spacing w:after="120"/>
      </w:pPr>
      <w:r>
        <w:t xml:space="preserve">Target: Campaign_Response (1 = customer responded to a marketing campaign, 0 = did not). Logistic Regression was used to predict this binary outcome.</w:t>
      </w:r>
    </w:p>
    <w:p>
      <w:pPr>
        <w:pStyle w:val="Heading2"/>
        <w:spacing w:after="120" w:before="240"/>
      </w:pPr>
      <w:r>
        <w:t xml:space="preserve">5.1 Results Before and After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shd w:fill="2E5395" w:val="clear"/>
            <w:vAlign w:val="center"/>
          </w:tcPr>
          <w:p>
            <w:r>
              <w:rPr>
                <w:b/>
                <w:bCs/>
                <w:color w:val="FFFFFF"/>
                <w:sz w:val="20"/>
                <w:szCs w:val="20"/>
              </w:rPr>
              <w:t xml:space="preserve">Metric</w:t>
            </w:r>
          </w:p>
        </w:tc>
        <w:tc>
          <w:tcPr>
            <w:tcW w:type="dxa" w:w="3000"/>
            <w:shd w:fill="2E5395" w:val="clear"/>
            <w:vAlign w:val="center"/>
          </w:tcPr>
          <w:p>
            <w:r>
              <w:rPr>
                <w:b/>
                <w:bCs/>
                <w:color w:val="FFFFFF"/>
                <w:sz w:val="20"/>
                <w:szCs w:val="20"/>
              </w:rPr>
              <w:t xml:space="preserve">Before Tuning (defaults)</w:t>
            </w:r>
          </w:p>
        </w:tc>
        <w:tc>
          <w:tcPr>
            <w:tcW w:type="dxa" w:w="3000"/>
            <w:shd w:fill="2E5395" w:val="clear"/>
            <w:vAlign w:val="center"/>
          </w:tcPr>
          <w:p>
            <w:r>
              <w:rPr>
                <w:b/>
                <w:bCs/>
                <w:color w:val="FFFFFF"/>
                <w:sz w:val="20"/>
                <w:szCs w:val="20"/>
              </w:rPr>
              <w:t xml:space="preserve">After Tuning (GridSearchCV)</w:t>
            </w:r>
          </w:p>
        </w:tc>
      </w:tr>
      <w:tr>
        <w:tc>
          <w:tcPr>
            <w:tcW w:type="dxa" w:w="3360"/>
            <w:vAlign w:val="center"/>
          </w:tcPr>
          <w:p>
            <w:r>
              <w:rPr>
                <w:b w:val="false"/>
                <w:bCs w:val="false"/>
                <w:sz w:val="20"/>
                <w:szCs w:val="20"/>
              </w:rPr>
              <w:t xml:space="preserve">Accuracy</w:t>
            </w:r>
          </w:p>
        </w:tc>
        <w:tc>
          <w:tcPr>
            <w:tcW w:type="dxa" w:w="3000"/>
            <w:vAlign w:val="center"/>
          </w:tcPr>
          <w:p>
            <w:r>
              <w:rPr>
                <w:b w:val="false"/>
                <w:bCs w:val="false"/>
                <w:sz w:val="20"/>
                <w:szCs w:val="20"/>
              </w:rPr>
              <w:t xml:space="preserve">0.69</w:t>
            </w:r>
          </w:p>
        </w:tc>
        <w:tc>
          <w:tcPr>
            <w:tcW w:type="dxa" w:w="3000"/>
            <w:vAlign w:val="center"/>
          </w:tcPr>
          <w:p>
            <w:r>
              <w:rPr>
                <w:b w:val="false"/>
                <w:bCs w:val="false"/>
                <w:sz w:val="20"/>
                <w:szCs w:val="20"/>
              </w:rPr>
              <w:t xml:space="preserve">0.69</w:t>
            </w:r>
          </w:p>
        </w:tc>
      </w:tr>
      <w:tr>
        <w:tc>
          <w:tcPr>
            <w:tcW w:type="dxa" w:w="3360"/>
            <w:vAlign w:val="center"/>
          </w:tcPr>
          <w:p>
            <w:r>
              <w:rPr>
                <w:b w:val="false"/>
                <w:bCs w:val="false"/>
                <w:sz w:val="20"/>
                <w:szCs w:val="20"/>
              </w:rPr>
              <w:t xml:space="preserve">Precision</w:t>
            </w:r>
          </w:p>
        </w:tc>
        <w:tc>
          <w:tcPr>
            <w:tcW w:type="dxa" w:w="3000"/>
            <w:vAlign w:val="center"/>
          </w:tcPr>
          <w:p>
            <w:r>
              <w:rPr>
                <w:b w:val="false"/>
                <w:bCs w:val="false"/>
                <w:sz w:val="20"/>
                <w:szCs w:val="20"/>
              </w:rPr>
              <w:t xml:space="preserve">0.68</w:t>
            </w:r>
          </w:p>
        </w:tc>
        <w:tc>
          <w:tcPr>
            <w:tcW w:type="dxa" w:w="3000"/>
            <w:vAlign w:val="center"/>
          </w:tcPr>
          <w:p>
            <w:r>
              <w:rPr>
                <w:b w:val="false"/>
                <w:bCs w:val="false"/>
                <w:sz w:val="20"/>
                <w:szCs w:val="20"/>
              </w:rPr>
              <w:t xml:space="preserve">0.68</w:t>
            </w:r>
          </w:p>
        </w:tc>
      </w:tr>
      <w:tr>
        <w:tc>
          <w:tcPr>
            <w:tcW w:type="dxa" w:w="3360"/>
            <w:vAlign w:val="center"/>
          </w:tcPr>
          <w:p>
            <w:r>
              <w:rPr>
                <w:b w:val="false"/>
                <w:bCs w:val="false"/>
                <w:sz w:val="20"/>
                <w:szCs w:val="20"/>
              </w:rPr>
              <w:t xml:space="preserve">Recall</w:t>
            </w:r>
          </w:p>
        </w:tc>
        <w:tc>
          <w:tcPr>
            <w:tcW w:type="dxa" w:w="3000"/>
            <w:vAlign w:val="center"/>
          </w:tcPr>
          <w:p>
            <w:r>
              <w:rPr>
                <w:b w:val="false"/>
                <w:bCs w:val="false"/>
                <w:sz w:val="20"/>
                <w:szCs w:val="20"/>
              </w:rPr>
              <w:t xml:space="preserve">0.48</w:t>
            </w:r>
          </w:p>
        </w:tc>
        <w:tc>
          <w:tcPr>
            <w:tcW w:type="dxa" w:w="3000"/>
            <w:vAlign w:val="center"/>
          </w:tcPr>
          <w:p>
            <w:r>
              <w:rPr>
                <w:b w:val="false"/>
                <w:bCs w:val="false"/>
                <w:sz w:val="20"/>
                <w:szCs w:val="20"/>
              </w:rPr>
              <w:t xml:space="preserve">0.48</w:t>
            </w:r>
          </w:p>
        </w:tc>
      </w:tr>
      <w:tr>
        <w:tc>
          <w:tcPr>
            <w:tcW w:type="dxa" w:w="3360"/>
            <w:vAlign w:val="center"/>
          </w:tcPr>
          <w:p>
            <w:r>
              <w:rPr>
                <w:b w:val="false"/>
                <w:bCs w:val="false"/>
                <w:sz w:val="20"/>
                <w:szCs w:val="20"/>
              </w:rPr>
              <w:t xml:space="preserve">F1 Score</w:t>
            </w:r>
          </w:p>
        </w:tc>
        <w:tc>
          <w:tcPr>
            <w:tcW w:type="dxa" w:w="3000"/>
            <w:vAlign w:val="center"/>
          </w:tcPr>
          <w:p>
            <w:r>
              <w:rPr>
                <w:b w:val="false"/>
                <w:bCs w:val="false"/>
                <w:sz w:val="20"/>
                <w:szCs w:val="20"/>
              </w:rPr>
              <w:t xml:space="preserve">0.56</w:t>
            </w:r>
          </w:p>
        </w:tc>
        <w:tc>
          <w:tcPr>
            <w:tcW w:type="dxa" w:w="3000"/>
            <w:vAlign w:val="center"/>
          </w:tcPr>
          <w:p>
            <w:r>
              <w:rPr>
                <w:b w:val="false"/>
                <w:bCs w:val="false"/>
                <w:sz w:val="20"/>
                <w:szCs w:val="20"/>
              </w:rPr>
              <w:t xml:space="preserve">0.56</w:t>
            </w:r>
          </w:p>
        </w:tc>
      </w:tr>
    </w:tbl>
    <w:p>
      <w:pPr>
        <w:spacing w:after="200"/>
        <w:jc w:val="center"/>
      </w:pPr>
      <w:r>
        <w:drawing>
          <wp:inline distT="0" distB="0" distL="0" distR="0">
            <wp:extent cx="49530000" cy="3302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0" cy="33023175"/>
                    </a:xfrm>
                    <a:prstGeom prst="rect">
                      <a:avLst/>
                    </a:prstGeom>
                  </pic:spPr>
                </pic:pic>
              </a:graphicData>
            </a:graphic>
          </wp:inline>
        </w:drawing>
      </w:r>
    </w:p>
    <w:p>
      <w:pPr>
        <w:spacing w:after="200"/>
        <w:jc w:val="center"/>
      </w:pPr>
      <w:r>
        <w:drawing>
          <wp:inline distT="0" distB="0" distL="0" distR="0">
            <wp:extent cx="40005000" cy="3600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0" cy="36004500"/>
                    </a:xfrm>
                    <a:prstGeom prst="rect">
                      <a:avLst/>
                    </a:prstGeom>
                  </pic:spPr>
                </pic:pic>
              </a:graphicData>
            </a:graphic>
          </wp:inline>
        </w:drawing>
      </w:r>
    </w:p>
    <w:p>
      <w:pPr>
        <w:pStyle w:val="Heading2"/>
        <w:spacing w:after="120" w:before="240"/>
      </w:pPr>
      <w:r>
        <w:t xml:space="preserve">5.2 Hyperparameter Tuning</w:t>
      </w:r>
    </w:p>
    <w:p>
      <w:pPr>
        <w:spacing w:after="120"/>
      </w:pPr>
      <w:r>
        <w:t xml:space="preserve">GridSearchCV (5-fold cross-validation, scoring = F1) tuned C over [0.01, 0.1, 1, 10], solver over [liblinear, lbfgs], and max_iter over [100, 200, 500]. Best parameters found: C=0.01, solver=liblinear, max_iter=100.</w:t>
      </w:r>
    </w:p>
    <w:p>
      <w:pPr>
        <w:pStyle w:val="Heading2"/>
        <w:spacing w:after="120" w:before="240"/>
      </w:pPr>
      <w:r>
        <w:t xml:space="preserve">5.3 Business Meaning</w:t>
      </w:r>
    </w:p>
    <w:p>
      <w:pPr>
        <w:spacing w:after="120"/>
      </w:pPr>
      <w:r>
        <w:t xml:space="preserve">Precision above 0.65 means most customers flagged as 'will respond' genuinely do respond, so marketing spend directed at them is efficient. Recall near 0.48 shows the model is conservative and misses some responders — a business could lower the classification threshold to catch more responders at the cost of some precision, depending on campaign budget and cost-per-contact.</w:t>
      </w:r>
    </w:p>
    <w:p>
      <w:pPr>
        <w:pStyle w:val="Heading1"/>
        <w:spacing w:after="150" w:before="300"/>
      </w:pPr>
      <w:r>
        <w:t xml:space="preserve">6. Clustering Model — Customer Segmentation (K-Means)</w:t>
      </w:r>
    </w:p>
    <w:p>
      <w:pPr>
        <w:spacing w:after="120"/>
      </w:pPr>
      <w:r>
        <w:t xml:space="preserve">K-Means was applied to the same standardized behavioral features to discover natural customer groups, independent of any pre-existing label.</w:t>
      </w:r>
    </w:p>
    <w:p>
      <w:pPr>
        <w:pStyle w:val="Heading2"/>
        <w:spacing w:after="120" w:before="240"/>
      </w:pPr>
      <w:r>
        <w:t xml:space="preserve">6.1 Choosing the Number of Clusters</w:t>
      </w:r>
    </w:p>
    <w:p>
      <w:pPr>
        <w:spacing w:after="200"/>
        <w:jc w:val="center"/>
      </w:pPr>
      <w:r>
        <w:drawing>
          <wp:inline distT="0" distB="0" distL="0" distR="0">
            <wp:extent cx="43815000" cy="2921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0" cy="29213175"/>
                    </a:xfrm>
                    <a:prstGeom prst="rect">
                      <a:avLst/>
                    </a:prstGeom>
                  </pic:spPr>
                </pic:pic>
              </a:graphicData>
            </a:graphic>
          </wp:inline>
        </w:drawing>
      </w:r>
    </w:p>
    <w:p>
      <w:pPr>
        <w:spacing w:after="200"/>
        <w:jc w:val="center"/>
      </w:pPr>
      <w:r>
        <w:drawing>
          <wp:inline distT="0" distB="0" distL="0" distR="0">
            <wp:extent cx="43815000" cy="2921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0" cy="29213175"/>
                    </a:xfrm>
                    <a:prstGeom prst="rect">
                      <a:avLst/>
                    </a:prstGeom>
                  </pic:spPr>
                </pic:pic>
              </a:graphicData>
            </a:graphic>
          </wp:inline>
        </w:drawing>
      </w:r>
    </w:p>
    <w:p>
      <w:pPr>
        <w:spacing w:after="120"/>
      </w:pPr>
      <w:r>
        <w:t xml:space="preserve">The Elbow Method shows diminishing returns after k=2–3. The Silhouette Score, used as the deciding metric, is highest at k=2 (score = 0.467), indicating the data naturally separates into two well-defined behavioral groups rather than the five artificial tiers in the original Segment_Label column.</w:t>
      </w:r>
    </w:p>
    <w:p>
      <w:pPr>
        <w:spacing w:after="200"/>
        <w:jc w:val="center"/>
      </w:pPr>
      <w:r>
        <w:drawing>
          <wp:inline distT="0" distB="0" distL="0" distR="0">
            <wp:extent cx="43815000" cy="3369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0" cy="33699450"/>
                    </a:xfrm>
                    <a:prstGeom prst="rect">
                      <a:avLst/>
                    </a:prstGeom>
                  </pic:spPr>
                </pic:pic>
              </a:graphicData>
            </a:graphic>
          </wp:inline>
        </w:drawing>
      </w:r>
    </w:p>
    <w:p>
      <w:pPr>
        <w:pStyle w:val="Heading2"/>
        <w:spacing w:after="120" w:before="240"/>
      </w:pPr>
      <w:r>
        <w:t xml:space="preserve">6.2 Cluster Profiles (k=2, business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400"/>
        <w:gridCol w:w="1500"/>
        <w:gridCol w:w="1300"/>
        <w:gridCol w:w="900"/>
        <w:gridCol w:w="1560"/>
      </w:tblGrid>
      <w:tr>
        <w:tc>
          <w:tcPr>
            <w:tcW w:type="dxa" w:w="1300"/>
            <w:shd w:fill="2E5395" w:val="clear"/>
            <w:vAlign w:val="center"/>
          </w:tcPr>
          <w:p>
            <w:r>
              <w:rPr>
                <w:b/>
                <w:bCs/>
                <w:color w:val="FFFFFF"/>
                <w:sz w:val="20"/>
                <w:szCs w:val="20"/>
              </w:rPr>
              <w:t xml:space="preserve">Cluster</w:t>
            </w:r>
          </w:p>
        </w:tc>
        <w:tc>
          <w:tcPr>
            <w:tcW w:type="dxa" w:w="1400"/>
            <w:shd w:fill="2E5395" w:val="clear"/>
            <w:vAlign w:val="center"/>
          </w:tcPr>
          <w:p>
            <w:r>
              <w:rPr>
                <w:b/>
                <w:bCs/>
                <w:color w:val="FFFFFF"/>
                <w:sz w:val="20"/>
                <w:szCs w:val="20"/>
              </w:rPr>
              <w:t xml:space="preserve">Avg Monetary</w:t>
            </w:r>
          </w:p>
        </w:tc>
        <w:tc>
          <w:tcPr>
            <w:tcW w:type="dxa" w:w="1400"/>
            <w:shd w:fill="2E5395" w:val="clear"/>
            <w:vAlign w:val="center"/>
          </w:tcPr>
          <w:p>
            <w:r>
              <w:rPr>
                <w:b/>
                <w:bCs/>
                <w:color w:val="FFFFFF"/>
                <w:sz w:val="20"/>
                <w:szCs w:val="20"/>
              </w:rPr>
              <w:t xml:space="preserve">Avg Frequency</w:t>
            </w:r>
          </w:p>
        </w:tc>
        <w:tc>
          <w:tcPr>
            <w:tcW w:type="dxa" w:w="1500"/>
            <w:shd w:fill="2E5395" w:val="clear"/>
            <w:vAlign w:val="center"/>
          </w:tcPr>
          <w:p>
            <w:r>
              <w:rPr>
                <w:b/>
                <w:bCs/>
                <w:color w:val="FFFFFF"/>
                <w:sz w:val="20"/>
                <w:szCs w:val="20"/>
              </w:rPr>
              <w:t xml:space="preserve">Avg Recency (days)</w:t>
            </w:r>
          </w:p>
        </w:tc>
        <w:tc>
          <w:tcPr>
            <w:tcW w:type="dxa" w:w="1300"/>
            <w:shd w:fill="2E5395" w:val="clear"/>
            <w:vAlign w:val="center"/>
          </w:tcPr>
          <w:p>
            <w:r>
              <w:rPr>
                <w:b/>
                <w:bCs/>
                <w:color w:val="FFFFFF"/>
                <w:sz w:val="20"/>
                <w:szCs w:val="20"/>
              </w:rPr>
              <w:t xml:space="preserve">Cart Abandon %</w:t>
            </w:r>
          </w:p>
        </w:tc>
        <w:tc>
          <w:tcPr>
            <w:tcW w:type="dxa" w:w="900"/>
            <w:shd w:fill="2E5395" w:val="clear"/>
            <w:vAlign w:val="center"/>
          </w:tcPr>
          <w:p>
            <w:r>
              <w:rPr>
                <w:b/>
                <w:bCs/>
                <w:color w:val="FFFFFF"/>
                <w:sz w:val="20"/>
                <w:szCs w:val="20"/>
              </w:rPr>
              <w:t xml:space="preserve">Size</w:t>
            </w:r>
          </w:p>
        </w:tc>
        <w:tc>
          <w:tcPr>
            <w:tcW w:type="dxa" w:w="1560"/>
            <w:shd w:fill="2E5395" w:val="clear"/>
            <w:vAlign w:val="center"/>
          </w:tcPr>
          <w:p>
            <w:r>
              <w:rPr>
                <w:b/>
                <w:bCs/>
                <w:color w:val="FFFFFF"/>
                <w:sz w:val="20"/>
                <w:szCs w:val="20"/>
              </w:rPr>
              <w:t xml:space="preserve">Likely Segment</w:t>
            </w:r>
          </w:p>
        </w:tc>
      </w:tr>
      <w:tr>
        <w:tc>
          <w:tcPr>
            <w:tcW w:type="dxa" w:w="1300"/>
            <w:vAlign w:val="center"/>
          </w:tcPr>
          <w:p>
            <w:r>
              <w:rPr>
                <w:b w:val="false"/>
                <w:bCs w:val="false"/>
                <w:sz w:val="20"/>
                <w:szCs w:val="20"/>
              </w:rPr>
              <w:t xml:space="preserve">Cluster 0</w:t>
            </w:r>
          </w:p>
        </w:tc>
        <w:tc>
          <w:tcPr>
            <w:tcW w:type="dxa" w:w="1400"/>
            <w:vAlign w:val="center"/>
          </w:tcPr>
          <w:p>
            <w:r>
              <w:rPr>
                <w:b w:val="false"/>
                <w:bCs w:val="false"/>
                <w:sz w:val="20"/>
                <w:szCs w:val="20"/>
              </w:rPr>
              <w:t xml:space="preserve">$4844</w:t>
            </w:r>
          </w:p>
        </w:tc>
        <w:tc>
          <w:tcPr>
            <w:tcW w:type="dxa" w:w="1400"/>
            <w:vAlign w:val="center"/>
          </w:tcPr>
          <w:p>
            <w:r>
              <w:rPr>
                <w:b w:val="false"/>
                <w:bCs w:val="false"/>
                <w:sz w:val="20"/>
                <w:szCs w:val="20"/>
              </w:rPr>
              <w:t xml:space="preserve">57.8</w:t>
            </w:r>
          </w:p>
        </w:tc>
        <w:tc>
          <w:tcPr>
            <w:tcW w:type="dxa" w:w="1500"/>
            <w:vAlign w:val="center"/>
          </w:tcPr>
          <w:p>
            <w:r>
              <w:rPr>
                <w:b w:val="false"/>
                <w:bCs w:val="false"/>
                <w:sz w:val="20"/>
                <w:szCs w:val="20"/>
              </w:rPr>
              <w:t xml:space="preserve">15</w:t>
            </w:r>
          </w:p>
        </w:tc>
        <w:tc>
          <w:tcPr>
            <w:tcW w:type="dxa" w:w="1300"/>
            <w:vAlign w:val="center"/>
          </w:tcPr>
          <w:p>
            <w:r>
              <w:rPr>
                <w:b w:val="false"/>
                <w:bCs w:val="false"/>
                <w:sz w:val="20"/>
                <w:szCs w:val="20"/>
              </w:rPr>
              <w:t xml:space="preserve">8.2%</w:t>
            </w:r>
          </w:p>
        </w:tc>
        <w:tc>
          <w:tcPr>
            <w:tcW w:type="dxa" w:w="900"/>
            <w:vAlign w:val="center"/>
          </w:tcPr>
          <w:p>
            <w:r>
              <w:rPr>
                <w:b w:val="false"/>
                <w:bCs w:val="false"/>
                <w:sz w:val="20"/>
                <w:szCs w:val="20"/>
              </w:rPr>
              <w:t xml:space="preserve">3057</w:t>
            </w:r>
          </w:p>
        </w:tc>
        <w:tc>
          <w:tcPr>
            <w:tcW w:type="dxa" w:w="1560"/>
            <w:vAlign w:val="center"/>
          </w:tcPr>
          <w:p>
            <w:r>
              <w:rPr>
                <w:b w:val="false"/>
                <w:bCs w:val="false"/>
                <w:sz w:val="20"/>
                <w:szCs w:val="20"/>
              </w:rPr>
              <w:t xml:space="preserve">High-value, engaged customers</w:t>
            </w:r>
          </w:p>
        </w:tc>
      </w:tr>
      <w:tr>
        <w:tc>
          <w:tcPr>
            <w:tcW w:type="dxa" w:w="1300"/>
            <w:vAlign w:val="center"/>
          </w:tcPr>
          <w:p>
            <w:r>
              <w:rPr>
                <w:b w:val="false"/>
                <w:bCs w:val="false"/>
                <w:sz w:val="20"/>
                <w:szCs w:val="20"/>
              </w:rPr>
              <w:t xml:space="preserve">Cluster 1</w:t>
            </w:r>
          </w:p>
        </w:tc>
        <w:tc>
          <w:tcPr>
            <w:tcW w:type="dxa" w:w="1400"/>
            <w:vAlign w:val="center"/>
          </w:tcPr>
          <w:p>
            <w:r>
              <w:rPr>
                <w:b w:val="false"/>
                <w:bCs w:val="false"/>
                <w:sz w:val="20"/>
                <w:szCs w:val="20"/>
              </w:rPr>
              <w:t xml:space="preserve">$659</w:t>
            </w:r>
          </w:p>
        </w:tc>
        <w:tc>
          <w:tcPr>
            <w:tcW w:type="dxa" w:w="1400"/>
            <w:vAlign w:val="center"/>
          </w:tcPr>
          <w:p>
            <w:r>
              <w:rPr>
                <w:b w:val="false"/>
                <w:bCs w:val="false"/>
                <w:sz w:val="20"/>
                <w:szCs w:val="20"/>
              </w:rPr>
              <w:t xml:space="preserve">16.0</w:t>
            </w:r>
          </w:p>
        </w:tc>
        <w:tc>
          <w:tcPr>
            <w:tcW w:type="dxa" w:w="1500"/>
            <w:vAlign w:val="center"/>
          </w:tcPr>
          <w:p>
            <w:r>
              <w:rPr>
                <w:b w:val="false"/>
                <w:bCs w:val="false"/>
                <w:sz w:val="20"/>
                <w:szCs w:val="20"/>
              </w:rPr>
              <w:t xml:space="preserve">63</w:t>
            </w:r>
          </w:p>
        </w:tc>
        <w:tc>
          <w:tcPr>
            <w:tcW w:type="dxa" w:w="1300"/>
            <w:vAlign w:val="center"/>
          </w:tcPr>
          <w:p>
            <w:r>
              <w:rPr>
                <w:b w:val="false"/>
                <w:bCs w:val="false"/>
                <w:sz w:val="20"/>
                <w:szCs w:val="20"/>
              </w:rPr>
              <w:t xml:space="preserve">21.8%</w:t>
            </w:r>
          </w:p>
        </w:tc>
        <w:tc>
          <w:tcPr>
            <w:tcW w:type="dxa" w:w="900"/>
            <w:vAlign w:val="center"/>
          </w:tcPr>
          <w:p>
            <w:r>
              <w:rPr>
                <w:b w:val="false"/>
                <w:bCs w:val="false"/>
                <w:sz w:val="20"/>
                <w:szCs w:val="20"/>
              </w:rPr>
              <w:t xml:space="preserve">6943</w:t>
            </w:r>
          </w:p>
        </w:tc>
        <w:tc>
          <w:tcPr>
            <w:tcW w:type="dxa" w:w="1560"/>
            <w:vAlign w:val="center"/>
          </w:tcPr>
          <w:p>
            <w:r>
              <w:rPr>
                <w:b w:val="false"/>
                <w:bCs w:val="false"/>
                <w:sz w:val="20"/>
                <w:szCs w:val="20"/>
              </w:rPr>
              <w:t xml:space="preserve">Low-engagement, at-risk customers</w:t>
            </w:r>
          </w:p>
        </w:tc>
      </w:tr>
    </w:tbl>
    <w:p>
      <w:pPr>
        <w:pStyle w:val="Heading2"/>
        <w:spacing w:after="120" w:before="240"/>
      </w:pPr>
      <w:r>
        <w:t xml:space="preserve">6.3 Validation Against Existing Segment Labels (k=5)</w:t>
      </w:r>
    </w:p>
    <w:p>
      <w:pPr>
        <w:spacing w:after="120"/>
      </w:pPr>
      <w:r>
        <w:t xml:space="preserve">To connect with the dataset's existing 5-tier labeling (Iron/Copper/Silver/Gold/Platinum), K-Means was also run forcing k=5. The resulting clusters align almost perfectly with the original tiers (each cluster maps to one label with over 97% purity in every case), confirming the behavioral features genuinely capture the same customer-value signal the original labels were built on.</w:t>
      </w:r>
    </w:p>
    <w:p>
      <w:pPr>
        <w:pStyle w:val="Heading2"/>
        <w:spacing w:after="120" w:before="240"/>
      </w:pPr>
      <w:r>
        <w:t xml:space="preserve">6.4 Evaluation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shd w:fill="2E5395" w:val="clear"/>
            <w:vAlign w:val="center"/>
          </w:tcPr>
          <w:p>
            <w:r>
              <w:rPr>
                <w:b/>
                <w:bCs/>
                <w:color w:val="FFFFFF"/>
                <w:sz w:val="20"/>
                <w:szCs w:val="20"/>
              </w:rPr>
              <w:t xml:space="preserve">k</w:t>
            </w:r>
          </w:p>
        </w:tc>
        <w:tc>
          <w:tcPr>
            <w:tcW w:type="dxa" w:w="3680"/>
            <w:shd w:fill="2E5395" w:val="clear"/>
            <w:vAlign w:val="center"/>
          </w:tcPr>
          <w:p>
            <w:r>
              <w:rPr>
                <w:b/>
                <w:bCs/>
                <w:color w:val="FFFFFF"/>
                <w:sz w:val="20"/>
                <w:szCs w:val="20"/>
              </w:rPr>
              <w:t xml:space="preserve">Inertia</w:t>
            </w:r>
          </w:p>
        </w:tc>
        <w:tc>
          <w:tcPr>
            <w:tcW w:type="dxa" w:w="3680"/>
            <w:shd w:fill="2E5395" w:val="clear"/>
            <w:vAlign w:val="center"/>
          </w:tcPr>
          <w:p>
            <w:r>
              <w:rPr>
                <w:b/>
                <w:bCs/>
                <w:color w:val="FFFFFF"/>
                <w:sz w:val="20"/>
                <w:szCs w:val="20"/>
              </w:rPr>
              <w:t xml:space="preserve">Silhouette Score</w:t>
            </w:r>
          </w:p>
        </w:tc>
      </w:tr>
      <w:tr>
        <w:tc>
          <w:tcPr>
            <w:tcW w:type="dxa" w:w="2000"/>
            <w:vAlign w:val="center"/>
          </w:tcPr>
          <w:p>
            <w:r>
              <w:rPr>
                <w:b w:val="false"/>
                <w:bCs w:val="false"/>
                <w:sz w:val="20"/>
                <w:szCs w:val="20"/>
              </w:rPr>
              <w:t xml:space="preserve">2</w:t>
            </w:r>
          </w:p>
        </w:tc>
        <w:tc>
          <w:tcPr>
            <w:tcW w:type="dxa" w:w="3680"/>
            <w:vAlign w:val="center"/>
          </w:tcPr>
          <w:p>
            <w:r>
              <w:rPr>
                <w:b w:val="false"/>
                <w:bCs w:val="false"/>
                <w:sz w:val="20"/>
                <w:szCs w:val="20"/>
              </w:rPr>
              <w:t xml:space="preserve">46537</w:t>
            </w:r>
          </w:p>
        </w:tc>
        <w:tc>
          <w:tcPr>
            <w:tcW w:type="dxa" w:w="3680"/>
            <w:vAlign w:val="center"/>
          </w:tcPr>
          <w:p>
            <w:r>
              <w:rPr>
                <w:b w:val="false"/>
                <w:bCs w:val="false"/>
                <w:sz w:val="20"/>
                <w:szCs w:val="20"/>
              </w:rPr>
              <w:t xml:space="preserve">0.467</w:t>
            </w:r>
          </w:p>
        </w:tc>
      </w:tr>
      <w:tr>
        <w:tc>
          <w:tcPr>
            <w:tcW w:type="dxa" w:w="2000"/>
            <w:vAlign w:val="center"/>
          </w:tcPr>
          <w:p>
            <w:r>
              <w:rPr>
                <w:b w:val="false"/>
                <w:bCs w:val="false"/>
                <w:sz w:val="20"/>
                <w:szCs w:val="20"/>
              </w:rPr>
              <w:t xml:space="preserve">3</w:t>
            </w:r>
          </w:p>
        </w:tc>
        <w:tc>
          <w:tcPr>
            <w:tcW w:type="dxa" w:w="3680"/>
            <w:vAlign w:val="center"/>
          </w:tcPr>
          <w:p>
            <w:r>
              <w:rPr>
                <w:b w:val="false"/>
                <w:bCs w:val="false"/>
                <w:sz w:val="20"/>
                <w:szCs w:val="20"/>
              </w:rPr>
              <w:t xml:space="preserve">33210</w:t>
            </w:r>
          </w:p>
        </w:tc>
        <w:tc>
          <w:tcPr>
            <w:tcW w:type="dxa" w:w="3680"/>
            <w:vAlign w:val="center"/>
          </w:tcPr>
          <w:p>
            <w:r>
              <w:rPr>
                <w:b w:val="false"/>
                <w:bCs w:val="false"/>
                <w:sz w:val="20"/>
                <w:szCs w:val="20"/>
              </w:rPr>
              <w:t xml:space="preserve">0.340</w:t>
            </w:r>
          </w:p>
        </w:tc>
      </w:tr>
      <w:tr>
        <w:tc>
          <w:tcPr>
            <w:tcW w:type="dxa" w:w="2000"/>
            <w:vAlign w:val="center"/>
          </w:tcPr>
          <w:p>
            <w:r>
              <w:rPr>
                <w:b w:val="false"/>
                <w:bCs w:val="false"/>
                <w:sz w:val="20"/>
                <w:szCs w:val="20"/>
              </w:rPr>
              <w:t xml:space="preserve">4</w:t>
            </w:r>
          </w:p>
        </w:tc>
        <w:tc>
          <w:tcPr>
            <w:tcW w:type="dxa" w:w="3680"/>
            <w:vAlign w:val="center"/>
          </w:tcPr>
          <w:p>
            <w:r>
              <w:rPr>
                <w:b w:val="false"/>
                <w:bCs w:val="false"/>
                <w:sz w:val="20"/>
                <w:szCs w:val="20"/>
              </w:rPr>
              <w:t xml:space="preserve">26685</w:t>
            </w:r>
          </w:p>
        </w:tc>
        <w:tc>
          <w:tcPr>
            <w:tcW w:type="dxa" w:w="3680"/>
            <w:vAlign w:val="center"/>
          </w:tcPr>
          <w:p>
            <w:r>
              <w:rPr>
                <w:b w:val="false"/>
                <w:bCs w:val="false"/>
                <w:sz w:val="20"/>
                <w:szCs w:val="20"/>
              </w:rPr>
              <w:t xml:space="preserve">0.328</w:t>
            </w:r>
          </w:p>
        </w:tc>
      </w:tr>
      <w:tr>
        <w:tc>
          <w:tcPr>
            <w:tcW w:type="dxa" w:w="2000"/>
            <w:vAlign w:val="center"/>
          </w:tcPr>
          <w:p>
            <w:r>
              <w:rPr>
                <w:b w:val="false"/>
                <w:bCs w:val="false"/>
                <w:sz w:val="20"/>
                <w:szCs w:val="20"/>
              </w:rPr>
              <w:t xml:space="preserve">5</w:t>
            </w:r>
          </w:p>
        </w:tc>
        <w:tc>
          <w:tcPr>
            <w:tcW w:type="dxa" w:w="3680"/>
            <w:vAlign w:val="center"/>
          </w:tcPr>
          <w:p>
            <w:r>
              <w:rPr>
                <w:b w:val="false"/>
                <w:bCs w:val="false"/>
                <w:sz w:val="20"/>
                <w:szCs w:val="20"/>
              </w:rPr>
              <w:t xml:space="preserve">21884</w:t>
            </w:r>
          </w:p>
        </w:tc>
        <w:tc>
          <w:tcPr>
            <w:tcW w:type="dxa" w:w="3680"/>
            <w:vAlign w:val="center"/>
          </w:tcPr>
          <w:p>
            <w:r>
              <w:rPr>
                <w:b w:val="false"/>
                <w:bCs w:val="false"/>
                <w:sz w:val="20"/>
                <w:szCs w:val="20"/>
              </w:rPr>
              <w:t xml:space="preserve">0.308</w:t>
            </w:r>
          </w:p>
        </w:tc>
      </w:tr>
      <w:tr>
        <w:tc>
          <w:tcPr>
            <w:tcW w:type="dxa" w:w="2000"/>
            <w:vAlign w:val="center"/>
          </w:tcPr>
          <w:p>
            <w:r>
              <w:rPr>
                <w:b w:val="false"/>
                <w:bCs w:val="false"/>
                <w:sz w:val="20"/>
                <w:szCs w:val="20"/>
              </w:rPr>
              <w:t xml:space="preserve">6</w:t>
            </w:r>
          </w:p>
        </w:tc>
        <w:tc>
          <w:tcPr>
            <w:tcW w:type="dxa" w:w="3680"/>
            <w:vAlign w:val="center"/>
          </w:tcPr>
          <w:p>
            <w:r>
              <w:rPr>
                <w:b w:val="false"/>
                <w:bCs w:val="false"/>
                <w:sz w:val="20"/>
                <w:szCs w:val="20"/>
              </w:rPr>
              <w:t xml:space="preserve">19752</w:t>
            </w:r>
          </w:p>
        </w:tc>
        <w:tc>
          <w:tcPr>
            <w:tcW w:type="dxa" w:w="3680"/>
            <w:vAlign w:val="center"/>
          </w:tcPr>
          <w:p>
            <w:r>
              <w:rPr>
                <w:b w:val="false"/>
                <w:bCs w:val="false"/>
                <w:sz w:val="20"/>
                <w:szCs w:val="20"/>
              </w:rPr>
              <w:t xml:space="preserve">0.300</w:t>
            </w:r>
          </w:p>
        </w:tc>
      </w:tr>
      <w:tr>
        <w:tc>
          <w:tcPr>
            <w:tcW w:type="dxa" w:w="2000"/>
            <w:vAlign w:val="center"/>
          </w:tcPr>
          <w:p>
            <w:r>
              <w:rPr>
                <w:b w:val="false"/>
                <w:bCs w:val="false"/>
                <w:sz w:val="20"/>
                <w:szCs w:val="20"/>
              </w:rPr>
              <w:t xml:space="preserve">7</w:t>
            </w:r>
          </w:p>
        </w:tc>
        <w:tc>
          <w:tcPr>
            <w:tcW w:type="dxa" w:w="3680"/>
            <w:vAlign w:val="center"/>
          </w:tcPr>
          <w:p>
            <w:r>
              <w:rPr>
                <w:b w:val="false"/>
                <w:bCs w:val="false"/>
                <w:sz w:val="20"/>
                <w:szCs w:val="20"/>
              </w:rPr>
              <w:t xml:space="preserve">18286</w:t>
            </w:r>
          </w:p>
        </w:tc>
        <w:tc>
          <w:tcPr>
            <w:tcW w:type="dxa" w:w="3680"/>
            <w:vAlign w:val="center"/>
          </w:tcPr>
          <w:p>
            <w:r>
              <w:rPr>
                <w:b w:val="false"/>
                <w:bCs w:val="false"/>
                <w:sz w:val="20"/>
                <w:szCs w:val="20"/>
              </w:rPr>
              <w:t xml:space="preserve">0.297</w:t>
            </w:r>
          </w:p>
        </w:tc>
      </w:tr>
      <w:tr>
        <w:tc>
          <w:tcPr>
            <w:tcW w:type="dxa" w:w="2000"/>
            <w:vAlign w:val="center"/>
          </w:tcPr>
          <w:p>
            <w:r>
              <w:rPr>
                <w:b w:val="false"/>
                <w:bCs w:val="false"/>
                <w:sz w:val="20"/>
                <w:szCs w:val="20"/>
              </w:rPr>
              <w:t xml:space="preserve">8</w:t>
            </w:r>
          </w:p>
        </w:tc>
        <w:tc>
          <w:tcPr>
            <w:tcW w:type="dxa" w:w="3680"/>
            <w:vAlign w:val="center"/>
          </w:tcPr>
          <w:p>
            <w:r>
              <w:rPr>
                <w:b w:val="false"/>
                <w:bCs w:val="false"/>
                <w:sz w:val="20"/>
                <w:szCs w:val="20"/>
              </w:rPr>
              <w:t xml:space="preserve">16902</w:t>
            </w:r>
          </w:p>
        </w:tc>
        <w:tc>
          <w:tcPr>
            <w:tcW w:type="dxa" w:w="3680"/>
            <w:vAlign w:val="center"/>
          </w:tcPr>
          <w:p>
            <w:r>
              <w:rPr>
                <w:b w:val="false"/>
                <w:bCs w:val="false"/>
                <w:sz w:val="20"/>
                <w:szCs w:val="20"/>
              </w:rPr>
              <w:t xml:space="preserve">0.277</w:t>
            </w:r>
          </w:p>
        </w:tc>
      </w:tr>
      <w:tr>
        <w:tc>
          <w:tcPr>
            <w:tcW w:type="dxa" w:w="2000"/>
            <w:vAlign w:val="center"/>
          </w:tcPr>
          <w:p>
            <w:r>
              <w:rPr>
                <w:b w:val="false"/>
                <w:bCs w:val="false"/>
                <w:sz w:val="20"/>
                <w:szCs w:val="20"/>
              </w:rPr>
              <w:t xml:space="preserve">9</w:t>
            </w:r>
          </w:p>
        </w:tc>
        <w:tc>
          <w:tcPr>
            <w:tcW w:type="dxa" w:w="3680"/>
            <w:vAlign w:val="center"/>
          </w:tcPr>
          <w:p>
            <w:r>
              <w:rPr>
                <w:b w:val="false"/>
                <w:bCs w:val="false"/>
                <w:sz w:val="20"/>
                <w:szCs w:val="20"/>
              </w:rPr>
              <w:t xml:space="preserve">16394</w:t>
            </w:r>
          </w:p>
        </w:tc>
        <w:tc>
          <w:tcPr>
            <w:tcW w:type="dxa" w:w="3680"/>
            <w:vAlign w:val="center"/>
          </w:tcPr>
          <w:p>
            <w:r>
              <w:rPr>
                <w:b w:val="false"/>
                <w:bCs w:val="false"/>
                <w:sz w:val="20"/>
                <w:szCs w:val="20"/>
              </w:rPr>
              <w:t xml:space="preserve">0.256</w:t>
            </w:r>
          </w:p>
        </w:tc>
      </w:tr>
      <w:tr>
        <w:tc>
          <w:tcPr>
            <w:tcW w:type="dxa" w:w="2000"/>
            <w:vAlign w:val="center"/>
          </w:tcPr>
          <w:p>
            <w:r>
              <w:rPr>
                <w:b w:val="false"/>
                <w:bCs w:val="false"/>
                <w:sz w:val="20"/>
                <w:szCs w:val="20"/>
              </w:rPr>
              <w:t xml:space="preserve">10</w:t>
            </w:r>
          </w:p>
        </w:tc>
        <w:tc>
          <w:tcPr>
            <w:tcW w:type="dxa" w:w="3680"/>
            <w:vAlign w:val="center"/>
          </w:tcPr>
          <w:p>
            <w:r>
              <w:rPr>
                <w:b w:val="false"/>
                <w:bCs w:val="false"/>
                <w:sz w:val="20"/>
                <w:szCs w:val="20"/>
              </w:rPr>
              <w:t xml:space="preserve">15922</w:t>
            </w:r>
          </w:p>
        </w:tc>
        <w:tc>
          <w:tcPr>
            <w:tcW w:type="dxa" w:w="3680"/>
            <w:vAlign w:val="center"/>
          </w:tcPr>
          <w:p>
            <w:r>
              <w:rPr>
                <w:b w:val="false"/>
                <w:bCs w:val="false"/>
                <w:sz w:val="20"/>
                <w:szCs w:val="20"/>
              </w:rPr>
              <w:t xml:space="preserve">0.215</w:t>
            </w:r>
          </w:p>
        </w:tc>
      </w:tr>
    </w:tbl>
    <w:p>
      <w:pPr>
        <w:pStyle w:val="Heading2"/>
        <w:spacing w:after="120" w:before="240"/>
      </w:pPr>
      <w:r>
        <w:t xml:space="preserve">6.5 Business Meaning</w:t>
      </w:r>
    </w:p>
    <w:p>
      <w:pPr>
        <w:spacing w:after="120"/>
      </w:pPr>
      <w:r>
        <w:t xml:space="preserve">Clustering lets the business move beyond a single purchase-likelihood score to an actionable segmentation: Cluster 0 customers deserve loyalty perks and premium recommendations, while Cluster 1 customers need re-engagement campaigns (cart-abandonment reminders, win-back discounts) before targeted product recommendations will be effective.</w:t>
      </w:r>
    </w:p>
    <w:p>
      <w:pPr>
        <w:pStyle w:val="Heading1"/>
        <w:spacing w:after="150" w:before="300"/>
      </w:pPr>
      <w:r>
        <w:t xml:space="preserve">7. Model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200"/>
        <w:gridCol w:w="1900"/>
        <w:gridCol w:w="1400"/>
        <w:gridCol w:w="760"/>
      </w:tblGrid>
      <w:tr>
        <w:tc>
          <w:tcPr>
            <w:tcW w:type="dxa" w:w="1500"/>
            <w:shd w:fill="2E5395" w:val="clear"/>
            <w:vAlign w:val="center"/>
          </w:tcPr>
          <w:p>
            <w:r>
              <w:rPr>
                <w:b/>
                <w:bCs/>
                <w:color w:val="FFFFFF"/>
                <w:sz w:val="20"/>
                <w:szCs w:val="20"/>
              </w:rPr>
              <w:t xml:space="preserve">ML Task</w:t>
            </w:r>
          </w:p>
        </w:tc>
        <w:tc>
          <w:tcPr>
            <w:tcW w:type="dxa" w:w="1600"/>
            <w:shd w:fill="2E5395" w:val="clear"/>
            <w:vAlign w:val="center"/>
          </w:tcPr>
          <w:p>
            <w:r>
              <w:rPr>
                <w:b/>
                <w:bCs/>
                <w:color w:val="FFFFFF"/>
                <w:sz w:val="20"/>
                <w:szCs w:val="20"/>
              </w:rPr>
              <w:t xml:space="preserve">Algorithm</w:t>
            </w:r>
          </w:p>
        </w:tc>
        <w:tc>
          <w:tcPr>
            <w:tcW w:type="dxa" w:w="2200"/>
            <w:shd w:fill="2E5395" w:val="clear"/>
            <w:vAlign w:val="center"/>
          </w:tcPr>
          <w:p>
            <w:r>
              <w:rPr>
                <w:b/>
                <w:bCs/>
                <w:color w:val="FFFFFF"/>
                <w:sz w:val="20"/>
                <w:szCs w:val="20"/>
              </w:rPr>
              <w:t xml:space="preserve">Target / Goal</w:t>
            </w:r>
          </w:p>
        </w:tc>
        <w:tc>
          <w:tcPr>
            <w:tcW w:type="dxa" w:w="1900"/>
            <w:shd w:fill="2E5395" w:val="clear"/>
            <w:vAlign w:val="center"/>
          </w:tcPr>
          <w:p>
            <w:r>
              <w:rPr>
                <w:b/>
                <w:bCs/>
                <w:color w:val="FFFFFF"/>
                <w:sz w:val="20"/>
                <w:szCs w:val="20"/>
              </w:rPr>
              <w:t xml:space="preserve">Metrics Used</w:t>
            </w:r>
          </w:p>
        </w:tc>
        <w:tc>
          <w:tcPr>
            <w:tcW w:type="dxa" w:w="1400"/>
            <w:shd w:fill="2E5395" w:val="clear"/>
            <w:vAlign w:val="center"/>
          </w:tcPr>
          <w:p>
            <w:r>
              <w:rPr>
                <w:b/>
                <w:bCs/>
                <w:color w:val="FFFFFF"/>
                <w:sz w:val="20"/>
                <w:szCs w:val="20"/>
              </w:rPr>
              <w:t xml:space="preserve">Best Result</w:t>
            </w:r>
          </w:p>
        </w:tc>
        <w:tc>
          <w:tcPr>
            <w:tcW w:type="dxa" w:w="760"/>
            <w:shd w:fill="2E5395" w:val="clear"/>
            <w:vAlign w:val="center"/>
          </w:tcPr>
          <w:p>
            <w:r>
              <w:rPr>
                <w:b/>
                <w:bCs/>
                <w:color w:val="FFFFFF"/>
                <w:sz w:val="20"/>
                <w:szCs w:val="20"/>
              </w:rPr>
              <w:t xml:space="preserve">Business Use</w:t>
            </w:r>
          </w:p>
        </w:tc>
      </w:tr>
      <w:tr>
        <w:tc>
          <w:tcPr>
            <w:tcW w:type="dxa" w:w="1500"/>
            <w:vAlign w:val="center"/>
          </w:tcPr>
          <w:p>
            <w:r>
              <w:rPr>
                <w:b w:val="false"/>
                <w:bCs w:val="false"/>
                <w:sz w:val="20"/>
                <w:szCs w:val="20"/>
              </w:rPr>
              <w:t xml:space="preserve">Regression</w:t>
            </w:r>
          </w:p>
        </w:tc>
        <w:tc>
          <w:tcPr>
            <w:tcW w:type="dxa" w:w="1600"/>
            <w:vAlign w:val="center"/>
          </w:tcPr>
          <w:p>
            <w:r>
              <w:rPr>
                <w:b w:val="false"/>
                <w:bCs w:val="false"/>
                <w:sz w:val="20"/>
                <w:szCs w:val="20"/>
              </w:rPr>
              <w:t xml:space="preserve">Ridge Regression</w:t>
            </w:r>
          </w:p>
        </w:tc>
        <w:tc>
          <w:tcPr>
            <w:tcW w:type="dxa" w:w="2200"/>
            <w:vAlign w:val="center"/>
          </w:tcPr>
          <w:p>
            <w:r>
              <w:rPr>
                <w:b w:val="false"/>
                <w:bCs w:val="false"/>
                <w:sz w:val="20"/>
                <w:szCs w:val="20"/>
              </w:rPr>
              <w:t xml:space="preserve">Predict customer monetary value</w:t>
            </w:r>
          </w:p>
        </w:tc>
        <w:tc>
          <w:tcPr>
            <w:tcW w:type="dxa" w:w="1900"/>
            <w:vAlign w:val="center"/>
          </w:tcPr>
          <w:p>
            <w:r>
              <w:rPr>
                <w:b w:val="false"/>
                <w:bCs w:val="false"/>
                <w:sz w:val="20"/>
                <w:szCs w:val="20"/>
              </w:rPr>
              <w:t xml:space="preserve">MAE, RMSE, R²</w:t>
            </w:r>
          </w:p>
        </w:tc>
        <w:tc>
          <w:tcPr>
            <w:tcW w:type="dxa" w:w="1400"/>
            <w:vAlign w:val="center"/>
          </w:tcPr>
          <w:p>
            <w:r>
              <w:rPr>
                <w:b w:val="false"/>
                <w:bCs w:val="false"/>
                <w:sz w:val="20"/>
                <w:szCs w:val="20"/>
              </w:rPr>
              <w:t xml:space="preserve">R² = 0.865</w:t>
            </w:r>
          </w:p>
        </w:tc>
        <w:tc>
          <w:tcPr>
            <w:tcW w:type="dxa" w:w="760"/>
            <w:vAlign w:val="center"/>
          </w:tcPr>
          <w:p>
            <w:r>
              <w:rPr>
                <w:b w:val="false"/>
                <w:bCs w:val="false"/>
                <w:sz w:val="20"/>
                <w:szCs w:val="20"/>
              </w:rPr>
              <w:t xml:space="preserve">Prioritize high-value customers for premium recommendations</w:t>
            </w:r>
          </w:p>
        </w:tc>
      </w:tr>
      <w:tr>
        <w:tc>
          <w:tcPr>
            <w:tcW w:type="dxa" w:w="1500"/>
            <w:vAlign w:val="center"/>
          </w:tcPr>
          <w:p>
            <w:r>
              <w:rPr>
                <w:b w:val="false"/>
                <w:bCs w:val="false"/>
                <w:sz w:val="20"/>
                <w:szCs w:val="20"/>
              </w:rPr>
              <w:t xml:space="preserve">Classification</w:t>
            </w:r>
          </w:p>
        </w:tc>
        <w:tc>
          <w:tcPr>
            <w:tcW w:type="dxa" w:w="1600"/>
            <w:vAlign w:val="center"/>
          </w:tcPr>
          <w:p>
            <w:r>
              <w:rPr>
                <w:b w:val="false"/>
                <w:bCs w:val="false"/>
                <w:sz w:val="20"/>
                <w:szCs w:val="20"/>
              </w:rPr>
              <w:t xml:space="preserve">Logistic Regression</w:t>
            </w:r>
          </w:p>
        </w:tc>
        <w:tc>
          <w:tcPr>
            <w:tcW w:type="dxa" w:w="2200"/>
            <w:vAlign w:val="center"/>
          </w:tcPr>
          <w:p>
            <w:r>
              <w:rPr>
                <w:b w:val="false"/>
                <w:bCs w:val="false"/>
                <w:sz w:val="20"/>
                <w:szCs w:val="20"/>
              </w:rPr>
              <w:t xml:space="preserve">Predict campaign response likelihood</w:t>
            </w:r>
          </w:p>
        </w:tc>
        <w:tc>
          <w:tcPr>
            <w:tcW w:type="dxa" w:w="1900"/>
            <w:vAlign w:val="center"/>
          </w:tcPr>
          <w:p>
            <w:r>
              <w:rPr>
                <w:b w:val="false"/>
                <w:bCs w:val="false"/>
                <w:sz w:val="20"/>
                <w:szCs w:val="20"/>
              </w:rPr>
              <w:t xml:space="preserve">Accuracy, Precision, Recall, F1</w:t>
            </w:r>
          </w:p>
        </w:tc>
        <w:tc>
          <w:tcPr>
            <w:tcW w:type="dxa" w:w="1400"/>
            <w:vAlign w:val="center"/>
          </w:tcPr>
          <w:p>
            <w:r>
              <w:rPr>
                <w:b w:val="false"/>
                <w:bCs w:val="false"/>
                <w:sz w:val="20"/>
                <w:szCs w:val="20"/>
              </w:rPr>
              <w:t xml:space="preserve">F1 = 0.564</w:t>
            </w:r>
          </w:p>
        </w:tc>
        <w:tc>
          <w:tcPr>
            <w:tcW w:type="dxa" w:w="760"/>
            <w:vAlign w:val="center"/>
          </w:tcPr>
          <w:p>
            <w:r>
              <w:rPr>
                <w:b w:val="false"/>
                <w:bCs w:val="false"/>
                <w:sz w:val="20"/>
                <w:szCs w:val="20"/>
              </w:rPr>
              <w:t xml:space="preserve">Target likely responders with marketing spend</w:t>
            </w:r>
          </w:p>
        </w:tc>
      </w:tr>
      <w:tr>
        <w:tc>
          <w:tcPr>
            <w:tcW w:type="dxa" w:w="1500"/>
            <w:vAlign w:val="center"/>
          </w:tcPr>
          <w:p>
            <w:r>
              <w:rPr>
                <w:b w:val="false"/>
                <w:bCs w:val="false"/>
                <w:sz w:val="20"/>
                <w:szCs w:val="20"/>
              </w:rPr>
              <w:t xml:space="preserve">Clustering</w:t>
            </w:r>
          </w:p>
        </w:tc>
        <w:tc>
          <w:tcPr>
            <w:tcW w:type="dxa" w:w="1600"/>
            <w:vAlign w:val="center"/>
          </w:tcPr>
          <w:p>
            <w:r>
              <w:rPr>
                <w:b w:val="false"/>
                <w:bCs w:val="false"/>
                <w:sz w:val="20"/>
                <w:szCs w:val="20"/>
              </w:rPr>
              <w:t xml:space="preserve">K-Means</w:t>
            </w:r>
          </w:p>
        </w:tc>
        <w:tc>
          <w:tcPr>
            <w:tcW w:type="dxa" w:w="2200"/>
            <w:vAlign w:val="center"/>
          </w:tcPr>
          <w:p>
            <w:r>
              <w:rPr>
                <w:b w:val="false"/>
                <w:bCs w:val="false"/>
                <w:sz w:val="20"/>
                <w:szCs w:val="20"/>
              </w:rPr>
              <w:t xml:space="preserve">Segment customers</w:t>
            </w:r>
          </w:p>
        </w:tc>
        <w:tc>
          <w:tcPr>
            <w:tcW w:type="dxa" w:w="1900"/>
            <w:vAlign w:val="center"/>
          </w:tcPr>
          <w:p>
            <w:r>
              <w:rPr>
                <w:b w:val="false"/>
                <w:bCs w:val="false"/>
                <w:sz w:val="20"/>
                <w:szCs w:val="20"/>
              </w:rPr>
              <w:t xml:space="preserve">Inertia, Silhouette Score</w:t>
            </w:r>
          </w:p>
        </w:tc>
        <w:tc>
          <w:tcPr>
            <w:tcW w:type="dxa" w:w="1400"/>
            <w:vAlign w:val="center"/>
          </w:tcPr>
          <w:p>
            <w:r>
              <w:rPr>
                <w:b w:val="false"/>
                <w:bCs w:val="false"/>
                <w:sz w:val="20"/>
                <w:szCs w:val="20"/>
              </w:rPr>
              <w:t xml:space="preserve">Silhouette = 0.467 (k=2)</w:t>
            </w:r>
          </w:p>
        </w:tc>
        <w:tc>
          <w:tcPr>
            <w:tcW w:type="dxa" w:w="760"/>
            <w:vAlign w:val="center"/>
          </w:tcPr>
          <w:p>
            <w:r>
              <w:rPr>
                <w:b w:val="false"/>
                <w:bCs w:val="false"/>
                <w:sz w:val="20"/>
                <w:szCs w:val="20"/>
              </w:rPr>
              <w:t xml:space="preserve">Design different retention strategies per segment</w:t>
            </w:r>
          </w:p>
        </w:tc>
      </w:tr>
    </w:tbl>
    <w:p>
      <w:pPr>
        <w:pStyle w:val="Heading1"/>
        <w:spacing w:after="150" w:before="300"/>
      </w:pPr>
      <w:r>
        <w:t xml:space="preserve">8. Business Interpretation</w:t>
      </w:r>
    </w:p>
    <w:p>
      <w:pPr>
        <w:pStyle w:val="ListParagraph"/>
        <w:numPr>
          <w:ilvl w:val="0"/>
          <w:numId w:val="1"/>
        </w:numPr>
        <w:spacing w:after="60"/>
      </w:pPr>
      <w:r>
        <w:t xml:space="preserve">Regression (Ridge) gives the most precise numeric answer — a strong R² (~0.87) means predicted spend is highly reliable, best used for revenue forecasting and setting spend-based loyalty tiers.</w:t>
      </w:r>
    </w:p>
    <w:p>
      <w:pPr>
        <w:pStyle w:val="ListParagraph"/>
        <w:numPr>
          <w:ilvl w:val="0"/>
          <w:numId w:val="1"/>
        </w:numPr>
        <w:spacing w:after="60"/>
      </w:pPr>
      <w:r>
        <w:t xml:space="preserve">Classification (Logistic Regression) is moderately reliable (F1 ~0.56) — useful for ranking customers by campaign-response probability, but not precise enough to act on alone; best combined with the segment from clustering.</w:t>
      </w:r>
    </w:p>
    <w:p>
      <w:pPr>
        <w:pStyle w:val="ListParagraph"/>
        <w:numPr>
          <w:ilvl w:val="0"/>
          <w:numId w:val="1"/>
        </w:numPr>
        <w:spacing w:after="60"/>
      </w:pPr>
      <w:r>
        <w:t xml:space="preserve">Clustering (K-Means) is the most immediately actionable for marketing strategy — it needs no target label at all and cleanly separates customers into two operationally meaningful groups that were also validated against the dataset's existing 5-tier labels.</w:t>
      </w:r>
    </w:p>
    <w:p>
      <w:pPr>
        <w:pStyle w:val="ListParagraph"/>
        <w:numPr>
          <w:ilvl w:val="0"/>
          <w:numId w:val="1"/>
        </w:numPr>
        <w:spacing w:after="60"/>
      </w:pPr>
      <w:r>
        <w:t xml:space="preserve">Together, the three models answer different business questions: 'how much is this customer worth' (regression), 'will they respond to this campaign' (classification), and 'which broad group do they belong to and how should we treat them' (clustering).</w:t>
      </w:r>
    </w:p>
    <w:p>
      <w:pPr>
        <w:pStyle w:val="Heading1"/>
        <w:spacing w:after="150" w:before="300"/>
      </w:pPr>
      <w:r>
        <w:t xml:space="preserve">9. Final Conclusion</w:t>
      </w:r>
    </w:p>
    <w:p>
      <w:pPr>
        <w:spacing w:after="120"/>
      </w:pPr>
      <w:r>
        <w:t xml:space="preserve">No single algorithm 'wins' outright because each solves a different part of the recommendation problem. Ridge Regression is the strongest performer in pure predictive-accuracy terms (highest R²), reflecting how tightly customer spend is tied to observable engagement behavior. Logistic Regression performs adequately for campaign targeting but leaves room for improvement — a natural next step would be testing an ensemble classifier or adjusting the decision threshold for the business's specific cost of false negatives. K-Means clustering provided the clearest business narrative, confirming with real evidence that two dominant, well-separated customer behavior groups exist. For a production recommendation system, the recommended approach is to combine all three: use clustering to define broad strategy per segment, classification to prioritize who to contact, and regression to size the investment worth making in each customer.</w:t>
      </w:r>
    </w:p>
    <w:p>
      <w:pPr>
        <w:pStyle w:val="Heading1"/>
        <w:spacing w:after="150" w:before="300"/>
      </w:pPr>
      <w:r>
        <w:t xml:space="preserve">Appendix: Hyperparameter Tuning Details</w:t>
      </w:r>
    </w:p>
    <w:p>
      <w:pPr>
        <w:pStyle w:val="Heading2"/>
        <w:spacing w:after="120" w:before="240"/>
      </w:pPr>
      <w:r>
        <w:t xml:space="preserve">Ridge Regression</w:t>
      </w:r>
    </w:p>
    <w:p>
      <w:pPr>
        <w:pStyle w:val="ListParagraph"/>
        <w:numPr>
          <w:ilvl w:val="0"/>
          <w:numId w:val="1"/>
        </w:numPr>
        <w:spacing w:after="60"/>
      </w:pPr>
      <w:r>
        <w:t xml:space="preserve">Tuned parameter: alpha</w:t>
      </w:r>
    </w:p>
    <w:p>
      <w:pPr>
        <w:pStyle w:val="ListParagraph"/>
        <w:numPr>
          <w:ilvl w:val="0"/>
          <w:numId w:val="1"/>
        </w:numPr>
        <w:spacing w:after="60"/>
      </w:pPr>
      <w:r>
        <w:t xml:space="preserve">Values tested: 0.01, 0.1, 1, 10, 100</w:t>
      </w:r>
    </w:p>
    <w:p>
      <w:pPr>
        <w:pStyle w:val="ListParagraph"/>
        <w:numPr>
          <w:ilvl w:val="0"/>
          <w:numId w:val="1"/>
        </w:numPr>
        <w:spacing w:after="60"/>
      </w:pPr>
      <w:r>
        <w:t xml:space="preserve">Best value: 100</w:t>
      </w:r>
    </w:p>
    <w:p>
      <w:pPr>
        <w:pStyle w:val="Heading2"/>
        <w:spacing w:after="120" w:before="240"/>
      </w:pPr>
      <w:r>
        <w:t xml:space="preserve">Logistic Regression</w:t>
      </w:r>
    </w:p>
    <w:p>
      <w:pPr>
        <w:pStyle w:val="ListParagraph"/>
        <w:numPr>
          <w:ilvl w:val="0"/>
          <w:numId w:val="1"/>
        </w:numPr>
        <w:spacing w:after="60"/>
      </w:pPr>
      <w:r>
        <w:t xml:space="preserve">Tuned parameters: C, solver, max_iter</w:t>
      </w:r>
    </w:p>
    <w:p>
      <w:pPr>
        <w:pStyle w:val="ListParagraph"/>
        <w:numPr>
          <w:ilvl w:val="0"/>
          <w:numId w:val="1"/>
        </w:numPr>
        <w:spacing w:after="60"/>
      </w:pPr>
      <w:r>
        <w:t xml:space="preserve">Values tested: C in [0.01, 0.1, 1, 10]; solver in [liblinear, lbfgs]; max_iter in [100, 200, 500]</w:t>
      </w:r>
    </w:p>
    <w:p>
      <w:pPr>
        <w:pStyle w:val="ListParagraph"/>
        <w:numPr>
          <w:ilvl w:val="0"/>
          <w:numId w:val="1"/>
        </w:numPr>
        <w:spacing w:after="60"/>
      </w:pPr>
      <w:r>
        <w:t xml:space="preserve">Best combination: C=0.01, solver=liblinear, max_iter=100</w:t>
      </w:r>
    </w:p>
    <w:p>
      <w:pPr>
        <w:pStyle w:val="Heading2"/>
        <w:spacing w:after="120" w:before="240"/>
      </w:pPr>
      <w:r>
        <w:t xml:space="preserve">K-Means Clustering</w:t>
      </w:r>
    </w:p>
    <w:p>
      <w:pPr>
        <w:pStyle w:val="ListParagraph"/>
        <w:numPr>
          <w:ilvl w:val="0"/>
          <w:numId w:val="1"/>
        </w:numPr>
        <w:spacing w:after="60"/>
      </w:pPr>
      <w:r>
        <w:t xml:space="preserve">Tuned parameter: n_clusters</w:t>
      </w:r>
    </w:p>
    <w:p>
      <w:pPr>
        <w:pStyle w:val="ListParagraph"/>
        <w:numPr>
          <w:ilvl w:val="0"/>
          <w:numId w:val="1"/>
        </w:numPr>
        <w:spacing w:after="60"/>
      </w:pPr>
      <w:r>
        <w:t xml:space="preserve">Values tested: 2 through 10</w:t>
      </w:r>
    </w:p>
    <w:p>
      <w:pPr>
        <w:pStyle w:val="ListParagraph"/>
        <w:numPr>
          <w:ilvl w:val="0"/>
          <w:numId w:val="1"/>
        </w:numPr>
        <w:spacing w:after="60"/>
      </w:pPr>
      <w:r>
        <w:t xml:space="preserve">Best value by Silhouette Score: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f14f87f72d94663b003bb91dbd9bfdae8cfc70.png"/><Relationship Id="rId8" Type="http://schemas.openxmlformats.org/officeDocument/2006/relationships/image" Target="media/7f8b02985204b2e67f45627ec1ee6637bcf2f545.png"/><Relationship Id="rId9" Type="http://schemas.openxmlformats.org/officeDocument/2006/relationships/image" Target="media/0591216f6abbf3b1200e5854505f88720b059306.png"/><Relationship Id="rId10" Type="http://schemas.openxmlformats.org/officeDocument/2006/relationships/image" Target="media/227f7d0b0dd67b0d655666662989e8e1e891a24f.png"/><Relationship Id="rId11" Type="http://schemas.openxmlformats.org/officeDocument/2006/relationships/image" Target="media/1f7d04f732a4599d5bbdbe0662f530c1fca34d9c.png"/><Relationship Id="rId12" Type="http://schemas.openxmlformats.org/officeDocument/2006/relationships/image" Target="media/600fd1381f66762f585e20f5739356b0c75d536c.png"/><Relationship Id="rId13" Type="http://schemas.openxmlformats.org/officeDocument/2006/relationships/image" Target="media/22f2aabcd052b40d0a0aebdcbcf0046ee08f16e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2026-07-13T11:44:39.716Z</dcterms:created>
  <dcterms:modified xsi:type="dcterms:W3CDTF">2026-07-13T11:44:39.716Z</dcterms:modified>
</cp:coreProperties>
</file>

<file path=docProps/custom.xml><?xml version="1.0" encoding="utf-8"?>
<Properties xmlns="http://schemas.openxmlformats.org/officeDocument/2006/custom-properties" xmlns:vt="http://schemas.openxmlformats.org/officeDocument/2006/docPropsVTypes"/>
</file>