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E-Commerce Recommendation System</w:t>
      </w:r>
    </w:p>
    <w:p>
      <w:pPr>
        <w:spacing w:after="280"/>
      </w:pPr>
      <w:r>
        <w:rPr>
          <w:i/>
          <w:iCs/>
          <w:color w:val="595959"/>
          <w:sz w:val="23"/>
          <w:szCs w:val="23"/>
        </w:rPr>
        <w:t xml:space="preserve">Business Report — Rating, Purchase &amp; Segmentation Models</w:t>
      </w:r>
    </w:p>
    <w:p>
      <w:pPr>
        <w:pStyle w:val="Heading1"/>
        <w:pBdr>
          <w:bottom w:val="single" w:color="2E75B6" w:sz="8" w:space="4"/>
        </w:pBdr>
        <w:spacing w:after="160" w:before="320"/>
      </w:pPr>
      <w:r>
        <w:rPr>
          <w:b/>
          <w:bCs/>
          <w:color w:val="1F3864"/>
          <w:sz w:val="28"/>
          <w:szCs w:val="28"/>
        </w:rPr>
        <w:t xml:space="preserve">Executive Summary</w:t>
      </w:r>
    </w:p>
    <w:p>
      <w:pPr>
        <w:spacing w:after="140" w:line="276"/>
      </w:pPr>
      <w:r>
        <w:rPr>
          <w:color w:val="262626"/>
          <w:sz w:val="21"/>
          <w:szCs w:val="21"/>
        </w:rPr>
        <w:t xml:space="preserve">This report summarizes three models built on 8,000 customer browsing sessions to support product recommendations: a rating predictor, a purchase-likelihood classifier, and a customer segmentation model. Together they identify which products a customer is likely to enjoy, which customers are likely to buy, and which behavioral group each customer belongs to — the three pieces needed to personalize the shopping experience.</w:t>
      </w:r>
    </w:p>
    <w:p>
      <w:pPr>
        <w:spacing w:after="140" w:line="276"/>
      </w:pPr>
      <w:r>
        <w:rPr>
          <w:color w:val="262626"/>
          <w:sz w:val="21"/>
          <w:szCs w:val="21"/>
        </w:rPr>
        <w:t xml:space="preserve">Purchase prediction and customer segmentation are ready to inform targeting decisions today. Rating prediction performed very well on this dataset, but ratings here were derived from a formula rather than collected from real customers, so that result should be treated as a proof of concept until real rating data is available (see note below).</w:t>
      </w:r>
    </w:p>
    <w:p>
      <w:pPr>
        <w:pStyle w:val="Heading1"/>
        <w:pBdr>
          <w:bottom w:val="single" w:color="2E75B6" w:sz="8" w:space="4"/>
        </w:pBdr>
        <w:spacing w:after="160" w:before="320"/>
      </w:pPr>
      <w:r>
        <w:rPr>
          <w:b/>
          <w:bCs/>
          <w:color w:val="1F3864"/>
          <w:sz w:val="28"/>
          <w:szCs w:val="28"/>
        </w:rPr>
        <w:t xml:space="preserve">1. Rating Prediction</w:t>
      </w:r>
    </w:p>
    <w:p>
      <w:pPr>
        <w:spacing w:after="140" w:line="276"/>
      </w:pPr>
      <w:r>
        <w:rPr>
          <w:color w:val="262626"/>
          <w:sz w:val="21"/>
          <w:szCs w:val="21"/>
        </w:rPr>
        <w:t xml:space="preserve">A Ridge Regression model was tuned with GridSearchCV to predict the rating a customer would give a product, using browsing time, purchase history, bounce rate, and other session features.</w:t>
      </w:r>
    </w:p>
    <w:p>
      <w:pPr>
        <w:spacing w:after="60"/>
      </w:pPr>
      <w:r>
        <w:rPr>
          <w:b/>
          <w:bCs/>
          <w:color w:val="262626"/>
          <w:sz w:val="21"/>
          <w:szCs w:val="21"/>
        </w:rPr>
        <w:t xml:space="preserve">Best alpha: </w:t>
      </w:r>
      <w:r>
        <w:rPr>
          <w:color w:val="262626"/>
          <w:sz w:val="21"/>
          <w:szCs w:val="21"/>
        </w:rPr>
        <w:t xml:space="preserve">100</w:t>
      </w:r>
    </w:p>
    <w:p>
      <w:pPr>
        <w:spacing w:after="60"/>
      </w:pPr>
      <w:r>
        <w:rPr>
          <w:b/>
          <w:bCs/>
          <w:color w:val="262626"/>
          <w:sz w:val="21"/>
          <w:szCs w:val="21"/>
        </w:rPr>
        <w:t xml:space="preserve">RMSE: </w:t>
      </w:r>
      <w:r>
        <w:rPr>
          <w:color w:val="262626"/>
          <w:sz w:val="21"/>
          <w:szCs w:val="21"/>
        </w:rPr>
        <w:t xml:space="preserve">0.03</w:t>
      </w:r>
    </w:p>
    <w:p>
      <w:pPr>
        <w:spacing w:after="60"/>
      </w:pPr>
      <w:r>
        <w:rPr>
          <w:b/>
          <w:bCs/>
          <w:color w:val="262626"/>
          <w:sz w:val="21"/>
          <w:szCs w:val="21"/>
        </w:rPr>
        <w:t xml:space="preserve">R² Score: </w:t>
      </w:r>
      <w:r>
        <w:rPr>
          <w:color w:val="262626"/>
          <w:sz w:val="21"/>
          <w:szCs w:val="21"/>
        </w:rPr>
        <w:t xml:space="preserve">0.998</w:t>
      </w:r>
    </w:p>
    <w:p>
      <w:pPr>
        <w:spacing w:after="140" w:line="276"/>
      </w:pPr>
      <w:r>
        <w:rPr>
          <w:i/>
          <w:iCs/>
          <w:color w:val="595959"/>
          <w:sz w:val="21"/>
          <w:szCs w:val="21"/>
        </w:rPr>
        <w:t xml:space="preserve">Note: this dataset did not include real customer ratings, so a rating was constructed from a weighted formula of the other features. The near-perfect accuracy reflects the model recovering that formula rather than predicting genuine customer sentiment. Once real ratings are collected, this model should be retrained and re-evaluated — accuracy will be lower but meaningful.</w:t>
      </w:r>
    </w:p>
    <w:p>
      <w:pPr>
        <w:pStyle w:val="Heading1"/>
        <w:pBdr>
          <w:bottom w:val="single" w:color="2E75B6" w:sz="8" w:space="4"/>
        </w:pBdr>
        <w:spacing w:after="160" w:before="320"/>
      </w:pPr>
      <w:r>
        <w:rPr>
          <w:b/>
          <w:bCs/>
          <w:color w:val="1F3864"/>
          <w:sz w:val="28"/>
          <w:szCs w:val="28"/>
        </w:rPr>
        <w:t xml:space="preserve">2. Purchase Prediction</w:t>
      </w:r>
    </w:p>
    <w:p>
      <w:pPr>
        <w:spacing w:after="140" w:line="276"/>
      </w:pPr>
      <w:r>
        <w:rPr>
          <w:color w:val="262626"/>
          <w:sz w:val="21"/>
          <w:szCs w:val="21"/>
        </w:rPr>
        <w:t xml:space="preserve">A Logistic Regression model was tuned to predict whether a session would end in a purchase, using cart activity, browsing time, discounts seen, and prior purchase history.</w:t>
      </w:r>
    </w:p>
    <w:p>
      <w:pPr>
        <w:spacing w:after="60"/>
      </w:pPr>
      <w:r>
        <w:rPr>
          <w:b/>
          <w:bCs/>
          <w:color w:val="262626"/>
          <w:sz w:val="21"/>
          <w:szCs w:val="21"/>
        </w:rPr>
        <w:t xml:space="preserve">Tuned parameters: </w:t>
      </w:r>
      <w:r>
        <w:rPr>
          <w:color w:val="262626"/>
          <w:sz w:val="21"/>
          <w:szCs w:val="21"/>
        </w:rPr>
        <w:t xml:space="preserve">C = 0.001, penalty = l2, solver = saga</w:t>
      </w:r>
    </w:p>
    <w:p>
      <w:pPr>
        <w:spacing w:after="60"/>
      </w:pPr>
      <w:r>
        <w:rPr>
          <w:b/>
          <w:bCs/>
          <w:color w:val="262626"/>
          <w:sz w:val="21"/>
          <w:szCs w:val="21"/>
        </w:rPr>
        <w:t xml:space="preserve">Accuracy: </w:t>
      </w:r>
      <w:r>
        <w:rPr>
          <w:color w:val="262626"/>
          <w:sz w:val="21"/>
          <w:szCs w:val="21"/>
        </w:rPr>
        <w:t xml:space="preserve">86.7%</w:t>
      </w:r>
    </w:p>
    <w:p>
      <w:pPr>
        <w:spacing w:after="60"/>
      </w:pPr>
      <w:r>
        <w:rPr>
          <w:b/>
          <w:bCs/>
          <w:color w:val="262626"/>
          <w:sz w:val="21"/>
          <w:szCs w:val="21"/>
        </w:rPr>
        <w:t xml:space="preserve">F1-Score: </w:t>
      </w:r>
      <w:r>
        <w:rPr>
          <w:color w:val="262626"/>
          <w:sz w:val="21"/>
          <w:szCs w:val="21"/>
        </w:rPr>
        <w:t xml:space="preserve">0.90</w:t>
      </w:r>
    </w:p>
    <w:p>
      <w:pPr>
        <w:spacing w:after="60"/>
      </w:pPr>
      <w:r>
        <w:rPr>
          <w:b/>
          <w:bCs/>
          <w:color w:val="262626"/>
          <w:sz w:val="21"/>
          <w:szCs w:val="21"/>
        </w:rPr>
        <w:t xml:space="preserve">ROC-AUC: </w:t>
      </w:r>
      <w:r>
        <w:rPr>
          <w:color w:val="262626"/>
          <w:sz w:val="21"/>
          <w:szCs w:val="21"/>
        </w:rPr>
        <w:t xml:space="preserve">0.91</w:t>
      </w:r>
    </w:p>
    <w:p>
      <w:pPr>
        <w:spacing w:after="140" w:line="276"/>
      </w:pPr>
      <w:r>
        <w:rPr>
          <w:color w:val="262626"/>
          <w:sz w:val="21"/>
          <w:szCs w:val="21"/>
        </w:rPr>
        <w:t xml:space="preserve">An ROC-AUC of 0.91 means the model separates likely buyers from non-buyers well. This is the most immediately useful model of the three: it can drive cart-recovery emails, targeted discounts, and re-ranking the product feed toward items a specific customer is likely to actually buy.</w:t>
      </w:r>
    </w:p>
    <w:p>
      <w:pPr>
        <w:pStyle w:val="Heading1"/>
        <w:pBdr>
          <w:bottom w:val="single" w:color="2E75B6" w:sz="8" w:space="4"/>
        </w:pBdr>
        <w:spacing w:after="160" w:before="320"/>
      </w:pPr>
      <w:r>
        <w:rPr>
          <w:b/>
          <w:bCs/>
          <w:color w:val="1F3864"/>
          <w:sz w:val="28"/>
          <w:szCs w:val="28"/>
        </w:rPr>
        <w:t xml:space="preserve">3. Customer Segmentation</w:t>
      </w:r>
    </w:p>
    <w:p>
      <w:pPr>
        <w:spacing w:after="140" w:line="276"/>
      </w:pPr>
      <w:r>
        <w:rPr>
          <w:color w:val="262626"/>
          <w:sz w:val="21"/>
          <w:szCs w:val="21"/>
        </w:rPr>
        <w:t xml:space="preserve">K-Means clustering (k = 4, chosen using the elbow method and silhouette score) grouped customers into four behavioral 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500"/>
        <w:gridCol w:w="3160"/>
      </w:tblGrid>
      <w:tr>
        <w:tc>
          <w:tcPr>
            <w:tcW w:type="dxa" w:w="1600"/>
            <w:shd w:fill="1F3864" w:val="clear"/>
            <w:tcMar>
              <w:top w:type="dxa" w:w="90"/>
              <w:left w:type="dxa" w:w="120"/>
              <w:bottom w:type="dxa" w:w="90"/>
              <w:right w:type="dxa" w:w="120"/>
            </w:tcMar>
            <w:vAlign w:val="center"/>
          </w:tcPr>
          <w:p>
            <w:r>
              <w:rPr>
                <w:b/>
                <w:bCs/>
                <w:color w:val="FFFFFF"/>
                <w:sz w:val="20"/>
                <w:szCs w:val="20"/>
              </w:rPr>
              <w:t xml:space="preserve">Segment</w:t>
            </w:r>
          </w:p>
        </w:tc>
        <w:tc>
          <w:tcPr>
            <w:tcW w:type="dxa" w:w="2400"/>
            <w:shd w:fill="1F3864" w:val="clear"/>
            <w:tcMar>
              <w:top w:type="dxa" w:w="90"/>
              <w:left w:type="dxa" w:w="120"/>
              <w:bottom w:type="dxa" w:w="90"/>
              <w:right w:type="dxa" w:w="120"/>
            </w:tcMar>
            <w:vAlign w:val="center"/>
          </w:tcPr>
          <w:p>
            <w:r>
              <w:rPr>
                <w:b/>
                <w:bCs/>
                <w:color w:val="FFFFFF"/>
                <w:sz w:val="20"/>
                <w:szCs w:val="20"/>
              </w:rPr>
              <w:t xml:space="preserve">Size</w:t>
            </w:r>
          </w:p>
        </w:tc>
        <w:tc>
          <w:tcPr>
            <w:tcW w:type="dxa" w:w="1500"/>
            <w:shd w:fill="1F3864" w:val="clear"/>
            <w:tcMar>
              <w:top w:type="dxa" w:w="90"/>
              <w:left w:type="dxa" w:w="120"/>
              <w:bottom w:type="dxa" w:w="90"/>
              <w:right w:type="dxa" w:w="120"/>
            </w:tcMar>
            <w:vAlign w:val="center"/>
          </w:tcPr>
          <w:p>
            <w:r>
              <w:rPr>
                <w:b/>
                <w:bCs/>
                <w:color w:val="FFFFFF"/>
                <w:sz w:val="20"/>
                <w:szCs w:val="20"/>
              </w:rPr>
              <w:t xml:space="preserve">Avg. Rating</w:t>
            </w:r>
          </w:p>
        </w:tc>
        <w:tc>
          <w:tcPr>
            <w:tcW w:type="dxa" w:w="1500"/>
            <w:shd w:fill="1F3864" w:val="clear"/>
            <w:tcMar>
              <w:top w:type="dxa" w:w="90"/>
              <w:left w:type="dxa" w:w="120"/>
              <w:bottom w:type="dxa" w:w="90"/>
              <w:right w:type="dxa" w:w="120"/>
            </w:tcMar>
            <w:vAlign w:val="center"/>
          </w:tcPr>
          <w:p>
            <w:r>
              <w:rPr>
                <w:b/>
                <w:bCs/>
                <w:color w:val="FFFFFF"/>
                <w:sz w:val="20"/>
                <w:szCs w:val="20"/>
              </w:rPr>
              <w:t xml:space="preserve">Bounce Rate</w:t>
            </w:r>
          </w:p>
        </w:tc>
        <w:tc>
          <w:tcPr>
            <w:tcW w:type="dxa" w:w="3160"/>
            <w:shd w:fill="1F3864" w:val="clear"/>
            <w:tcMar>
              <w:top w:type="dxa" w:w="90"/>
              <w:left w:type="dxa" w:w="120"/>
              <w:bottom w:type="dxa" w:w="90"/>
              <w:right w:type="dxa" w:w="120"/>
            </w:tcMar>
            <w:vAlign w:val="center"/>
          </w:tcPr>
          <w:p>
            <w:r>
              <w:rPr>
                <w:b/>
                <w:bCs/>
                <w:color w:val="FFFFFF"/>
                <w:sz w:val="20"/>
                <w:szCs w:val="20"/>
              </w:rPr>
              <w:t xml:space="preserve">Profile</w:t>
            </w:r>
          </w:p>
        </w:tc>
      </w:tr>
      <w:tr>
        <w:tc>
          <w:tcPr>
            <w:tcW w:type="dxa" w:w="1600"/>
            <w:shd w:fill="FFFFFF" w:val="clear"/>
            <w:tcMar>
              <w:top w:type="dxa" w:w="90"/>
              <w:left w:type="dxa" w:w="120"/>
              <w:bottom w:type="dxa" w:w="90"/>
              <w:right w:type="dxa" w:w="120"/>
            </w:tcMar>
            <w:vAlign w:val="center"/>
          </w:tcPr>
          <w:p>
            <w:r>
              <w:rPr>
                <w:b w:val="false"/>
                <w:bCs w:val="false"/>
                <w:color w:val="262626"/>
                <w:sz w:val="20"/>
                <w:szCs w:val="20"/>
              </w:rPr>
              <w:t xml:space="preserve">Efficient Shoppers</w:t>
            </w:r>
          </w:p>
        </w:tc>
        <w:tc>
          <w:tcPr>
            <w:tcW w:type="dxa" w:w="2400"/>
            <w:shd w:fill="FFFFFF" w:val="clear"/>
            <w:tcMar>
              <w:top w:type="dxa" w:w="90"/>
              <w:left w:type="dxa" w:w="120"/>
              <w:bottom w:type="dxa" w:w="90"/>
              <w:right w:type="dxa" w:w="120"/>
            </w:tcMar>
            <w:vAlign w:val="center"/>
          </w:tcPr>
          <w:p>
            <w:r>
              <w:rPr>
                <w:b w:val="false"/>
                <w:bCs w:val="false"/>
                <w:color w:val="262626"/>
                <w:sz w:val="20"/>
                <w:szCs w:val="20"/>
              </w:rPr>
              <w:t xml:space="preserve">2,222 (28%)</w:t>
            </w:r>
          </w:p>
        </w:tc>
        <w:tc>
          <w:tcPr>
            <w:tcW w:type="dxa" w:w="1500"/>
            <w:shd w:fill="FFFFFF" w:val="clear"/>
            <w:tcMar>
              <w:top w:type="dxa" w:w="90"/>
              <w:left w:type="dxa" w:w="120"/>
              <w:bottom w:type="dxa" w:w="90"/>
              <w:right w:type="dxa" w:w="120"/>
            </w:tcMar>
            <w:vAlign w:val="center"/>
          </w:tcPr>
          <w:p>
            <w:r>
              <w:rPr>
                <w:b w:val="false"/>
                <w:bCs w:val="false"/>
                <w:color w:val="262626"/>
                <w:sz w:val="20"/>
                <w:szCs w:val="20"/>
              </w:rPr>
              <w:t xml:space="preserve">3.39</w:t>
            </w:r>
          </w:p>
        </w:tc>
        <w:tc>
          <w:tcPr>
            <w:tcW w:type="dxa" w:w="1500"/>
            <w:shd w:fill="FFFFFF" w:val="clear"/>
            <w:tcMar>
              <w:top w:type="dxa" w:w="90"/>
              <w:left w:type="dxa" w:w="120"/>
              <w:bottom w:type="dxa" w:w="90"/>
              <w:right w:type="dxa" w:w="120"/>
            </w:tcMar>
            <w:vAlign w:val="center"/>
          </w:tcPr>
          <w:p>
            <w:r>
              <w:rPr>
                <w:b w:val="false"/>
                <w:bCs w:val="false"/>
                <w:color w:val="262626"/>
                <w:sz w:val="20"/>
                <w:szCs w:val="20"/>
              </w:rPr>
              <w:t xml:space="preserve">26.8%</w:t>
            </w:r>
          </w:p>
        </w:tc>
        <w:tc>
          <w:tcPr>
            <w:tcW w:type="dxa" w:w="3160"/>
            <w:shd w:fill="FFFFFF" w:val="clear"/>
            <w:tcMar>
              <w:top w:type="dxa" w:w="90"/>
              <w:left w:type="dxa" w:w="120"/>
              <w:bottom w:type="dxa" w:w="90"/>
              <w:right w:type="dxa" w:w="120"/>
            </w:tcMar>
            <w:vAlign w:val="center"/>
          </w:tcPr>
          <w:p>
            <w:r>
              <w:rPr>
                <w:b w:val="false"/>
                <w:bCs w:val="false"/>
                <w:color w:val="262626"/>
                <w:sz w:val="20"/>
                <w:szCs w:val="20"/>
              </w:rPr>
              <w:t xml:space="preserve">Quick sessions, decisive, satisfied</w:t>
            </w:r>
          </w:p>
        </w:tc>
      </w:tr>
      <w:tr>
        <w:tc>
          <w:tcPr>
            <w:tcW w:type="dxa" w:w="1600"/>
            <w:shd w:fill="EDF2F8" w:val="clear"/>
            <w:tcMar>
              <w:top w:type="dxa" w:w="90"/>
              <w:left w:type="dxa" w:w="120"/>
              <w:bottom w:type="dxa" w:w="90"/>
              <w:right w:type="dxa" w:w="120"/>
            </w:tcMar>
            <w:vAlign w:val="center"/>
          </w:tcPr>
          <w:p>
            <w:r>
              <w:rPr>
                <w:b w:val="false"/>
                <w:bCs w:val="false"/>
                <w:color w:val="262626"/>
                <w:sz w:val="20"/>
                <w:szCs w:val="20"/>
              </w:rPr>
              <w:t xml:space="preserve">High-Value Loyal</w:t>
            </w:r>
          </w:p>
        </w:tc>
        <w:tc>
          <w:tcPr>
            <w:tcW w:type="dxa" w:w="2400"/>
            <w:shd w:fill="EDF2F8" w:val="clear"/>
            <w:tcMar>
              <w:top w:type="dxa" w:w="90"/>
              <w:left w:type="dxa" w:w="120"/>
              <w:bottom w:type="dxa" w:w="90"/>
              <w:right w:type="dxa" w:w="120"/>
            </w:tcMar>
            <w:vAlign w:val="center"/>
          </w:tcPr>
          <w:p>
            <w:r>
              <w:rPr>
                <w:b w:val="false"/>
                <w:bCs w:val="false"/>
                <w:color w:val="262626"/>
                <w:sz w:val="20"/>
                <w:szCs w:val="20"/>
              </w:rPr>
              <w:t xml:space="preserve">1,811 (23%)</w:t>
            </w:r>
          </w:p>
        </w:tc>
        <w:tc>
          <w:tcPr>
            <w:tcW w:type="dxa" w:w="1500"/>
            <w:shd w:fill="EDF2F8" w:val="clear"/>
            <w:tcMar>
              <w:top w:type="dxa" w:w="90"/>
              <w:left w:type="dxa" w:w="120"/>
              <w:bottom w:type="dxa" w:w="90"/>
              <w:right w:type="dxa" w:w="120"/>
            </w:tcMar>
            <w:vAlign w:val="center"/>
          </w:tcPr>
          <w:p>
            <w:r>
              <w:rPr>
                <w:b w:val="false"/>
                <w:bCs w:val="false"/>
                <w:color w:val="262626"/>
                <w:sz w:val="20"/>
                <w:szCs w:val="20"/>
              </w:rPr>
              <w:t xml:space="preserve">3.95</w:t>
            </w:r>
          </w:p>
        </w:tc>
        <w:tc>
          <w:tcPr>
            <w:tcW w:type="dxa" w:w="1500"/>
            <w:shd w:fill="EDF2F8" w:val="clear"/>
            <w:tcMar>
              <w:top w:type="dxa" w:w="90"/>
              <w:left w:type="dxa" w:w="120"/>
              <w:bottom w:type="dxa" w:w="90"/>
              <w:right w:type="dxa" w:w="120"/>
            </w:tcMar>
            <w:vAlign w:val="center"/>
          </w:tcPr>
          <w:p>
            <w:r>
              <w:rPr>
                <w:b w:val="false"/>
                <w:bCs w:val="false"/>
                <w:color w:val="262626"/>
                <w:sz w:val="20"/>
                <w:szCs w:val="20"/>
              </w:rPr>
              <w:t xml:space="preserve">25.2%</w:t>
            </w:r>
          </w:p>
        </w:tc>
        <w:tc>
          <w:tcPr>
            <w:tcW w:type="dxa" w:w="3160"/>
            <w:shd w:fill="EDF2F8" w:val="clear"/>
            <w:tcMar>
              <w:top w:type="dxa" w:w="90"/>
              <w:left w:type="dxa" w:w="120"/>
              <w:bottom w:type="dxa" w:w="90"/>
              <w:right w:type="dxa" w:w="120"/>
            </w:tcMar>
            <w:vAlign w:val="center"/>
          </w:tcPr>
          <w:p>
            <w:r>
              <w:rPr>
                <w:b w:val="false"/>
                <w:bCs w:val="false"/>
                <w:color w:val="262626"/>
                <w:sz w:val="20"/>
                <w:szCs w:val="20"/>
              </w:rPr>
              <w:t xml:space="preserve">Longest browsing, most repeat purchases, most satisfied</w:t>
            </w:r>
          </w:p>
        </w:tc>
      </w:tr>
      <w:tr>
        <w:tc>
          <w:tcPr>
            <w:tcW w:type="dxa" w:w="1600"/>
            <w:shd w:fill="FFFFFF" w:val="clear"/>
            <w:tcMar>
              <w:top w:type="dxa" w:w="90"/>
              <w:left w:type="dxa" w:w="120"/>
              <w:bottom w:type="dxa" w:w="90"/>
              <w:right w:type="dxa" w:w="120"/>
            </w:tcMar>
            <w:vAlign w:val="center"/>
          </w:tcPr>
          <w:p>
            <w:r>
              <w:rPr>
                <w:b w:val="false"/>
                <w:bCs w:val="false"/>
                <w:color w:val="262626"/>
                <w:sz w:val="20"/>
                <w:szCs w:val="20"/>
              </w:rPr>
              <w:t xml:space="preserve">At-Risk Browsers</w:t>
            </w:r>
          </w:p>
        </w:tc>
        <w:tc>
          <w:tcPr>
            <w:tcW w:type="dxa" w:w="2400"/>
            <w:shd w:fill="FFFFFF" w:val="clear"/>
            <w:tcMar>
              <w:top w:type="dxa" w:w="90"/>
              <w:left w:type="dxa" w:w="120"/>
              <w:bottom w:type="dxa" w:w="90"/>
              <w:right w:type="dxa" w:w="120"/>
            </w:tcMar>
            <w:vAlign w:val="center"/>
          </w:tcPr>
          <w:p>
            <w:r>
              <w:rPr>
                <w:b w:val="false"/>
                <w:bCs w:val="false"/>
                <w:color w:val="262626"/>
                <w:sz w:val="20"/>
                <w:szCs w:val="20"/>
              </w:rPr>
              <w:t xml:space="preserve">1,935 (24%)</w:t>
            </w:r>
          </w:p>
        </w:tc>
        <w:tc>
          <w:tcPr>
            <w:tcW w:type="dxa" w:w="1500"/>
            <w:shd w:fill="FFFFFF" w:val="clear"/>
            <w:tcMar>
              <w:top w:type="dxa" w:w="90"/>
              <w:left w:type="dxa" w:w="120"/>
              <w:bottom w:type="dxa" w:w="90"/>
              <w:right w:type="dxa" w:w="120"/>
            </w:tcMar>
            <w:vAlign w:val="center"/>
          </w:tcPr>
          <w:p>
            <w:r>
              <w:rPr>
                <w:b w:val="false"/>
                <w:bCs w:val="false"/>
                <w:color w:val="262626"/>
                <w:sz w:val="20"/>
                <w:szCs w:val="20"/>
              </w:rPr>
              <w:t xml:space="preserve">2.12</w:t>
            </w:r>
          </w:p>
        </w:tc>
        <w:tc>
          <w:tcPr>
            <w:tcW w:type="dxa" w:w="1500"/>
            <w:shd w:fill="FFFFFF" w:val="clear"/>
            <w:tcMar>
              <w:top w:type="dxa" w:w="90"/>
              <w:left w:type="dxa" w:w="120"/>
              <w:bottom w:type="dxa" w:w="90"/>
              <w:right w:type="dxa" w:w="120"/>
            </w:tcMar>
            <w:vAlign w:val="center"/>
          </w:tcPr>
          <w:p>
            <w:r>
              <w:rPr>
                <w:b w:val="false"/>
                <w:bCs w:val="false"/>
                <w:color w:val="262626"/>
                <w:sz w:val="20"/>
                <w:szCs w:val="20"/>
              </w:rPr>
              <w:t xml:space="preserve">76.0%</w:t>
            </w:r>
          </w:p>
        </w:tc>
        <w:tc>
          <w:tcPr>
            <w:tcW w:type="dxa" w:w="3160"/>
            <w:shd w:fill="FFFFFF" w:val="clear"/>
            <w:tcMar>
              <w:top w:type="dxa" w:w="90"/>
              <w:left w:type="dxa" w:w="120"/>
              <w:bottom w:type="dxa" w:w="90"/>
              <w:right w:type="dxa" w:w="120"/>
            </w:tcMar>
            <w:vAlign w:val="center"/>
          </w:tcPr>
          <w:p>
            <w:r>
              <w:rPr>
                <w:b w:val="false"/>
                <w:bCs w:val="false"/>
                <w:color w:val="262626"/>
                <w:sz w:val="20"/>
                <w:szCs w:val="20"/>
              </w:rPr>
              <w:t xml:space="preserve">Very short sessions, leave quickly, unhappy</w:t>
            </w:r>
          </w:p>
        </w:tc>
      </w:tr>
      <w:tr>
        <w:tc>
          <w:tcPr>
            <w:tcW w:type="dxa" w:w="1600"/>
            <w:shd w:fill="EDF2F8" w:val="clear"/>
            <w:tcMar>
              <w:top w:type="dxa" w:w="90"/>
              <w:left w:type="dxa" w:w="120"/>
              <w:bottom w:type="dxa" w:w="90"/>
              <w:right w:type="dxa" w:w="120"/>
            </w:tcMar>
            <w:vAlign w:val="center"/>
          </w:tcPr>
          <w:p>
            <w:r>
              <w:rPr>
                <w:b w:val="false"/>
                <w:bCs w:val="false"/>
                <w:color w:val="262626"/>
                <w:sz w:val="20"/>
                <w:szCs w:val="20"/>
              </w:rPr>
              <w:t xml:space="preserve">Frustrated Browsers</w:t>
            </w:r>
          </w:p>
        </w:tc>
        <w:tc>
          <w:tcPr>
            <w:tcW w:type="dxa" w:w="2400"/>
            <w:shd w:fill="EDF2F8" w:val="clear"/>
            <w:tcMar>
              <w:top w:type="dxa" w:w="90"/>
              <w:left w:type="dxa" w:w="120"/>
              <w:bottom w:type="dxa" w:w="90"/>
              <w:right w:type="dxa" w:w="120"/>
            </w:tcMar>
            <w:vAlign w:val="center"/>
          </w:tcPr>
          <w:p>
            <w:r>
              <w:rPr>
                <w:b w:val="false"/>
                <w:bCs w:val="false"/>
                <w:color w:val="262626"/>
                <w:sz w:val="20"/>
                <w:szCs w:val="20"/>
              </w:rPr>
              <w:t xml:space="preserve">2,032 (25%)</w:t>
            </w:r>
          </w:p>
        </w:tc>
        <w:tc>
          <w:tcPr>
            <w:tcW w:type="dxa" w:w="1500"/>
            <w:shd w:fill="EDF2F8" w:val="clear"/>
            <w:tcMar>
              <w:top w:type="dxa" w:w="90"/>
              <w:left w:type="dxa" w:w="120"/>
              <w:bottom w:type="dxa" w:w="90"/>
              <w:right w:type="dxa" w:w="120"/>
            </w:tcMar>
            <w:vAlign w:val="center"/>
          </w:tcPr>
          <w:p>
            <w:r>
              <w:rPr>
                <w:b w:val="false"/>
                <w:bCs w:val="false"/>
                <w:color w:val="262626"/>
                <w:sz w:val="20"/>
                <w:szCs w:val="20"/>
              </w:rPr>
              <w:t xml:space="preserve">2.71</w:t>
            </w:r>
          </w:p>
        </w:tc>
        <w:tc>
          <w:tcPr>
            <w:tcW w:type="dxa" w:w="1500"/>
            <w:shd w:fill="EDF2F8" w:val="clear"/>
            <w:tcMar>
              <w:top w:type="dxa" w:w="90"/>
              <w:left w:type="dxa" w:w="120"/>
              <w:bottom w:type="dxa" w:w="90"/>
              <w:right w:type="dxa" w:w="120"/>
            </w:tcMar>
            <w:vAlign w:val="center"/>
          </w:tcPr>
          <w:p>
            <w:r>
              <w:rPr>
                <w:b w:val="false"/>
                <w:bCs w:val="false"/>
                <w:color w:val="262626"/>
                <w:sz w:val="20"/>
                <w:szCs w:val="20"/>
              </w:rPr>
              <w:t xml:space="preserve">72.4%</w:t>
            </w:r>
          </w:p>
        </w:tc>
        <w:tc>
          <w:tcPr>
            <w:tcW w:type="dxa" w:w="3160"/>
            <w:shd w:fill="EDF2F8" w:val="clear"/>
            <w:tcMar>
              <w:top w:type="dxa" w:w="90"/>
              <w:left w:type="dxa" w:w="120"/>
              <w:bottom w:type="dxa" w:w="90"/>
              <w:right w:type="dxa" w:w="120"/>
            </w:tcMar>
            <w:vAlign w:val="center"/>
          </w:tcPr>
          <w:p>
            <w:r>
              <w:rPr>
                <w:b w:val="false"/>
                <w:bCs w:val="false"/>
                <w:color w:val="262626"/>
                <w:sz w:val="20"/>
                <w:szCs w:val="20"/>
              </w:rPr>
              <w:t xml:space="preserve">Long time on site but still bounce, low satisfaction</w:t>
            </w:r>
          </w:p>
        </w:tc>
      </w:tr>
    </w:tbl>
    <w:p>
      <w:pPr>
        <w:spacing w:after="140" w:before="160"/>
      </w:pPr>
    </w:p>
    <w:p>
      <w:pPr>
        <w:spacing w:after="140" w:line="276"/>
      </w:pPr>
      <w:r>
        <w:rPr>
          <w:color w:val="262626"/>
          <w:sz w:val="21"/>
          <w:szCs w:val="21"/>
        </w:rPr>
        <w:t xml:space="preserve">Roughly half the customer base (Efficient Shoppers and High-Value Loyal customers) is engaged and satisfied. The other half shows high bounce rates and low ratings — including a group that spends significant time on the site before still leaving unsatisfied (Frustrated Browsers), which is worth investigating as a possible site or checkout friction issue rather than a lack of interest.</w:t>
      </w:r>
    </w:p>
    <w:p>
      <w:pPr>
        <w:spacing w:after="140" w:line="276"/>
      </w:pPr>
      <w:r>
        <w:rPr>
          <w:i/>
          <w:iCs/>
          <w:color w:val="595959"/>
          <w:sz w:val="21"/>
          <w:szCs w:val="21"/>
        </w:rPr>
        <w:t xml:space="preserve">The silhouette score (0.16) indicates the four segments are directionally meaningful but not sharply separated — useful for prioritizing marketing effort, not as a rigid customer classification.</w:t>
      </w:r>
    </w:p>
    <w:p>
      <w:pPr>
        <w:pStyle w:val="Heading1"/>
        <w:pBdr>
          <w:bottom w:val="single" w:color="2E75B6" w:sz="8" w:space="4"/>
        </w:pBdr>
        <w:spacing w:after="160" w:before="320"/>
      </w:pPr>
      <w:r>
        <w:rPr>
          <w:b/>
          <w:bCs/>
          <w:color w:val="1F3864"/>
          <w:sz w:val="28"/>
          <w:szCs w:val="28"/>
        </w:rPr>
        <w:t xml:space="preserve">Model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shd w:fill="1F3864" w:val="clear"/>
            <w:tcMar>
              <w:top w:type="dxa" w:w="90"/>
              <w:left w:type="dxa" w:w="120"/>
              <w:bottom w:type="dxa" w:w="90"/>
              <w:right w:type="dxa" w:w="120"/>
            </w:tcMar>
            <w:vAlign w:val="center"/>
          </w:tcPr>
          <w:p>
            <w:r>
              <w:rPr>
                <w:b/>
                <w:bCs/>
                <w:color w:val="FFFFFF"/>
                <w:sz w:val="20"/>
                <w:szCs w:val="20"/>
              </w:rPr>
              <w:t xml:space="preserve">Model</w:t>
            </w:r>
          </w:p>
        </w:tc>
        <w:tc>
          <w:tcPr>
            <w:tcW w:type="dxa" w:w="2600"/>
            <w:shd w:fill="1F3864" w:val="clear"/>
            <w:tcMar>
              <w:top w:type="dxa" w:w="90"/>
              <w:left w:type="dxa" w:w="120"/>
              <w:bottom w:type="dxa" w:w="90"/>
              <w:right w:type="dxa" w:w="120"/>
            </w:tcMar>
            <w:vAlign w:val="center"/>
          </w:tcPr>
          <w:p>
            <w:r>
              <w:rPr>
                <w:b/>
                <w:bCs/>
                <w:color w:val="FFFFFF"/>
                <w:sz w:val="20"/>
                <w:szCs w:val="20"/>
              </w:rPr>
              <w:t xml:space="preserve">Key Result</w:t>
            </w:r>
          </w:p>
        </w:tc>
        <w:tc>
          <w:tcPr>
            <w:tcW w:type="dxa" w:w="4160"/>
            <w:shd w:fill="1F3864" w:val="clear"/>
            <w:tcMar>
              <w:top w:type="dxa" w:w="90"/>
              <w:left w:type="dxa" w:w="120"/>
              <w:bottom w:type="dxa" w:w="90"/>
              <w:right w:type="dxa" w:w="120"/>
            </w:tcMar>
            <w:vAlign w:val="center"/>
          </w:tcPr>
          <w:p>
            <w:r>
              <w:rPr>
                <w:b/>
                <w:bCs/>
                <w:color w:val="FFFFFF"/>
                <w:sz w:val="20"/>
                <w:szCs w:val="20"/>
              </w:rPr>
              <w:t xml:space="preserve">Business Use</w:t>
            </w:r>
          </w:p>
        </w:tc>
      </w:tr>
      <w:tr>
        <w:tc>
          <w:tcPr>
            <w:tcW w:type="dxa" w:w="2600"/>
            <w:shd w:fill="FFFFFF" w:val="clear"/>
            <w:tcMar>
              <w:top w:type="dxa" w:w="90"/>
              <w:left w:type="dxa" w:w="120"/>
              <w:bottom w:type="dxa" w:w="90"/>
              <w:right w:type="dxa" w:w="120"/>
            </w:tcMar>
            <w:vAlign w:val="center"/>
          </w:tcPr>
          <w:p>
            <w:r>
              <w:rPr>
                <w:b w:val="false"/>
                <w:bCs w:val="false"/>
                <w:color w:val="262626"/>
                <w:sz w:val="20"/>
                <w:szCs w:val="20"/>
              </w:rPr>
              <w:t xml:space="preserve">Rating Prediction (Ridge Regression)</w:t>
            </w:r>
          </w:p>
        </w:tc>
        <w:tc>
          <w:tcPr>
            <w:tcW w:type="dxa" w:w="2600"/>
            <w:shd w:fill="FFFFFF" w:val="clear"/>
            <w:tcMar>
              <w:top w:type="dxa" w:w="90"/>
              <w:left w:type="dxa" w:w="120"/>
              <w:bottom w:type="dxa" w:w="90"/>
              <w:right w:type="dxa" w:w="120"/>
            </w:tcMar>
            <w:vAlign w:val="center"/>
          </w:tcPr>
          <w:p>
            <w:r>
              <w:rPr>
                <w:b w:val="false"/>
                <w:bCs w:val="false"/>
                <w:color w:val="262626"/>
                <w:sz w:val="20"/>
                <w:szCs w:val="20"/>
              </w:rPr>
              <w:t xml:space="preserve">R² = 0.998, RMSE = 0.03</w:t>
            </w:r>
          </w:p>
        </w:tc>
        <w:tc>
          <w:tcPr>
            <w:tcW w:type="dxa" w:w="4160"/>
            <w:shd w:fill="FFFFFF" w:val="clear"/>
            <w:tcMar>
              <w:top w:type="dxa" w:w="90"/>
              <w:left w:type="dxa" w:w="120"/>
              <w:bottom w:type="dxa" w:w="90"/>
              <w:right w:type="dxa" w:w="120"/>
            </w:tcMar>
            <w:vAlign w:val="center"/>
          </w:tcPr>
          <w:p>
            <w:r>
              <w:rPr>
                <w:b w:val="false"/>
                <w:bCs w:val="false"/>
                <w:color w:val="262626"/>
                <w:sz w:val="20"/>
                <w:szCs w:val="20"/>
              </w:rPr>
              <w:t xml:space="preserve">Rank products by predicted satisfaction</w:t>
            </w:r>
          </w:p>
        </w:tc>
      </w:tr>
      <w:tr>
        <w:tc>
          <w:tcPr>
            <w:tcW w:type="dxa" w:w="2600"/>
            <w:shd w:fill="EDF2F8" w:val="clear"/>
            <w:tcMar>
              <w:top w:type="dxa" w:w="90"/>
              <w:left w:type="dxa" w:w="120"/>
              <w:bottom w:type="dxa" w:w="90"/>
              <w:right w:type="dxa" w:w="120"/>
            </w:tcMar>
            <w:vAlign w:val="center"/>
          </w:tcPr>
          <w:p>
            <w:r>
              <w:rPr>
                <w:b w:val="false"/>
                <w:bCs w:val="false"/>
                <w:color w:val="262626"/>
                <w:sz w:val="20"/>
                <w:szCs w:val="20"/>
              </w:rPr>
              <w:t xml:space="preserve">Purchase Prediction (Logistic Regression, tuned)</w:t>
            </w:r>
          </w:p>
        </w:tc>
        <w:tc>
          <w:tcPr>
            <w:tcW w:type="dxa" w:w="2600"/>
            <w:shd w:fill="EDF2F8" w:val="clear"/>
            <w:tcMar>
              <w:top w:type="dxa" w:w="90"/>
              <w:left w:type="dxa" w:w="120"/>
              <w:bottom w:type="dxa" w:w="90"/>
              <w:right w:type="dxa" w:w="120"/>
            </w:tcMar>
            <w:vAlign w:val="center"/>
          </w:tcPr>
          <w:p>
            <w:r>
              <w:rPr>
                <w:b w:val="false"/>
                <w:bCs w:val="false"/>
                <w:color w:val="262626"/>
                <w:sz w:val="20"/>
                <w:szCs w:val="20"/>
              </w:rPr>
              <w:t xml:space="preserve">Accuracy 86.7%, F1 0.90, ROC-AUC 0.91</w:t>
            </w:r>
          </w:p>
        </w:tc>
        <w:tc>
          <w:tcPr>
            <w:tcW w:type="dxa" w:w="4160"/>
            <w:shd w:fill="EDF2F8" w:val="clear"/>
            <w:tcMar>
              <w:top w:type="dxa" w:w="90"/>
              <w:left w:type="dxa" w:w="120"/>
              <w:bottom w:type="dxa" w:w="90"/>
              <w:right w:type="dxa" w:w="120"/>
            </w:tcMar>
            <w:vAlign w:val="center"/>
          </w:tcPr>
          <w:p>
            <w:r>
              <w:rPr>
                <w:b w:val="false"/>
                <w:bCs w:val="false"/>
                <w:color w:val="262626"/>
                <w:sz w:val="20"/>
                <w:szCs w:val="20"/>
              </w:rPr>
              <w:t xml:space="preserve">Flag likely buyers for targeting and offers</w:t>
            </w:r>
          </w:p>
        </w:tc>
      </w:tr>
      <w:tr>
        <w:tc>
          <w:tcPr>
            <w:tcW w:type="dxa" w:w="2600"/>
            <w:shd w:fill="FFFFFF" w:val="clear"/>
            <w:tcMar>
              <w:top w:type="dxa" w:w="90"/>
              <w:left w:type="dxa" w:w="120"/>
              <w:bottom w:type="dxa" w:w="90"/>
              <w:right w:type="dxa" w:w="120"/>
            </w:tcMar>
            <w:vAlign w:val="center"/>
          </w:tcPr>
          <w:p>
            <w:r>
              <w:rPr>
                <w:b w:val="false"/>
                <w:bCs w:val="false"/>
                <w:color w:val="262626"/>
                <w:sz w:val="20"/>
                <w:szCs w:val="20"/>
              </w:rPr>
              <w:t xml:space="preserve">Customer Segmentation (K-Means, k=4)</w:t>
            </w:r>
          </w:p>
        </w:tc>
        <w:tc>
          <w:tcPr>
            <w:tcW w:type="dxa" w:w="2600"/>
            <w:shd w:fill="FFFFFF" w:val="clear"/>
            <w:tcMar>
              <w:top w:type="dxa" w:w="90"/>
              <w:left w:type="dxa" w:w="120"/>
              <w:bottom w:type="dxa" w:w="90"/>
              <w:right w:type="dxa" w:w="120"/>
            </w:tcMar>
            <w:vAlign w:val="center"/>
          </w:tcPr>
          <w:p>
            <w:r>
              <w:rPr>
                <w:b w:val="false"/>
                <w:bCs w:val="false"/>
                <w:color w:val="262626"/>
                <w:sz w:val="20"/>
                <w:szCs w:val="20"/>
              </w:rPr>
              <w:t xml:space="preserve">Silhouette 0.16</w:t>
            </w:r>
          </w:p>
        </w:tc>
        <w:tc>
          <w:tcPr>
            <w:tcW w:type="dxa" w:w="4160"/>
            <w:shd w:fill="FFFFFF" w:val="clear"/>
            <w:tcMar>
              <w:top w:type="dxa" w:w="90"/>
              <w:left w:type="dxa" w:w="120"/>
              <w:bottom w:type="dxa" w:w="90"/>
              <w:right w:type="dxa" w:w="120"/>
            </w:tcMar>
            <w:vAlign w:val="center"/>
          </w:tcPr>
          <w:p>
            <w:r>
              <w:rPr>
                <w:b w:val="false"/>
                <w:bCs w:val="false"/>
                <w:color w:val="262626"/>
                <w:sz w:val="20"/>
                <w:szCs w:val="20"/>
              </w:rPr>
              <w:t xml:space="preserve">Group customers for tailored marketing</w:t>
            </w:r>
          </w:p>
        </w:tc>
      </w:tr>
    </w:tbl>
    <w:p>
      <w:pPr>
        <w:pStyle w:val="Heading1"/>
        <w:pBdr>
          <w:bottom w:val="single" w:color="2E75B6" w:sz="8" w:space="4"/>
        </w:pBdr>
        <w:spacing w:after="160" w:before="320"/>
      </w:pPr>
      <w:r>
        <w:rPr>
          <w:b/>
          <w:bCs/>
          <w:color w:val="1F3864"/>
          <w:sz w:val="28"/>
          <w:szCs w:val="28"/>
        </w:rPr>
        <w:t xml:space="preserve">Recommendations</w:t>
      </w:r>
    </w:p>
    <w:p>
      <w:pPr>
        <w:pStyle w:val="ListParagraph"/>
        <w:numPr>
          <w:ilvl w:val="0"/>
          <w:numId w:val="1"/>
        </w:numPr>
        <w:spacing w:after="80" w:line="270"/>
      </w:pPr>
      <w:r>
        <w:rPr>
          <w:color w:val="262626"/>
          <w:sz w:val="21"/>
          <w:szCs w:val="21"/>
        </w:rPr>
        <w:t xml:space="preserve">Use the purchase model now to prioritize cart-recovery emails and targeted discounts for high-probability buyers.</w:t>
      </w:r>
    </w:p>
    <w:p>
      <w:pPr>
        <w:pStyle w:val="ListParagraph"/>
        <w:numPr>
          <w:ilvl w:val="0"/>
          <w:numId w:val="1"/>
        </w:numPr>
        <w:spacing w:after="80" w:line="270"/>
      </w:pPr>
      <w:r>
        <w:rPr>
          <w:color w:val="262626"/>
          <w:sz w:val="21"/>
          <w:szCs w:val="21"/>
        </w:rPr>
        <w:t xml:space="preserve">Investigate the Frustrated Browsers segment for UX or checkout friction — they spend time on site but leave at a high rate.</w:t>
      </w:r>
    </w:p>
    <w:p>
      <w:pPr>
        <w:pStyle w:val="ListParagraph"/>
        <w:numPr>
          <w:ilvl w:val="0"/>
          <w:numId w:val="1"/>
        </w:numPr>
        <w:spacing w:after="80" w:line="270"/>
      </w:pPr>
      <w:r>
        <w:rPr>
          <w:color w:val="262626"/>
          <w:sz w:val="21"/>
          <w:szCs w:val="21"/>
        </w:rPr>
        <w:t xml:space="preserve">Offer loyalty rewards to High-Value Loyal customers to protect the most valuable segment.</w:t>
      </w:r>
    </w:p>
    <w:p>
      <w:pPr>
        <w:pStyle w:val="ListParagraph"/>
        <w:numPr>
          <w:ilvl w:val="0"/>
          <w:numId w:val="1"/>
        </w:numPr>
        <w:spacing w:after="80" w:line="270"/>
      </w:pPr>
      <w:r>
        <w:rPr>
          <w:color w:val="262626"/>
          <w:sz w:val="21"/>
          <w:szCs w:val="21"/>
        </w:rPr>
        <w:t xml:space="preserve">Re-engage At-Risk Browsers with simplified landing pages or onboarding, since they leave quickly.</w:t>
      </w:r>
    </w:p>
    <w:p>
      <w:pPr>
        <w:pStyle w:val="ListParagraph"/>
        <w:numPr>
          <w:ilvl w:val="0"/>
          <w:numId w:val="1"/>
        </w:numPr>
        <w:spacing w:after="80" w:line="270"/>
      </w:pPr>
      <w:r>
        <w:rPr>
          <w:color w:val="262626"/>
          <w:sz w:val="21"/>
          <w:szCs w:val="21"/>
        </w:rPr>
        <w:t xml:space="preserve">Collect real customer ratings going forward and retrain the rating model on genuine feedback before relying on it for recommendations.</w:t>
      </w:r>
    </w:p>
    <w:p>
      <w:pPr>
        <w:pStyle w:val="Heading1"/>
        <w:pBdr>
          <w:bottom w:val="single" w:color="2E75B6" w:sz="8" w:space="4"/>
        </w:pBdr>
        <w:spacing w:after="160" w:before="320"/>
      </w:pPr>
      <w:r>
        <w:rPr>
          <w:b/>
          <w:bCs/>
          <w:color w:val="1F3864"/>
          <w:sz w:val="28"/>
          <w:szCs w:val="28"/>
        </w:rPr>
        <w:t xml:space="preserve">Conclusion</w:t>
      </w:r>
    </w:p>
    <w:p>
      <w:pPr>
        <w:spacing w:after="140" w:line="276"/>
      </w:pPr>
      <w:r>
        <w:rPr>
          <w:color w:val="262626"/>
          <w:sz w:val="21"/>
          <w:szCs w:val="21"/>
        </w:rPr>
        <w:t xml:space="preserve">The purchase-prediction and segmentation models are ready to support targeting and marketing decisions. The rating model demonstrates the approach works technically, but needs real rating data before its predictions can be trusted for product recommendations. Combining all three once mature will allow the business to decide who to target (segmentation), whether they'll buy (classification), and what they'll like (regression) in one recommendation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2026-07-05T13:03:47.397Z</dcterms:created>
  <dcterms:modified xsi:type="dcterms:W3CDTF">2026-07-05T13:03:47.397Z</dcterms:modified>
</cp:coreProperties>
</file>

<file path=docProps/custom.xml><?xml version="1.0" encoding="utf-8"?>
<Properties xmlns="http://schemas.openxmlformats.org/officeDocument/2006/custom-properties" xmlns:vt="http://schemas.openxmlformats.org/officeDocument/2006/docPropsVTypes"/>
</file>