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Multi-Algorithm Recommendation System Comparison</w:t>
      </w:r>
    </w:p>
    <w:p>
      <w:pPr>
        <w:spacing w:after="400"/>
      </w:pPr>
      <w:r>
        <w:rPr>
          <w:i/>
          <w:iCs/>
          <w:sz w:val="26"/>
          <w:szCs w:val="26"/>
        </w:rPr>
        <w:t xml:space="preserve">E-Commerce Rating Prediction, Purchase Prediction &amp; Customer Segmentation</w:t>
      </w:r>
    </w:p>
    <w:p>
      <w:pPr>
        <w:spacing w:after="120"/>
      </w:pPr>
      <w:r>
        <w:t xml:space="preserve">Mini Project 3 — Machine Learning Comparison Report</w:t>
      </w:r>
    </w:p>
    <w:p>
      <w:pPr>
        <w:spacing w:after="120"/>
      </w:pPr>
      <w:r>
        <w:t xml:space="preserve">Prepared using Python, Pandas, NumPy, Scikit-learn, Matplotlib and Seaborn.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E-commerce platforms need to recommend the right products to the right customers. A single machine learning technique cannot address every part of this problem, so this project combines three complementary approaches: regression to estimate how a customer will rate a product, classification to predict whether a customer will purchase a product, and clustering to group customers by behavior. Comparing these approaches shows which technique is most useful for which business decision.</w:t>
      </w:r>
    </w:p>
    <w:p>
      <w:pPr>
        <w:pStyle w:val="Heading1"/>
        <w:spacing w:after="150" w:before="300"/>
      </w:pPr>
      <w:r>
        <w:t xml:space="preserve">2. Dataset Description</w:t>
      </w:r>
    </w:p>
    <w:p>
      <w:pPr>
        <w:spacing w:after="120"/>
      </w:pPr>
      <w:r>
        <w:t xml:space="preserve">A synthetic e-commerce interaction dataset was generated (no production dataset was supplied) with 6,040 rows and 10 columns, following the schema requested in the brief: User ID, Product ID, Product Category, Rating, Price, Purchase Status, Number of Views, Cart Status, Time Spent, and Previous Purchases. The data was generated with realistic dependencies — for example, higher cart activity and time on page increase the probability of both a higher rating and an eventual purchase — so the models have genuine signal to learn, similar to what would be found in real clickstream and transaction data.</w:t>
      </w:r>
    </w:p>
    <w:p>
      <w:pPr>
        <w:pStyle w:val="Heading2"/>
        <w:spacing w:after="100" w:before="200"/>
      </w:pPr>
      <w:r>
        <w:t xml:space="preserve">2.1 Raw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× Columns (raw)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6040 × 10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records found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 — Rating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 — Time Spent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× Columns (after cleaning)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6000 × 10</w:t>
            </w:r>
          </w:p>
        </w:tc>
      </w:tr>
    </w:tbl>
    <w:p>
      <w:pPr>
        <w:pStyle w:val="Heading1"/>
        <w:spacing w:after="150" w:before="300"/>
      </w:pPr>
      <w:r>
        <w:t xml:space="preserve">3. Data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40 duplicate records identified via full-row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Filled missing Rating values with the column median (rating is discrete 1–5).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Filled missing Time Spent values with the column median.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One-hot encoded the Product Category column (drop-first to avoid the dummy-variable trap).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Standardized numeric features with StandardScaler before Ridge Regression, Logistic Regression, and K-Means, since all three are distance/gradient-sensitive.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the data 80% training / 20% testing for the regression and classification tasks, using stratified sampling for classification to preserve the purchase/no-purchase ratio.</w:t>
      </w:r>
    </w:p>
    <w:p>
      <w:pPr>
        <w:pStyle w:val="Heading1"/>
        <w:spacing w:after="150" w:before="300"/>
      </w:pPr>
      <w:r>
        <w:t xml:space="preserve">4. Regression Model — Predicting Product Rating</w:t>
      </w:r>
    </w:p>
    <w:p>
      <w:pPr>
        <w:spacing w:after="120"/>
      </w:pPr>
      <w:r>
        <w:t xml:space="preserve">Ridge Regression was trained to predict the Rating a user is likely to give a product, using price, browsing behavior, and purchase-history features as inputs. Ridge was preferred over plain Linear Regression because its L2 penalty controls overfitting once the one-hot encoded category columns are added.</w:t>
      </w:r>
    </w:p>
    <w:p>
      <w:pPr>
        <w:pStyle w:val="Heading2"/>
        <w:spacing w:after="100" w:before="200"/>
      </w:pPr>
      <w:r>
        <w:t xml:space="preserve">4.1 Hyperparameter Tuning</w:t>
      </w:r>
    </w:p>
    <w:p>
      <w:pPr>
        <w:spacing w:after="120"/>
      </w:pPr>
      <w:r>
        <w:t xml:space="preserve">GridSearchCV (5-fold cross-validation, scoring = negative MAE) searched alpha ∈ {0.01, 0.1, 1, 10, 100}. Best alpha found: 0.01.</w:t>
      </w:r>
    </w:p>
    <w:p>
      <w:pPr>
        <w:pStyle w:val="Heading2"/>
        <w:spacing w:after="100" w:before="200"/>
      </w:pPr>
      <w:r>
        <w:t xml:space="preserve">4.2 Results: Baseline vs Tuned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(alpha=1.0)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Tuned (GridSearchCV)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0.551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0.551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RMSE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0.666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 Score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0.123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0.123</w:t>
            </w:r>
          </w:p>
        </w:tc>
      </w:tr>
    </w:tbl>
    <w:p>
      <w:pPr>
        <w:spacing w:after="200" w:before="10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The model explains a modest share of the variance in ratings (R² ≈ 0.12), meaning the available behavioral features capture some — but not most — of what drives a rating. This is realistic: ratings are also influenced by product quality and subjective taste, which aren't present in clickstream-style data. The MAE of roughly 0.55 stars indicates predictions are, on average, close to the true rating on the 1–5 scale.</w:t>
      </w:r>
    </w:p>
    <w:p>
      <w:pPr>
        <w:pStyle w:val="Heading1"/>
        <w:spacing w:after="150" w:before="300"/>
      </w:pPr>
      <w:r>
        <w:t xml:space="preserve">5. Classification Model — Predicting Purchase Likelihood</w:t>
      </w:r>
    </w:p>
    <w:p>
      <w:pPr>
        <w:spacing w:after="120"/>
      </w:pPr>
      <w:r>
        <w:t xml:space="preserve">Logistic Regression was trained to predict Purchase Status (1 = purchased, 0 = not purchased) from browsing and engagement features, including cart status and rating.</w:t>
      </w:r>
    </w:p>
    <w:p>
      <w:pPr>
        <w:pStyle w:val="Heading2"/>
        <w:spacing w:after="100" w:before="200"/>
      </w:pPr>
      <w:r>
        <w:t xml:space="preserve">5.1 Hyperparameter Tuning</w:t>
      </w:r>
    </w:p>
    <w:p>
      <w:pPr>
        <w:spacing w:after="120"/>
      </w:pPr>
      <w:r>
        <w:t xml:space="preserve">GridSearchCV (5-fold cross-validation, scoring = F1) searched C ∈ {0.01, 0.1, 1, 10}, solver ∈ {liblinear, lbfgs}, and max_iter ∈ {100, 200, 500}. Best parameters found: C = 1, solver = liblinear, max_iter = 100.</w:t>
      </w:r>
    </w:p>
    <w:p>
      <w:pPr>
        <w:pStyle w:val="Heading2"/>
        <w:spacing w:after="100" w:before="200"/>
      </w:pPr>
      <w:r>
        <w:t xml:space="preserve">5.2 Results: Baseline vs Tuned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(default)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Tuned (GridSearchCV)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0.534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0.538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0.214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0.218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 Score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0.310</w:t>
            </w:r>
          </w:p>
        </w:tc>
      </w:tr>
    </w:tbl>
    <w:p>
      <w:pPr>
        <w:spacing w:after="200" w:before="100"/>
        <w:jc w:val="center"/>
      </w:pPr>
      <w:r>
        <w:drawing>
          <wp:inline distT="0" distB="0" distL="0" distR="0">
            <wp:extent cx="3333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The confusion matrix shows 64 true positives (correctly identified purchasers) against 230 false negatives (missed purchasers) and 55 false positives. Accuracy (~76%) is inflated by the class imbalance — most visits do not end in a purchase — so precision and recall are more informative here. Recall (~22%) shows the model is conservative: it correctly flags purchasers, but misses a substantial number of them. For a marketing use case, this trade-off (high precision, lower recall) means the model is better suited to a "confident targeting" list than a broad "catch every buyer" list.</w:t>
      </w:r>
    </w:p>
    <w:p>
      <w:pPr>
        <w:pStyle w:val="Heading1"/>
        <w:spacing w:after="150" w:before="300"/>
      </w:pPr>
      <w:r>
        <w:t xml:space="preserve">6. Clustering Model — Customer Segmentation</w:t>
      </w:r>
    </w:p>
    <w:p>
      <w:pPr>
        <w:spacing w:after="120"/>
      </w:pPr>
      <w:r>
        <w:t xml:space="preserve">K-Means was applied to customer-level aggregated features (total views, total purchases, average rating given, average time spent, total amount spent, and cart additions) to group customers by behavior.</w:t>
      </w:r>
    </w:p>
    <w:p>
      <w:pPr>
        <w:pStyle w:val="Heading2"/>
        <w:spacing w:after="100" w:before="200"/>
      </w:pPr>
      <w:r>
        <w:t xml:space="preserve">6.1 Choosing the Number of Clusters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Inertia</w:t>
            </w:r>
          </w:p>
        </w:tc>
        <w:tc>
          <w:tcPr>
            <w:tcW w:type="dxa" w:w="31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Silhouette Score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7870.6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6799.3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6096.6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0.184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5513.6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5031.5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0.188</w:t>
            </w:r>
          </w:p>
        </w:tc>
      </w:tr>
    </w:tbl>
    <w:p>
      <w:pPr>
        <w:spacing w:after="120"/>
      </w:pPr>
      <w:r>
        <w:t xml:space="preserve">The silhouette score peaks at k = 2 (score ≈ 0.300), indicating the clearest separation is a two-group split between low-engagement and high-engagement customers. In practice, a business team may still choose a slightly higher k (e.g., 4) to get more actionable segments for marketing, accepting a small drop in silhouette score in exchange for more nuanced groups — this is a modeling judgment call worth discussing with stakeholders.</w:t>
      </w:r>
    </w:p>
    <w:p>
      <w:pPr>
        <w:pStyle w:val="Heading2"/>
        <w:spacing w:after="100" w:before="200"/>
      </w:pPr>
      <w:r>
        <w:t xml:space="preserve">6.2 Cluster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40"/>
        <w:gridCol w:w="1440"/>
        <w:gridCol w:w="1300"/>
        <w:gridCol w:w="1600"/>
        <w:gridCol w:w="1400"/>
        <w:gridCol w:w="135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4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Views</w:t>
            </w:r>
          </w:p>
        </w:tc>
        <w:tc>
          <w:tcPr>
            <w:tcW w:type="dxa" w:w="14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Purchases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Time Spent (min)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Spend</w:t>
            </w:r>
          </w:p>
        </w:tc>
        <w:tc>
          <w:tcPr>
            <w:tcW w:type="dxa" w:w="1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Cart Adds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0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17.61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7.92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1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32.94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56.92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 of Customers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0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1304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1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581</w:t>
            </w:r>
          </w:p>
        </w:tc>
      </w:tr>
    </w:tbl>
    <w:p>
      <w:pPr>
        <w:spacing w:after="200" w:before="100"/>
        <w:jc w:val="center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Cluster 1 represents a smaller group of highly engaged, higher-spending customers (more views, more purchases, higher total spend, more cart activity). Cluster 0 represents the larger group of lower-engagement, mostly browsing customers. This maps naturally to the 'high-value customers' vs 'window shoppers' segments described in the brief.</w:t>
      </w:r>
    </w:p>
    <w:p>
      <w:pPr>
        <w:pStyle w:val="Heading1"/>
        <w:spacing w:after="150" w:before="300"/>
      </w:pPr>
      <w:r>
        <w:t xml:space="preserve">7. Model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1900"/>
        <w:gridCol w:w="1500"/>
        <w:gridCol w:w="174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 Task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Goal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Metrics Used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Result</w:t>
            </w:r>
          </w:p>
        </w:tc>
        <w:tc>
          <w:tcPr>
            <w:tcW w:type="dxa" w:w="174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Use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product rating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MAE, RMSE, R²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 0.55, R² 0.12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 highly-rated products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purchase likelihood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Accuracy, Precision, Recall, F1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 0.31, Acc 0.76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likely buyers with offers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K-Means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 customers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Inertia, Silhouette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k=2, Silhouette 0.30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tailored customer groups</w:t>
            </w:r>
          </w:p>
        </w:tc>
      </w:tr>
    </w:tbl>
    <w:p>
      <w:pPr>
        <w:pStyle w:val="Heading1"/>
        <w:spacing w:after="150" w:before="300"/>
      </w:pPr>
      <w:r>
        <w:t xml:space="preserve">8. Business Interpretation</w:t>
      </w:r>
    </w:p>
    <w:p>
      <w:pPr>
        <w:pStyle w:val="Heading2"/>
        <w:spacing w:after="100" w:before="200"/>
      </w:pPr>
      <w:r>
        <w:t xml:space="preserve">8.1 Which model performs 'better'?</w:t>
      </w:r>
    </w:p>
    <w:p>
      <w:pPr>
        <w:spacing w:after="120"/>
      </w:pPr>
      <w:r>
        <w:t xml:space="preserve">The three models are not directly comparable on a single scale because they answer different business questions — but each can be judged against the difficulty of its own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(Ridge): Explains a modest portion of rating variance (R² ≈ 0.12). Useful as one signal among several for ranking products, but should not be the sole basis for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(Logistic Regression): Reasonable precision (~54%) but limited recall (~22%) for identifying purchasers. Most reliable when used to build a short, high-confidence target list rather than a broad campaign.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Clustering (K-Means): Produces a clean, well-separated 2-segment split (silhouette ≈ 0.30) distinguishing high-value customers from low-engagement browsers — the most immediately actionable output for marketing segmentation.</w:t>
      </w:r>
    </w:p>
    <w:p>
      <w:pPr>
        <w:pStyle w:val="Heading2"/>
        <w:spacing w:after="100" w:before="200"/>
      </w:pPr>
      <w:r>
        <w:t xml:space="preserve">8.2 Recommended usage</w:t>
      </w:r>
    </w:p>
    <w:p>
      <w:pPr>
        <w:spacing w:after="120"/>
      </w:pPr>
      <w:r>
        <w:t xml:space="preserve">For this dataset, clustering delivers the clearest, most directly actionable business insight (who to target differently), while classification is best used narrowly for high-confidence purchase-intent targeting, and regression is best used as a supporting signal inside a broader recommendation ranking rather than a standalone prediction.</w:t>
      </w:r>
    </w:p>
    <w:p>
      <w:pPr>
        <w:pStyle w:val="Heading1"/>
        <w:spacing w:after="150" w:before="300"/>
      </w:pPr>
      <w:r>
        <w:t xml:space="preserve">9. Final Conclusion</w:t>
      </w:r>
    </w:p>
    <w:p>
      <w:pPr>
        <w:spacing w:after="120"/>
      </w:pPr>
      <w:r>
        <w:t xml:space="preserve">This project demonstrates that no single machine learning technique is sufficient for a full e-commerce recommendation system. Regression, classification, and clustering each address a distinct business question — what rating to expect, who is likely to buy, and how to group customers — and together they form a more complete decision-support system than any one model alone. Hyperparameter tuning with GridSearchCV produced small but consistent improvements across the regression and classification models, and the elbow/silhouette analysis gave a data-driven basis for choosing the number of customer segments. Future improvements could include richer behavioral history, collaborative-filtering signals, and non-linear models (e.g., gradient boosting) to raise predictive performance further.</w:t>
      </w:r>
    </w:p>
    <w:p>
      <w:pPr>
        <w:pStyle w:val="Heading1"/>
        <w:spacing w:after="150" w:before="300"/>
      </w:pPr>
      <w:r>
        <w:t xml:space="preserve">10. Appendix — Tools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programming language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loading and preprocessing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Models, GridSearchCV, evaluation metrics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f1abc461e7e4b6b3b7b451530e75ebd875326d.png"/><Relationship Id="rId8" Type="http://schemas.openxmlformats.org/officeDocument/2006/relationships/image" Target="media/cb5483d89bff179531fd49d1b86eeb643fb92c88.png"/><Relationship Id="rId9" Type="http://schemas.openxmlformats.org/officeDocument/2006/relationships/image" Target="media/a80bbe0c35879f0c995222ba915c6f18542a11d8.png"/><Relationship Id="rId10" Type="http://schemas.openxmlformats.org/officeDocument/2006/relationships/image" Target="media/625645808663b279d677ceaa73b10772ee9e53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2026-07-18T15:03:13.688Z</dcterms:created>
  <dcterms:modified xsi:type="dcterms:W3CDTF">2026-07-18T15:03:13.688Z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