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91CCC">
      <w:pPr>
        <w:jc w:val="center"/>
      </w:pPr>
      <w:r>
        <w:rPr>
          <w:rFonts w:ascii="Times New Roman" w:hAnsi="Times New Roman"/>
          <w:b/>
          <w:sz w:val="32"/>
        </w:rPr>
        <w:t>LITERATURE SURVEY</w:t>
      </w:r>
      <w:bookmarkStart w:id="0" w:name="_GoBack"/>
      <w:bookmarkEnd w:id="0"/>
    </w:p>
    <w:p w14:paraId="3AF8585F">
      <w:pPr>
        <w:jc w:val="center"/>
      </w:pPr>
      <w:r>
        <w:rPr>
          <w:rFonts w:ascii="Times New Roman" w:hAnsi="Times New Roman"/>
          <w:b/>
          <w:sz w:val="26"/>
        </w:rPr>
        <w:t>Hybrid Quantum-Classical Architectures for Large Language Model Agents</w:t>
      </w:r>
    </w:p>
    <w:p w14:paraId="2A1741DE">
      <w:pPr>
        <w:jc w:val="both"/>
      </w:pPr>
    </w:p>
    <w:p w14:paraId="5DE56828">
      <w:pPr>
        <w:jc w:val="both"/>
      </w:pPr>
      <w:r>
        <w:rPr>
          <w:rFonts w:ascii="Times New Roman" w:hAnsi="Times New Roman"/>
          <w:b/>
          <w:sz w:val="28"/>
        </w:rPr>
        <w:t>1. Introduction</w:t>
      </w:r>
    </w:p>
    <w:p w14:paraId="72A72B5B">
      <w:pPr>
        <w:spacing w:after="120" w:line="259" w:lineRule="auto"/>
        <w:jc w:val="both"/>
      </w:pPr>
      <w:r>
        <w:t xml:space="preserve">Our project implements a proof-of-concept hybrid quantum-classical architecture for Large Language Model (LLM) agents. A local classical LLM (Qwen2.5-0.5B-Instruct, run in Google Colab) handles natural-language understanding and generates candidate actions or </w:t>
      </w:r>
      <w:r>
        <w:rPr>
          <w:lang w:val="en-IN"/>
        </w:rPr>
        <w:t>sub-goals</w:t>
      </w:r>
      <w:r>
        <w:t>, while quantum algorithms are used for two selected computational tasks: optimization, using the Quantum Approximate Optimization Algorithm (QAOA) on a QUBO formulation, and search, using Grover’s algorithm. A classical control layer connects the LLM and the quantum modules by converting the candidate actions into a QUBO problem, executing the quantum circuits on the Aer simulator and converting the quantum results back into useful information for the LLM agent, which produces the final action. The architecture is demonstrated on a trip-planning example (Hyderabad to Bangalore) in which the agent uses train, bus, flight and hotel search tools and aims to minimize cost. Extensions such as a variational quantum circuit (VQC) or quantum kernel for similarity-based retrieval and a NISQ noise experiment are planned as future work.</w:t>
      </w:r>
    </w:p>
    <w:p w14:paraId="4BD470A0">
      <w:pPr>
        <w:spacing w:after="120" w:line="259" w:lineRule="auto"/>
        <w:jc w:val="both"/>
      </w:pPr>
      <w:r>
        <w:t>For this survey, we studied four recent research works. They cover quantum-assisted reasoning in LLMs, hybrid quantum-classical generative AI, quantum-enhanced LLMs running on real quantum hardware, and quantum-enhanced autonomous agents.</w:t>
      </w:r>
    </w:p>
    <w:p w14:paraId="05927CAE">
      <w:pPr>
        <w:jc w:val="both"/>
      </w:pPr>
      <w:r>
        <w:rPr>
          <w:rFonts w:ascii="Times New Roman" w:hAnsi="Times New Roman"/>
          <w:b/>
          <w:sz w:val="28"/>
        </w:rPr>
        <w:t>2. Papers Reviewed</w:t>
      </w:r>
    </w:p>
    <w:p w14:paraId="68B1CE2C">
      <w:pPr>
        <w:jc w:val="both"/>
      </w:pPr>
      <w:r>
        <w:rPr>
          <w:rFonts w:ascii="Times New Roman" w:hAnsi="Times New Roman"/>
          <w:b/>
          <w:sz w:val="24"/>
        </w:rPr>
        <w:t>2.1 Quantum Combinatorial Reasoning for Large Language Models</w:t>
      </w:r>
    </w:p>
    <w:p w14:paraId="0982D343">
      <w:pPr>
        <w:spacing w:after="100"/>
        <w:jc w:val="both"/>
      </w:pPr>
      <w:r>
        <w:rPr>
          <w:i/>
        </w:rPr>
        <w:t>C. Flores-Garrigós, G. Dev, M. Falkenthal, A. Gomez Cadavid, A. Simen, S. Kumar, E. Solano and N. N. Hegade, “Quantum Combinatorial Reasoning for Large Language Models,” Physical Review Research, vol. 8, 033070, 2026.</w:t>
      </w:r>
    </w:p>
    <w:p w14:paraId="4B579568">
      <w:pPr>
        <w:spacing w:after="120" w:line="259" w:lineRule="auto"/>
        <w:jc w:val="both"/>
      </w:pPr>
      <w:r>
        <w:rPr>
          <w:b/>
        </w:rPr>
        <w:t>Problem statement:</w:t>
      </w:r>
      <w:r>
        <w:t xml:space="preserve"> LLMs can generate multiple reasoning paths for a difficult question, but selecting and combining the most useful reasoning fragments can become a combinatorial optimization problem. Traditional methods such as majority voting and self-consistency may require many samples without explicitly optimizing the relationships between reasoning fragments.</w:t>
      </w:r>
    </w:p>
    <w:p w14:paraId="334CF848">
      <w:pPr>
        <w:spacing w:after="120" w:line="259" w:lineRule="auto"/>
        <w:jc w:val="both"/>
      </w:pPr>
      <w:r>
        <w:rPr>
          <w:b/>
        </w:rPr>
        <w:t>Quantum approach:</w:t>
      </w:r>
      <w:r>
        <w:t xml:space="preserve"> The paper proposes Quantum Combinatorial Reasoning for LLMs (QCR-LLM). Reasoning fragments are represented as binary variables and their relationships are formulated as a higher-order unconstrained binary optimization (HUBO) problem. The problem is solved using classical simulated annealing and a quantum optimizer based on bias-field digitized counterdiabatic quantum optimization. The quantum part was executed on IBM superconducting quantum processors.</w:t>
      </w:r>
    </w:p>
    <w:p w14:paraId="30676A80">
      <w:pPr>
        <w:spacing w:after="120" w:line="259" w:lineRule="auto"/>
        <w:jc w:val="both"/>
      </w:pPr>
      <w:r>
        <w:rPr>
          <w:b/>
        </w:rPr>
        <w:t>Findings:</w:t>
      </w:r>
      <w:r>
        <w:t xml:space="preserve"> Experiments using BIG-Bench Extra Hard benchmarks showed improvements in reasoning accuracy across multiple LLM backbones, with improvements reported up to 9 percentage points over some comparison systems. The study also compared the quantum method with classical simulated annealing. However, the quantum improvement over simulated annealing was small and not yet conclusive.</w:t>
      </w:r>
    </w:p>
    <w:p w14:paraId="241C3FC8">
      <w:pPr>
        <w:spacing w:after="120" w:line="259" w:lineRule="auto"/>
        <w:jc w:val="both"/>
      </w:pPr>
      <w:r>
        <w:rPr>
          <w:b/>
        </w:rPr>
        <w:t>Relevance:</w:t>
      </w:r>
      <w:r>
        <w:t xml:space="preserve"> This is highly relevant to our project because it demonstrates how a quantum optimization module can be connected to an LLM rather than replacing the LLM. Our project follows the same principle: the LLM’s candidate actions are formulated as a QUBO problem and solved with QAOA, while language processing stays classical. Unlike that work, which uses a HUBO formulation, a different quantum optimizer and real IBM hardware, our project applies QAOA on a simulator to a small trip-planning problem.</w:t>
      </w:r>
    </w:p>
    <w:p w14:paraId="40530617">
      <w:pPr>
        <w:jc w:val="both"/>
      </w:pPr>
      <w:r>
        <w:rPr>
          <w:rFonts w:ascii="Times New Roman" w:hAnsi="Times New Roman"/>
          <w:b/>
          <w:sz w:val="24"/>
        </w:rPr>
        <w:t>2.2 Quantum-Enhanced Generative Artificial Intelligence: A Critical Review of Classical Limitations, Complexity Barriers, and Hybrid Quantum-Classical Architectures</w:t>
      </w:r>
    </w:p>
    <w:p w14:paraId="18D04617">
      <w:pPr>
        <w:spacing w:after="100"/>
        <w:jc w:val="both"/>
      </w:pPr>
      <w:r>
        <w:rPr>
          <w:i/>
        </w:rPr>
        <w:t>D. Singh, O. J. and S. G. S., “Quantum-enhanced generative artificial intelligence: a critical review of classical limitations, complexity barriers, and hybrid quantum-classical architectures,” Frontiers in Artificial Intelligence, vol. 9, 1836641, 2026.</w:t>
      </w:r>
    </w:p>
    <w:p w14:paraId="21A027BD">
      <w:pPr>
        <w:spacing w:after="120" w:line="259" w:lineRule="auto"/>
        <w:jc w:val="both"/>
      </w:pPr>
      <w:r>
        <w:rPr>
          <w:b/>
        </w:rPr>
        <w:t>Problem statement:</w:t>
      </w:r>
      <w:r>
        <w:t xml:space="preserve"> Large Language Models and generative AI require substantial classical computational resources. The paper investigates whether quantum computing can directly replace classical LLM computation or whether quantum processing is more suitable for selected computational sub-tasks.</w:t>
      </w:r>
    </w:p>
    <w:p w14:paraId="37FA1F29">
      <w:pPr>
        <w:spacing w:after="120" w:line="259" w:lineRule="auto"/>
        <w:jc w:val="both"/>
      </w:pPr>
      <w:r>
        <w:rPr>
          <w:b/>
        </w:rPr>
        <w:t>Quantum approach:</w:t>
      </w:r>
      <w:r>
        <w:t xml:space="preserve"> The paper reviews quantum-enhanced generative AI and proposes that a hybrid quantum-classical architecture is more practical than attempting to make the entire LLM quantum. It discusses the use of quantum algorithms for computational subroutines and presents a case study involving Grover’s search algorithm for optimizing Retrieval-Augmented Generation (RAG) pipelines.</w:t>
      </w:r>
    </w:p>
    <w:p w14:paraId="477AD299">
      <w:pPr>
        <w:spacing w:after="120" w:line="259" w:lineRule="auto"/>
        <w:jc w:val="both"/>
      </w:pPr>
      <w:r>
        <w:rPr>
          <w:b/>
        </w:rPr>
        <w:t>Findings:</w:t>
      </w:r>
      <w:r>
        <w:t xml:space="preserve"> The study concludes that current quantum systems are unlikely to replace classical LLMs for general natural-language processing. Instead, quantum computing may be more useful for specific computational sub-problems such as search and optimization. The paper therefore supports hybrid architectures that combine classical generative AI with quantum computational modules.</w:t>
      </w:r>
    </w:p>
    <w:p w14:paraId="5D5447C1">
      <w:pPr>
        <w:spacing w:after="120" w:line="259" w:lineRule="auto"/>
        <w:jc w:val="both"/>
      </w:pPr>
      <w:r>
        <w:rPr>
          <w:b/>
        </w:rPr>
        <w:t>Relevance:</w:t>
      </w:r>
      <w:r>
        <w:t xml:space="preserve"> This paper strongly supports our project's hybrid architecture. Our project also keeps the LLM on the classical side and uses quantum computing only for selected optimization and search tasks. Its Grover-based case study is related to our Grover search module, although our module is a small 2-qubit demonstration (marked state 11) and is not integrated into a RAG pipeline.</w:t>
      </w:r>
    </w:p>
    <w:p w14:paraId="713AE8C9">
      <w:pPr>
        <w:jc w:val="both"/>
      </w:pPr>
      <w:r>
        <w:rPr>
          <w:rFonts w:ascii="Times New Roman" w:hAnsi="Times New Roman"/>
          <w:b/>
          <w:sz w:val="24"/>
        </w:rPr>
        <w:t>2.3 Quantum-Enhanced Large Language Models on Quantum Hardware via Cayley Unitary Adapters</w:t>
      </w:r>
    </w:p>
    <w:p w14:paraId="7102929B">
      <w:pPr>
        <w:spacing w:after="100"/>
        <w:jc w:val="both"/>
      </w:pPr>
      <w:r>
        <w:rPr>
          <w:i/>
        </w:rPr>
        <w:t>B. Aizpurua, S. Singh, A. Kshetrimayum, S. S. Jahromi and R. Orus, “Quantum-enhanced Large Language Models on Quantum Hardware via Cayley Unitary Adapters,” arXiv:2605.05914, 2026.</w:t>
      </w:r>
    </w:p>
    <w:p w14:paraId="509D2349">
      <w:pPr>
        <w:spacing w:after="120" w:line="259" w:lineRule="auto"/>
        <w:jc w:val="both"/>
      </w:pPr>
      <w:r>
        <w:rPr>
          <w:b/>
        </w:rPr>
        <w:t>Problem statement:</w:t>
      </w:r>
      <w:r>
        <w:t xml:space="preserve"> Large Language Models contain a very large number of trainable parameters, resulting in significant memory and computational requirements. The paper investigates whether quantum circuit components can be incorporated into existing LLM architectures to improve their performance with relatively few additional parameters.</w:t>
      </w:r>
    </w:p>
    <w:p w14:paraId="117EC913">
      <w:pPr>
        <w:spacing w:after="120" w:line="259" w:lineRule="auto"/>
        <w:jc w:val="both"/>
      </w:pPr>
      <w:r>
        <w:rPr>
          <w:b/>
        </w:rPr>
        <w:t>Quantum approach:</w:t>
      </w:r>
      <w:r>
        <w:t xml:space="preserve"> The authors introduce Cayley-parameterized unitary adapters, which are quantum circuit blocks inserted into frozen projection layers of pre-trained LLMs. The approach was tested on real quantum hardware, including a 156-qubit IBM Quantum System Two processor.</w:t>
      </w:r>
    </w:p>
    <w:p w14:paraId="6E2F3C50">
      <w:pPr>
        <w:spacing w:after="120" w:line="259" w:lineRule="auto"/>
        <w:jc w:val="both"/>
      </w:pPr>
      <w:r>
        <w:rPr>
          <w:b/>
        </w:rPr>
        <w:t>Findings:</w:t>
      </w:r>
      <w:r>
        <w:t xml:space="preserve"> The study reports a 1.4% improvement in perplexity for Llama 3.1 8B using only around 6,000 additional parameters. Experiments with SmolLM2 also showed improvements as the quantum unitary block size increased. The results demonstrate that quantum components can be integrated with practical LLMs and evaluated on real quantum hardware.</w:t>
      </w:r>
    </w:p>
    <w:p w14:paraId="35C22934">
      <w:pPr>
        <w:spacing w:after="120" w:line="259" w:lineRule="auto"/>
        <w:jc w:val="both"/>
      </w:pPr>
      <w:r>
        <w:rPr>
          <w:b/>
        </w:rPr>
        <w:t>Relevance:</w:t>
      </w:r>
      <w:r>
        <w:t xml:space="preserve"> This paper demonstrates the feasibility of connecting quantum processing directly with LLM architectures. Our project uses a different integration strategy: instead of inserting quantum circuits into the LLM itself, our quantum modules (QAOA and Grover search) operate as separate computational components that receive their inputs from the classical control layer.</w:t>
      </w:r>
    </w:p>
    <w:p w14:paraId="4B889757">
      <w:pPr>
        <w:jc w:val="both"/>
      </w:pPr>
      <w:r>
        <w:rPr>
          <w:rFonts w:ascii="Times New Roman" w:hAnsi="Times New Roman"/>
          <w:b/>
          <w:sz w:val="24"/>
        </w:rPr>
        <w:t>2.4 A Generative Neuro-Cognitive Architecture Using Quantum Algorithms for the Autonomous Behavior of a Smart Agent in a Simulation Environment</w:t>
      </w:r>
    </w:p>
    <w:p w14:paraId="14B8E18E">
      <w:pPr>
        <w:spacing w:after="100"/>
        <w:jc w:val="both"/>
      </w:pPr>
      <w:r>
        <w:rPr>
          <w:i/>
        </w:rPr>
        <w:t>E. Daglarli, “A Generative Neuro-Cognitive Architecture Using Quantum Algorithms for the Autonomous Behavior of a Smart Agent in a Simulation Environment,” Computers, Materials &amp; Continua, vol. 84, no. 3, pp. 4511–4537, 2025.</w:t>
      </w:r>
    </w:p>
    <w:p w14:paraId="19A32C86">
      <w:pPr>
        <w:spacing w:after="120" w:line="259" w:lineRule="auto"/>
        <w:jc w:val="both"/>
      </w:pPr>
      <w:r>
        <w:rPr>
          <w:b/>
        </w:rPr>
        <w:t>Problem statement:</w:t>
      </w:r>
      <w:r>
        <w:t xml:space="preserve"> Autonomous agents need to make decisions and select appropriate actions in dynamic environments. Classical deep-learning-based agents can face difficulties when dealing with complex decision-making and multi-objective environments.</w:t>
      </w:r>
    </w:p>
    <w:p w14:paraId="03D24D58">
      <w:pPr>
        <w:spacing w:after="120" w:line="259" w:lineRule="auto"/>
        <w:jc w:val="both"/>
      </w:pPr>
      <w:r>
        <w:rPr>
          <w:b/>
        </w:rPr>
        <w:t>Quantum approach:</w:t>
      </w:r>
      <w:r>
        <w:t xml:space="preserve"> The paper proposes a quantum-enhanced cognitive architecture that combines a transformer-based reinforcement learning module with quantum algorithms including Deutsch-Jozsa, Bernstein-Vazirani and Grover's search. The quantum algorithms are incorporated into the agent's decision-making and cognitive processes.</w:t>
      </w:r>
    </w:p>
    <w:p w14:paraId="61FA2FE4">
      <w:pPr>
        <w:spacing w:after="120" w:line="259" w:lineRule="auto"/>
        <w:jc w:val="both"/>
      </w:pPr>
      <w:r>
        <w:rPr>
          <w:b/>
        </w:rPr>
        <w:t>Findings:</w:t>
      </w:r>
      <w:r>
        <w:t xml:space="preserve"> The experiments were conducted in a Minecraft-based simulation environment. The quantum-enhanced agent achieved approximately 2× faster convergence to an 80% task-success level in exploration tasks and around 15% higher cumulative rewards than the classical deep-RL baseline. However, the reported benefits were task-dependent and less significant in highly uncertain reactive scenarios.</w:t>
      </w:r>
    </w:p>
    <w:p w14:paraId="00F16FFA">
      <w:pPr>
        <w:spacing w:after="120" w:line="259" w:lineRule="auto"/>
        <w:jc w:val="both"/>
      </w:pPr>
      <w:r>
        <w:rPr>
          <w:b/>
        </w:rPr>
        <w:t>Relevance:</w:t>
      </w:r>
      <w:r>
        <w:t xml:space="preserve"> This paper is relevant because it demonstrates the integration of quantum algorithms, including Grover's search, into an intelligent agent's decision-making process. Our project applies a related idea to an LLM-based agent, where the LLM performs language understanding and candidate-action generation while quantum algorithms (QAOA and Grover search) handle selected optimization and search sub-tasks.</w:t>
      </w:r>
    </w:p>
    <w:p w14:paraId="78B275A8">
      <w:pPr>
        <w:jc w:val="both"/>
      </w:pPr>
      <w:r>
        <w:rPr>
          <w:rFonts w:ascii="Times New Roman" w:hAnsi="Times New Roman"/>
          <w:b/>
          <w:sz w:val="28"/>
        </w:rPr>
        <w:t>3.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0839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772FC92">
            <w:pPr>
              <w:spacing w:after="0" w:line="240" w:lineRule="auto"/>
              <w:jc w:val="both"/>
            </w:pPr>
            <w:r>
              <w:rPr>
                <w:rFonts w:ascii="Times New Roman" w:hAnsi="Times New Roman"/>
                <w:b/>
                <w:sz w:val="20"/>
              </w:rPr>
              <w:t>Paper</w:t>
            </w:r>
          </w:p>
        </w:tc>
        <w:tc>
          <w:tcPr>
            <w:tcW w:w="2520" w:type="dxa"/>
            <w:vAlign w:val="center"/>
          </w:tcPr>
          <w:p w14:paraId="2FC5E134">
            <w:pPr>
              <w:spacing w:after="0" w:line="240" w:lineRule="auto"/>
              <w:jc w:val="both"/>
            </w:pPr>
            <w:r>
              <w:rPr>
                <w:rFonts w:ascii="Times New Roman" w:hAnsi="Times New Roman"/>
                <w:b/>
                <w:sz w:val="20"/>
              </w:rPr>
              <w:t>Focus</w:t>
            </w:r>
          </w:p>
        </w:tc>
        <w:tc>
          <w:tcPr>
            <w:tcW w:w="2520" w:type="dxa"/>
            <w:vAlign w:val="center"/>
          </w:tcPr>
          <w:p w14:paraId="495E211A">
            <w:pPr>
              <w:spacing w:after="0" w:line="240" w:lineRule="auto"/>
              <w:jc w:val="both"/>
            </w:pPr>
            <w:r>
              <w:rPr>
                <w:rFonts w:ascii="Times New Roman" w:hAnsi="Times New Roman"/>
                <w:b/>
                <w:sz w:val="20"/>
              </w:rPr>
              <w:t>Type of Evidence</w:t>
            </w:r>
          </w:p>
        </w:tc>
        <w:tc>
          <w:tcPr>
            <w:tcW w:w="2520" w:type="dxa"/>
            <w:vAlign w:val="center"/>
          </w:tcPr>
          <w:p w14:paraId="7B6C57C1">
            <w:pPr>
              <w:spacing w:after="0" w:line="240" w:lineRule="auto"/>
              <w:jc w:val="both"/>
            </w:pPr>
            <w:r>
              <w:rPr>
                <w:rFonts w:ascii="Times New Roman" w:hAnsi="Times New Roman"/>
                <w:b/>
                <w:sz w:val="20"/>
              </w:rPr>
              <w:t>Main Limitation</w:t>
            </w:r>
          </w:p>
        </w:tc>
      </w:tr>
      <w:tr w14:paraId="1A174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7E425FF">
            <w:pPr>
              <w:spacing w:after="0" w:line="240" w:lineRule="auto"/>
              <w:jc w:val="both"/>
            </w:pPr>
            <w:r>
              <w:rPr>
                <w:rFonts w:ascii="Times New Roman" w:hAnsi="Times New Roman"/>
                <w:sz w:val="18"/>
              </w:rPr>
              <w:t>Flores-Garrigós et al. (2026)</w:t>
            </w:r>
          </w:p>
        </w:tc>
        <w:tc>
          <w:tcPr>
            <w:tcW w:w="2520" w:type="dxa"/>
          </w:tcPr>
          <w:p w14:paraId="3B179C96">
            <w:pPr>
              <w:spacing w:after="0" w:line="240" w:lineRule="auto"/>
              <w:jc w:val="both"/>
            </w:pPr>
            <w:r>
              <w:rPr>
                <w:rFonts w:ascii="Times New Roman" w:hAnsi="Times New Roman"/>
                <w:sz w:val="18"/>
              </w:rPr>
              <w:t>Quantum-assisted reasoning for LLMs</w:t>
            </w:r>
          </w:p>
        </w:tc>
        <w:tc>
          <w:tcPr>
            <w:tcW w:w="2520" w:type="dxa"/>
          </w:tcPr>
          <w:p w14:paraId="221149F8">
            <w:pPr>
              <w:spacing w:after="0" w:line="240" w:lineRule="auto"/>
              <w:jc w:val="both"/>
            </w:pPr>
            <w:r>
              <w:rPr>
                <w:rFonts w:ascii="Times New Roman" w:hAnsi="Times New Roman"/>
                <w:sz w:val="18"/>
              </w:rPr>
              <w:t>Real quantum hardware + classical comparison</w:t>
            </w:r>
          </w:p>
        </w:tc>
        <w:tc>
          <w:tcPr>
            <w:tcW w:w="2520" w:type="dxa"/>
          </w:tcPr>
          <w:p w14:paraId="13836098">
            <w:pPr>
              <w:spacing w:after="0" w:line="240" w:lineRule="auto"/>
              <w:jc w:val="both"/>
            </w:pPr>
            <w:r>
              <w:rPr>
                <w:rFonts w:ascii="Times New Roman" w:hAnsi="Times New Roman"/>
                <w:sz w:val="18"/>
              </w:rPr>
              <w:t>Quantum improvement over simulated annealing is still small/not conclusive</w:t>
            </w:r>
          </w:p>
        </w:tc>
      </w:tr>
      <w:tr w14:paraId="59ED2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C9DBCFE">
            <w:pPr>
              <w:spacing w:after="0" w:line="240" w:lineRule="auto"/>
              <w:jc w:val="both"/>
            </w:pPr>
            <w:r>
              <w:rPr>
                <w:rFonts w:ascii="Times New Roman" w:hAnsi="Times New Roman"/>
                <w:sz w:val="18"/>
              </w:rPr>
              <w:t>Singh et al. (2026)</w:t>
            </w:r>
          </w:p>
        </w:tc>
        <w:tc>
          <w:tcPr>
            <w:tcW w:w="2520" w:type="dxa"/>
          </w:tcPr>
          <w:p w14:paraId="7BCB5AF2">
            <w:pPr>
              <w:spacing w:after="0" w:line="240" w:lineRule="auto"/>
              <w:jc w:val="both"/>
            </w:pPr>
            <w:r>
              <w:rPr>
                <w:rFonts w:ascii="Times New Roman" w:hAnsi="Times New Roman"/>
                <w:sz w:val="18"/>
              </w:rPr>
              <w:t>Hybrid quantum-classical generative AI and RAG</w:t>
            </w:r>
          </w:p>
        </w:tc>
        <w:tc>
          <w:tcPr>
            <w:tcW w:w="2520" w:type="dxa"/>
          </w:tcPr>
          <w:p w14:paraId="50F5FC3E">
            <w:pPr>
              <w:spacing w:after="0" w:line="240" w:lineRule="auto"/>
              <w:jc w:val="both"/>
            </w:pPr>
            <w:r>
              <w:rPr>
                <w:rFonts w:ascii="Times New Roman" w:hAnsi="Times New Roman"/>
                <w:sz w:val="18"/>
              </w:rPr>
              <w:t>Review + conceptual case study</w:t>
            </w:r>
          </w:p>
        </w:tc>
        <w:tc>
          <w:tcPr>
            <w:tcW w:w="2520" w:type="dxa"/>
          </w:tcPr>
          <w:p w14:paraId="4D35DBCF">
            <w:pPr>
              <w:spacing w:after="0" w:line="240" w:lineRule="auto"/>
              <w:jc w:val="both"/>
            </w:pPr>
            <w:r>
              <w:rPr>
                <w:rFonts w:ascii="Times New Roman" w:hAnsi="Times New Roman"/>
                <w:sz w:val="18"/>
              </w:rPr>
              <w:t>Mainly a review; quantum advantage for general LLM processing is not established</w:t>
            </w:r>
          </w:p>
        </w:tc>
      </w:tr>
      <w:tr w14:paraId="16F49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8A6E34B">
            <w:pPr>
              <w:spacing w:after="0" w:line="240" w:lineRule="auto"/>
              <w:jc w:val="both"/>
            </w:pPr>
            <w:r>
              <w:rPr>
                <w:rFonts w:ascii="Times New Roman" w:hAnsi="Times New Roman"/>
                <w:sz w:val="18"/>
              </w:rPr>
              <w:t>Aizpurua et al. (2026)</w:t>
            </w:r>
          </w:p>
        </w:tc>
        <w:tc>
          <w:tcPr>
            <w:tcW w:w="2520" w:type="dxa"/>
          </w:tcPr>
          <w:p w14:paraId="1EE17ED1">
            <w:pPr>
              <w:spacing w:after="0" w:line="240" w:lineRule="auto"/>
              <w:jc w:val="both"/>
            </w:pPr>
            <w:r>
              <w:rPr>
                <w:rFonts w:ascii="Times New Roman" w:hAnsi="Times New Roman"/>
                <w:sz w:val="18"/>
              </w:rPr>
              <w:t>Quantum-enhanced LLM architecture</w:t>
            </w:r>
          </w:p>
        </w:tc>
        <w:tc>
          <w:tcPr>
            <w:tcW w:w="2520" w:type="dxa"/>
          </w:tcPr>
          <w:p w14:paraId="6FB01524">
            <w:pPr>
              <w:spacing w:after="0" w:line="240" w:lineRule="auto"/>
              <w:jc w:val="both"/>
            </w:pPr>
            <w:r>
              <w:rPr>
                <w:rFonts w:ascii="Times New Roman" w:hAnsi="Times New Roman"/>
                <w:sz w:val="18"/>
              </w:rPr>
              <w:t>Real quantum hardware experiments</w:t>
            </w:r>
          </w:p>
        </w:tc>
        <w:tc>
          <w:tcPr>
            <w:tcW w:w="2520" w:type="dxa"/>
          </w:tcPr>
          <w:p w14:paraId="1589B672">
            <w:pPr>
              <w:spacing w:after="0" w:line="240" w:lineRule="auto"/>
              <w:jc w:val="both"/>
            </w:pPr>
            <w:r>
              <w:rPr>
                <w:rFonts w:ascii="Times New Roman" w:hAnsi="Times New Roman"/>
                <w:sz w:val="18"/>
              </w:rPr>
              <w:t>Preprint; focuses on model adapters rather than agent planning</w:t>
            </w:r>
          </w:p>
        </w:tc>
      </w:tr>
      <w:tr w14:paraId="0BC6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CBA88EC">
            <w:pPr>
              <w:spacing w:after="0" w:line="240" w:lineRule="auto"/>
              <w:jc w:val="both"/>
            </w:pPr>
            <w:r>
              <w:rPr>
                <w:rFonts w:ascii="Times New Roman" w:hAnsi="Times New Roman"/>
                <w:sz w:val="18"/>
              </w:rPr>
              <w:t>Daglarli (2025)</w:t>
            </w:r>
          </w:p>
        </w:tc>
        <w:tc>
          <w:tcPr>
            <w:tcW w:w="2520" w:type="dxa"/>
          </w:tcPr>
          <w:p w14:paraId="408C0605">
            <w:pPr>
              <w:spacing w:after="0" w:line="240" w:lineRule="auto"/>
              <w:jc w:val="both"/>
            </w:pPr>
            <w:r>
              <w:rPr>
                <w:rFonts w:ascii="Times New Roman" w:hAnsi="Times New Roman"/>
                <w:sz w:val="18"/>
              </w:rPr>
              <w:t>Quantum-enhanced autonomous agents</w:t>
            </w:r>
          </w:p>
        </w:tc>
        <w:tc>
          <w:tcPr>
            <w:tcW w:w="2520" w:type="dxa"/>
          </w:tcPr>
          <w:p w14:paraId="5B430CAB">
            <w:pPr>
              <w:spacing w:after="0" w:line="240" w:lineRule="auto"/>
              <w:jc w:val="both"/>
            </w:pPr>
            <w:r>
              <w:rPr>
                <w:rFonts w:ascii="Times New Roman" w:hAnsi="Times New Roman"/>
                <w:sz w:val="18"/>
              </w:rPr>
              <w:t>Simulation-based experiments</w:t>
            </w:r>
          </w:p>
        </w:tc>
        <w:tc>
          <w:tcPr>
            <w:tcW w:w="2520" w:type="dxa"/>
          </w:tcPr>
          <w:p w14:paraId="22D8907A">
            <w:pPr>
              <w:spacing w:after="0" w:line="240" w:lineRule="auto"/>
              <w:jc w:val="both"/>
            </w:pPr>
            <w:r>
              <w:rPr>
                <w:rFonts w:ascii="Times New Roman" w:hAnsi="Times New Roman"/>
                <w:sz w:val="18"/>
              </w:rPr>
              <w:t>Not specifically an LLM agent; benefits depend on the task and environment</w:t>
            </w:r>
          </w:p>
        </w:tc>
      </w:tr>
    </w:tbl>
    <w:p w14:paraId="59A8BD80">
      <w:pPr>
        <w:jc w:val="both"/>
      </w:pPr>
    </w:p>
    <w:p w14:paraId="3A5EF93D">
      <w:pPr>
        <w:jc w:val="both"/>
      </w:pPr>
      <w:r>
        <w:rPr>
          <w:rFonts w:ascii="Times New Roman" w:hAnsi="Times New Roman"/>
          <w:b/>
          <w:sz w:val="28"/>
        </w:rPr>
        <w:t>4. Gap and Conclusion</w:t>
      </w:r>
    </w:p>
    <w:p w14:paraId="121DBB0A">
      <w:pPr>
        <w:spacing w:after="120" w:line="259" w:lineRule="auto"/>
        <w:jc w:val="both"/>
      </w:pPr>
      <w:r>
        <w:t>The reviewed papers show that quantum computing can potentially support LLM reasoning, search, optimization and intelligent-agent decision making, but the existing approaches use different integration strategies. Flores-Garrigós et al. focus on quantum optimization of reasoning fragments, while Singh et al. emphasize hybrid quantum-classical architectures and quantum-assisted retrieval. Aizpurua et al. integrate quantum circuits directly into LLM layers, and Daglarli uses quantum algorithms within a transformer-based autonomous-agent architecture.</w:t>
      </w:r>
    </w:p>
    <w:p w14:paraId="4EC3E9A1">
      <w:pPr>
        <w:spacing w:after="120" w:line="259" w:lineRule="auto"/>
        <w:jc w:val="both"/>
      </w:pPr>
      <w:r>
        <w:t>However, the four reviewed works do not present a small, reproducible pipeline in which a local LLM generates candidate actions that pass through a classical control layer to quantum optimization (QUBO and QAOA) and search (Grover) modules, with the results returned to the LLM agent for the final decision. Our project addresses this gap as a proof-of-concept by separating language understanding and orchestration from quantum-assisted computational sub-tasks, demonstrated on a trip-planning example.</w:t>
      </w:r>
    </w:p>
    <w:p w14:paraId="33BEE994">
      <w:pPr>
        <w:spacing w:after="120" w:line="259" w:lineRule="auto"/>
        <w:jc w:val="both"/>
      </w:pPr>
      <w:r>
        <w:t>From this survey, we understand that a hybrid approach is the practical direction for current quantum technology. Quantum computing should not replace the LLM; instead, it can be explored as a specialized computational module. Our project therefore demonstrates this idea on the Aer simulator using the trip-planning example: QAOA is applied to select a low-cost plan from the LLM’s candidate actions, and Grover’s search amplifies the marked state in the 2-qubit demonstration. Because the experiments use a simulator and very small problem sizes, they show feasibility rather than quantum advantage, and they are not directly comparable with the hardware experiments in the reviewed papers. Practical limitations such as quantum noise, limited qubits, data-encoding overhead and quantum execution cost remain to be studied. As future work, we plan to add a VQC or quantum kernel for similarity-based retrieval, a NISQ noise experiment, and a comparison of the quantum-assisted modules with classical baselines.</w:t>
      </w:r>
    </w:p>
    <w:p w14:paraId="42A2A87B">
      <w:pPr>
        <w:jc w:val="both"/>
      </w:pPr>
      <w:r>
        <w:rPr>
          <w:rFonts w:ascii="Times New Roman" w:hAnsi="Times New Roman"/>
          <w:b/>
          <w:sz w:val="28"/>
        </w:rPr>
        <w:t>References</w:t>
      </w:r>
    </w:p>
    <w:p w14:paraId="6796FC78">
      <w:pPr>
        <w:spacing w:after="120" w:line="259" w:lineRule="auto"/>
        <w:jc w:val="both"/>
      </w:pPr>
      <w:r>
        <w:t>[1] C. Flores-Garrigós, G. Dev, M. Falkenthal, A. Gomez Cadavid, A. Simen, S. Kumar, E. Solano and N. N. Hegade, “Quantum combinatorial reasoning for large language models,” Physical Review Research, vol. 8, 033070, 2026. doi: 10.1103/kk5d-tb9b.</w:t>
      </w:r>
    </w:p>
    <w:p w14:paraId="0C4857D4">
      <w:pPr>
        <w:spacing w:after="120" w:line="259" w:lineRule="auto"/>
        <w:jc w:val="both"/>
      </w:pPr>
      <w:r>
        <w:t>[2] D. Singh, O. J. and S. G. S., “Quantum-enhanced generative artificial intelligence: a critical review of classical limitations, complexity barriers, and hybrid quantum-classical architectures,” Frontiers in Artificial Intelligence, vol. 9, 1836641, 2026. doi: 10.3389/frai.2026.1836641.</w:t>
      </w:r>
    </w:p>
    <w:p w14:paraId="4002D1F0">
      <w:pPr>
        <w:spacing w:after="120" w:line="259" w:lineRule="auto"/>
        <w:jc w:val="both"/>
      </w:pPr>
      <w:r>
        <w:t>[3] B. Aizpurua, S. Singh, A. Kshetrimayum, S. S. Jahromi and R. Orus, “Quantum-enhanced Large Language Models on Quantum Hardware via Cayley Unitary Adapters,” arXiv:2605.05914, 2026.</w:t>
      </w:r>
    </w:p>
    <w:p w14:paraId="60E38666">
      <w:pPr>
        <w:spacing w:after="120" w:line="259" w:lineRule="auto"/>
        <w:jc w:val="both"/>
      </w:pPr>
      <w:r>
        <w:t>[4] E. Daglarli, “A Generative Neuro-Cognitive Architecture Using Quantum Algorithms for the Autonomous Behavior of a Smart Agent in a Simulation Environment,” Computers, Materials &amp; Continua, vol. 84, no. 3, pp. 4511–4537, 2025. doi: 10.32604/cmc.2025.065572.</w:t>
      </w:r>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8E863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1693</Words>
  <Characters>10862</Characters>
  <Lines>0</Lines>
  <Paragraphs>0</Paragraphs>
  <TotalTime>0</TotalTime>
  <ScaleCrop>false</ScaleCrop>
  <LinksUpToDate>false</LinksUpToDate>
  <CharactersWithSpaces>12495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Madhumitha G</cp:lastModifiedBy>
  <dcterms:modified xsi:type="dcterms:W3CDTF">2026-10-06T03:14:36Z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eyJoZGlkIjoiNTU0ZmIwYTQ3NzlmZGUxZmU3Zjk0M2IyZTNmM2IxNjAiLCJ1c2VySWQiOiI1Njc1Mjk2MjUyNTUifQ==</vt:lpwstr>
  </property>
  <property fmtid="{D5CDD505-2E9C-101B-9397-08002B2CF9AE}" pid="3" name="KSOProductBuildVer">
    <vt:lpwstr>1033-12.1.0.28485</vt:lpwstr>
  </property>
  <property fmtid="{D5CDD505-2E9C-101B-9397-08002B2CF9AE}" pid="4" name="ICV">
    <vt:lpwstr>74C25EC9A37D4093830BEB4EB663CF08_12</vt:lpwstr>
  </property>
</Properties>
</file>