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9435" w14:textId="77777777" w:rsidR="00E77B8C" w:rsidRPr="00E44CCC" w:rsidRDefault="00643E5B" w:rsidP="00E44CCC">
      <w:pPr>
        <w:pStyle w:val="IntenseQuote"/>
        <w:rPr>
          <w:sz w:val="32"/>
          <w:szCs w:val="32"/>
        </w:rPr>
      </w:pPr>
      <w:r w:rsidRPr="00E44CCC">
        <w:rPr>
          <w:sz w:val="32"/>
          <w:szCs w:val="32"/>
        </w:rPr>
        <w:t>Budget vs. Actual Analysis</w:t>
      </w:r>
    </w:p>
    <w:p w14:paraId="16D6AB58" w14:textId="77777777" w:rsidR="00E77B8C" w:rsidRPr="00874917" w:rsidRDefault="00643E5B" w:rsidP="00E44CCC">
      <w:pPr>
        <w:pStyle w:val="IntenseQuote"/>
        <w:rPr>
          <w:b/>
          <w:bCs/>
          <w:sz w:val="32"/>
          <w:szCs w:val="32"/>
        </w:rPr>
      </w:pPr>
      <w:r w:rsidRPr="00874917">
        <w:rPr>
          <w:b/>
          <w:bCs/>
          <w:color w:val="1F6F4A"/>
          <w:sz w:val="32"/>
          <w:szCs w:val="32"/>
        </w:rPr>
        <w:t>Nykaa (FSN E-Commerce Ventures Ltd.) — FY26 Quarterly Performance</w:t>
      </w:r>
    </w:p>
    <w:p w14:paraId="44781B05" w14:textId="77777777" w:rsidR="00E77B8C" w:rsidRDefault="00643E5B" w:rsidP="00874917">
      <w:pPr>
        <w:spacing w:after="300"/>
        <w:jc w:val="both"/>
      </w:pPr>
      <w:r>
        <w:rPr>
          <w:i/>
          <w:iCs/>
          <w:color w:val="666666"/>
        </w:rPr>
        <w:t>Prepared as an independent financial analysis exercise | Data sourced from public quarterly filings (screener.in)</w:t>
      </w:r>
    </w:p>
    <w:p w14:paraId="4EB176AB" w14:textId="77777777" w:rsidR="00E77B8C" w:rsidRDefault="00643E5B" w:rsidP="00874917">
      <w:pPr>
        <w:pStyle w:val="Heading1"/>
        <w:spacing w:before="300" w:after="150"/>
        <w:jc w:val="both"/>
      </w:pPr>
      <w:r>
        <w:t>Executive Summary</w:t>
      </w:r>
    </w:p>
    <w:p w14:paraId="09224E86" w14:textId="259A59AD" w:rsidR="00E77B8C" w:rsidRPr="00874917" w:rsidRDefault="00643E5B" w:rsidP="00874917">
      <w:pPr>
        <w:spacing w:after="16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 xml:space="preserve">This report </w:t>
      </w:r>
      <w:r w:rsidR="00874917" w:rsidRPr="00874917">
        <w:rPr>
          <w:sz w:val="24"/>
          <w:szCs w:val="24"/>
        </w:rPr>
        <w:t>analyses</w:t>
      </w:r>
      <w:r w:rsidRPr="00874917">
        <w:rPr>
          <w:sz w:val="24"/>
          <w:szCs w:val="24"/>
        </w:rPr>
        <w:t xml:space="preserve"> Nykaa's revenue and expense performance across the four quarters of FY26 (Q1: Apr–Jun 2025 through Q4: Jan–Mar 2026) against an illustrative budget, and identifies the drivers behind the variances observed.</w:t>
      </w:r>
    </w:p>
    <w:p w14:paraId="042B1A57" w14:textId="7A5EE17A" w:rsidR="00E77B8C" w:rsidRPr="00874917" w:rsidRDefault="00643E5B" w:rsidP="00874917">
      <w:pPr>
        <w:spacing w:after="16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Overall, Nykaa's actual revenue outperformed the assumed budget in every quarter, and cost growth</w:t>
      </w:r>
      <w:r w:rsidRPr="00874917">
        <w:rPr>
          <w:sz w:val="24"/>
          <w:szCs w:val="24"/>
        </w:rPr>
        <w:t xml:space="preserve"> </w:t>
      </w:r>
      <w:r w:rsidR="00E44CCC">
        <w:rPr>
          <w:sz w:val="24"/>
          <w:szCs w:val="24"/>
        </w:rPr>
        <w:t xml:space="preserve">- </w:t>
      </w:r>
      <w:r w:rsidRPr="00874917">
        <w:rPr>
          <w:sz w:val="24"/>
          <w:szCs w:val="24"/>
        </w:rPr>
        <w:t>while consistently above the planned expense ratio</w:t>
      </w:r>
      <w:r w:rsidR="00E44CCC">
        <w:rPr>
          <w:sz w:val="24"/>
          <w:szCs w:val="24"/>
        </w:rPr>
        <w:t xml:space="preserve"> - </w:t>
      </w:r>
      <w:r w:rsidRPr="00874917">
        <w:rPr>
          <w:sz w:val="24"/>
          <w:szCs w:val="24"/>
        </w:rPr>
        <w:t xml:space="preserve">became progressively more disciplined through the year. This suggests a business scaling revenue faster than planned while gradually tightening cost control, even </w:t>
      </w:r>
      <w:r w:rsidR="00874917" w:rsidRPr="00874917">
        <w:rPr>
          <w:sz w:val="24"/>
          <w:szCs w:val="24"/>
        </w:rPr>
        <w:t>though</w:t>
      </w:r>
      <w:r w:rsidRPr="00874917">
        <w:rPr>
          <w:sz w:val="24"/>
          <w:szCs w:val="24"/>
        </w:rPr>
        <w:t xml:space="preserve"> its highest-spend (festive) quarter.</w:t>
      </w:r>
    </w:p>
    <w:p w14:paraId="049E1CCD" w14:textId="77777777" w:rsidR="00E77B8C" w:rsidRPr="00E44CCC" w:rsidRDefault="00643E5B" w:rsidP="00874917">
      <w:pPr>
        <w:spacing w:after="160"/>
        <w:jc w:val="both"/>
      </w:pPr>
      <w:r w:rsidRPr="00E44CCC">
        <w:rPr>
          <w:i/>
          <w:iCs/>
          <w:color w:val="555555"/>
        </w:rPr>
        <w:t>Note on methodology: Nykaa, like most listed companies, does not publicly disclose its internal budget. For this analysis, a budget was constructed using standard planning assumptions (revenue budgeted 5% below actual outcomes; expenses budgeted at a 93% cost-to-revenue ratio, in line with Nykaa's historical range). This is a common approach used in academic and illustrative FP&amp;A exercises when internal targets are not public. All 'Actual' figures are real and sourced directly from Nykaa's quarterly filings</w:t>
      </w:r>
      <w:r w:rsidRPr="00E44CCC">
        <w:rPr>
          <w:i/>
          <w:iCs/>
          <w:color w:val="555555"/>
        </w:rPr>
        <w:t>.</w:t>
      </w:r>
    </w:p>
    <w:p w14:paraId="40C3A9DB" w14:textId="77777777" w:rsidR="00E77B8C" w:rsidRDefault="00643E5B" w:rsidP="00874917">
      <w:pPr>
        <w:pStyle w:val="Heading1"/>
        <w:spacing w:before="300" w:after="150"/>
        <w:jc w:val="both"/>
      </w:pPr>
      <w:r>
        <w:t>1. Revenue: Budget vs. Actual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100"/>
        <w:gridCol w:w="2000"/>
        <w:gridCol w:w="1600"/>
      </w:tblGrid>
      <w:tr w:rsidR="00E77B8C" w:rsidRPr="00874917" w14:paraId="6800B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6F4A"/>
          </w:tcPr>
          <w:p w14:paraId="2D58180B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Quarter</w:t>
            </w:r>
          </w:p>
        </w:tc>
        <w:tc>
          <w:tcPr>
            <w:tcW w:w="2300" w:type="dxa"/>
            <w:shd w:val="clear" w:color="auto" w:fill="1F6F4A"/>
          </w:tcPr>
          <w:p w14:paraId="279F1D89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Budgeted Revenue (₹ Cr)</w:t>
            </w:r>
          </w:p>
        </w:tc>
        <w:tc>
          <w:tcPr>
            <w:tcW w:w="2100" w:type="dxa"/>
            <w:shd w:val="clear" w:color="auto" w:fill="1F6F4A"/>
          </w:tcPr>
          <w:p w14:paraId="1E3CEBCF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Actual Revenue (₹ Cr)</w:t>
            </w:r>
          </w:p>
        </w:tc>
        <w:tc>
          <w:tcPr>
            <w:tcW w:w="2000" w:type="dxa"/>
            <w:shd w:val="clear" w:color="auto" w:fill="1F6F4A"/>
          </w:tcPr>
          <w:p w14:paraId="222F3247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Variance (₹ Cr)</w:t>
            </w:r>
          </w:p>
        </w:tc>
        <w:tc>
          <w:tcPr>
            <w:tcW w:w="1600" w:type="dxa"/>
            <w:shd w:val="clear" w:color="auto" w:fill="1F6F4A"/>
          </w:tcPr>
          <w:p w14:paraId="07A88B9D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Variance (%)</w:t>
            </w:r>
          </w:p>
        </w:tc>
      </w:tr>
      <w:tr w:rsidR="00E77B8C" w:rsidRPr="00874917" w14:paraId="273301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E0211F5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Q1 FY26</w:t>
            </w:r>
          </w:p>
        </w:tc>
        <w:tc>
          <w:tcPr>
            <w:tcW w:w="2300" w:type="dxa"/>
          </w:tcPr>
          <w:p w14:paraId="3077E5EE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2,047</w:t>
            </w:r>
          </w:p>
        </w:tc>
        <w:tc>
          <w:tcPr>
            <w:tcW w:w="2100" w:type="dxa"/>
          </w:tcPr>
          <w:p w14:paraId="02BCB41B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2,155</w:t>
            </w:r>
          </w:p>
        </w:tc>
        <w:tc>
          <w:tcPr>
            <w:tcW w:w="2000" w:type="dxa"/>
          </w:tcPr>
          <w:p w14:paraId="1C561EB7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+108</w:t>
            </w:r>
          </w:p>
        </w:tc>
        <w:tc>
          <w:tcPr>
            <w:tcW w:w="1600" w:type="dxa"/>
          </w:tcPr>
          <w:p w14:paraId="2EE52115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+5.3%</w:t>
            </w:r>
          </w:p>
        </w:tc>
      </w:tr>
      <w:tr w:rsidR="00E77B8C" w:rsidRPr="00874917" w14:paraId="46AFF5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ADB4FF4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Q2 FY26</w:t>
            </w:r>
          </w:p>
        </w:tc>
        <w:tc>
          <w:tcPr>
            <w:tcW w:w="2300" w:type="dxa"/>
          </w:tcPr>
          <w:p w14:paraId="7A972738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2,229</w:t>
            </w:r>
          </w:p>
        </w:tc>
        <w:tc>
          <w:tcPr>
            <w:tcW w:w="2100" w:type="dxa"/>
          </w:tcPr>
          <w:p w14:paraId="13C8789F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2,346</w:t>
            </w:r>
          </w:p>
        </w:tc>
        <w:tc>
          <w:tcPr>
            <w:tcW w:w="2000" w:type="dxa"/>
          </w:tcPr>
          <w:p w14:paraId="0CC8272F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+117</w:t>
            </w:r>
          </w:p>
        </w:tc>
        <w:tc>
          <w:tcPr>
            <w:tcW w:w="1600" w:type="dxa"/>
          </w:tcPr>
          <w:p w14:paraId="7593EB1F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+5.3%</w:t>
            </w:r>
          </w:p>
        </w:tc>
      </w:tr>
      <w:tr w:rsidR="00E77B8C" w:rsidRPr="00874917" w14:paraId="70544B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75DB55C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Q3 FY26</w:t>
            </w:r>
          </w:p>
        </w:tc>
        <w:tc>
          <w:tcPr>
            <w:tcW w:w="2300" w:type="dxa"/>
          </w:tcPr>
          <w:p w14:paraId="1103677C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2,729</w:t>
            </w:r>
          </w:p>
        </w:tc>
        <w:tc>
          <w:tcPr>
            <w:tcW w:w="2100" w:type="dxa"/>
          </w:tcPr>
          <w:p w14:paraId="4AA5CA73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2,873</w:t>
            </w:r>
          </w:p>
        </w:tc>
        <w:tc>
          <w:tcPr>
            <w:tcW w:w="2000" w:type="dxa"/>
          </w:tcPr>
          <w:p w14:paraId="555485C7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+144</w:t>
            </w:r>
          </w:p>
        </w:tc>
        <w:tc>
          <w:tcPr>
            <w:tcW w:w="1600" w:type="dxa"/>
          </w:tcPr>
          <w:p w14:paraId="269D01A1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+5.3%</w:t>
            </w:r>
          </w:p>
        </w:tc>
      </w:tr>
      <w:tr w:rsidR="00E77B8C" w:rsidRPr="00874917" w14:paraId="1B881E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CD83802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Q4 FY26</w:t>
            </w:r>
          </w:p>
        </w:tc>
        <w:tc>
          <w:tcPr>
            <w:tcW w:w="2300" w:type="dxa"/>
          </w:tcPr>
          <w:p w14:paraId="3DE98981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2,516</w:t>
            </w:r>
          </w:p>
        </w:tc>
        <w:tc>
          <w:tcPr>
            <w:tcW w:w="2100" w:type="dxa"/>
          </w:tcPr>
          <w:p w14:paraId="434CFF8B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2,648</w:t>
            </w:r>
          </w:p>
        </w:tc>
        <w:tc>
          <w:tcPr>
            <w:tcW w:w="2000" w:type="dxa"/>
          </w:tcPr>
          <w:p w14:paraId="7BF43DA0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+132</w:t>
            </w:r>
          </w:p>
        </w:tc>
        <w:tc>
          <w:tcPr>
            <w:tcW w:w="1600" w:type="dxa"/>
          </w:tcPr>
          <w:p w14:paraId="63ED23ED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+5.3%</w:t>
            </w:r>
          </w:p>
        </w:tc>
      </w:tr>
    </w:tbl>
    <w:p w14:paraId="4FFC7CD3" w14:textId="77777777" w:rsidR="00E77B8C" w:rsidRPr="00874917" w:rsidRDefault="00643E5B" w:rsidP="00874917">
      <w:pPr>
        <w:pStyle w:val="Heading2"/>
        <w:spacing w:before="240" w:after="120"/>
        <w:jc w:val="both"/>
      </w:pPr>
      <w:r w:rsidRPr="00874917">
        <w:t>Analysis</w:t>
      </w:r>
    </w:p>
    <w:p w14:paraId="244D77C1" w14:textId="77777777" w:rsidR="00E77B8C" w:rsidRPr="00874917" w:rsidRDefault="00643E5B" w:rsidP="00874917">
      <w:pPr>
        <w:spacing w:after="16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Revenue beat budget consistently across all four quarters by a steady margin (~5%). Q3 FY26 (Oct–Dec 2025) shows the largest absolute beat, coinciding with India's festive season (Diwali quarter), when beauty and fashion e-commerce demand typically peaks. Q4 shows a sequential dip from the Q3 peak, which is a normal post-festive pattern seen across Indian retail and e-commerce, rather than a signal of weakening demand.</w:t>
      </w:r>
    </w:p>
    <w:p w14:paraId="4AF7FD6E" w14:textId="77777777" w:rsidR="00E77B8C" w:rsidRDefault="00643E5B" w:rsidP="00874917">
      <w:pPr>
        <w:pStyle w:val="Heading1"/>
        <w:spacing w:before="300" w:after="150"/>
        <w:jc w:val="both"/>
      </w:pPr>
      <w:r>
        <w:t>2. Expenses: Budget vs. Actual</w:t>
      </w:r>
    </w:p>
    <w:tbl>
      <w:tblPr>
        <w:tblW w:w="101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900"/>
        <w:gridCol w:w="1600"/>
        <w:gridCol w:w="1500"/>
        <w:gridCol w:w="1470"/>
      </w:tblGrid>
      <w:tr w:rsidR="00E77B8C" w:rsidRPr="00874917" w14:paraId="4EB2CE09" w14:textId="77777777" w:rsidTr="00874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6F4A"/>
          </w:tcPr>
          <w:p w14:paraId="26C24865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lastRenderedPageBreak/>
              <w:t>Quarter</w:t>
            </w:r>
          </w:p>
        </w:tc>
        <w:tc>
          <w:tcPr>
            <w:tcW w:w="2000" w:type="dxa"/>
            <w:shd w:val="clear" w:color="auto" w:fill="1F6F4A"/>
          </w:tcPr>
          <w:p w14:paraId="065FFF98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Budgeted Expenses (₹ Cr)</w:t>
            </w:r>
          </w:p>
        </w:tc>
        <w:tc>
          <w:tcPr>
            <w:tcW w:w="1900" w:type="dxa"/>
            <w:shd w:val="clear" w:color="auto" w:fill="1F6F4A"/>
          </w:tcPr>
          <w:p w14:paraId="2BDD26D6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Actual Expenses (₹ Cr)</w:t>
            </w:r>
          </w:p>
        </w:tc>
        <w:tc>
          <w:tcPr>
            <w:tcW w:w="1600" w:type="dxa"/>
            <w:shd w:val="clear" w:color="auto" w:fill="1F6F4A"/>
          </w:tcPr>
          <w:p w14:paraId="5E27B78E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Variance (₹ Cr)</w:t>
            </w:r>
          </w:p>
        </w:tc>
        <w:tc>
          <w:tcPr>
            <w:tcW w:w="1500" w:type="dxa"/>
            <w:shd w:val="clear" w:color="auto" w:fill="1F6F4A"/>
          </w:tcPr>
          <w:p w14:paraId="34B9BE4B" w14:textId="77777777" w:rsidR="00E77B8C" w:rsidRPr="00874917" w:rsidRDefault="00643E5B" w:rsidP="00874917">
            <w:pPr>
              <w:jc w:val="both"/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Variance (%)</w:t>
            </w:r>
          </w:p>
        </w:tc>
        <w:tc>
          <w:tcPr>
            <w:tcW w:w="1470" w:type="dxa"/>
            <w:shd w:val="clear" w:color="auto" w:fill="1F6F4A"/>
          </w:tcPr>
          <w:p w14:paraId="54C618D0" w14:textId="77777777" w:rsidR="00E77B8C" w:rsidRPr="00874917" w:rsidRDefault="00643E5B" w:rsidP="00874917">
            <w:pPr>
              <w:rPr>
                <w:color w:val="FFFFFF" w:themeColor="background1"/>
                <w:sz w:val="22"/>
                <w:szCs w:val="22"/>
              </w:rPr>
            </w:pPr>
            <w:r w:rsidRPr="00874917">
              <w:rPr>
                <w:b/>
                <w:bCs/>
                <w:color w:val="FFFFFF" w:themeColor="background1"/>
                <w:sz w:val="22"/>
                <w:szCs w:val="22"/>
              </w:rPr>
              <w:t>Actual Expense Ratio</w:t>
            </w:r>
          </w:p>
        </w:tc>
      </w:tr>
      <w:tr w:rsidR="00E77B8C" w:rsidRPr="00874917" w14:paraId="412474C9" w14:textId="77777777" w:rsidTr="0087491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C970D61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Q1 FY26</w:t>
            </w:r>
          </w:p>
        </w:tc>
        <w:tc>
          <w:tcPr>
            <w:tcW w:w="2000" w:type="dxa"/>
          </w:tcPr>
          <w:p w14:paraId="09E9217A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1,904</w:t>
            </w:r>
          </w:p>
        </w:tc>
        <w:tc>
          <w:tcPr>
            <w:tcW w:w="1900" w:type="dxa"/>
          </w:tcPr>
          <w:p w14:paraId="4FB5F3A0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2,014</w:t>
            </w:r>
          </w:p>
        </w:tc>
        <w:tc>
          <w:tcPr>
            <w:tcW w:w="1600" w:type="dxa"/>
          </w:tcPr>
          <w:p w14:paraId="125024B5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+110</w:t>
            </w:r>
          </w:p>
        </w:tc>
        <w:tc>
          <w:tcPr>
            <w:tcW w:w="1500" w:type="dxa"/>
          </w:tcPr>
          <w:p w14:paraId="279CF697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+5.8%</w:t>
            </w:r>
          </w:p>
        </w:tc>
        <w:tc>
          <w:tcPr>
            <w:tcW w:w="1470" w:type="dxa"/>
          </w:tcPr>
          <w:p w14:paraId="4BACD998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93.5%</w:t>
            </w:r>
          </w:p>
        </w:tc>
      </w:tr>
      <w:tr w:rsidR="00E77B8C" w:rsidRPr="00874917" w14:paraId="681E5225" w14:textId="77777777" w:rsidTr="0087491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EA11152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Q2 FY26</w:t>
            </w:r>
          </w:p>
        </w:tc>
        <w:tc>
          <w:tcPr>
            <w:tcW w:w="2000" w:type="dxa"/>
          </w:tcPr>
          <w:p w14:paraId="74224982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2,073</w:t>
            </w:r>
          </w:p>
        </w:tc>
        <w:tc>
          <w:tcPr>
            <w:tcW w:w="1900" w:type="dxa"/>
          </w:tcPr>
          <w:p w14:paraId="626AEE72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2,187</w:t>
            </w:r>
          </w:p>
        </w:tc>
        <w:tc>
          <w:tcPr>
            <w:tcW w:w="1600" w:type="dxa"/>
          </w:tcPr>
          <w:p w14:paraId="3B4A6CBF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+114</w:t>
            </w:r>
          </w:p>
        </w:tc>
        <w:tc>
          <w:tcPr>
            <w:tcW w:w="1500" w:type="dxa"/>
          </w:tcPr>
          <w:p w14:paraId="313AB35B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+5.5%</w:t>
            </w:r>
          </w:p>
        </w:tc>
        <w:tc>
          <w:tcPr>
            <w:tcW w:w="1470" w:type="dxa"/>
          </w:tcPr>
          <w:p w14:paraId="33FF66FA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93.2%</w:t>
            </w:r>
          </w:p>
        </w:tc>
      </w:tr>
      <w:tr w:rsidR="00E77B8C" w:rsidRPr="00874917" w14:paraId="42784920" w14:textId="77777777" w:rsidTr="0087491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E4240A9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Q3 FY26</w:t>
            </w:r>
          </w:p>
        </w:tc>
        <w:tc>
          <w:tcPr>
            <w:tcW w:w="2000" w:type="dxa"/>
          </w:tcPr>
          <w:p w14:paraId="7EB790D2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2,538</w:t>
            </w:r>
          </w:p>
        </w:tc>
        <w:tc>
          <w:tcPr>
            <w:tcW w:w="1900" w:type="dxa"/>
          </w:tcPr>
          <w:p w14:paraId="633BCB30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2,644</w:t>
            </w:r>
          </w:p>
        </w:tc>
        <w:tc>
          <w:tcPr>
            <w:tcW w:w="1600" w:type="dxa"/>
          </w:tcPr>
          <w:p w14:paraId="07EED6DE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+106</w:t>
            </w:r>
          </w:p>
        </w:tc>
        <w:tc>
          <w:tcPr>
            <w:tcW w:w="1500" w:type="dxa"/>
          </w:tcPr>
          <w:p w14:paraId="70B5C1BC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+4.2%</w:t>
            </w:r>
          </w:p>
        </w:tc>
        <w:tc>
          <w:tcPr>
            <w:tcW w:w="1470" w:type="dxa"/>
          </w:tcPr>
          <w:p w14:paraId="07D64741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92.0%</w:t>
            </w:r>
          </w:p>
        </w:tc>
      </w:tr>
      <w:tr w:rsidR="00E77B8C" w:rsidRPr="00874917" w14:paraId="277FBCEA" w14:textId="77777777" w:rsidTr="0087491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B9A3987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Q4 FY26</w:t>
            </w:r>
          </w:p>
        </w:tc>
        <w:tc>
          <w:tcPr>
            <w:tcW w:w="2000" w:type="dxa"/>
          </w:tcPr>
          <w:p w14:paraId="069DAEE9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2,340</w:t>
            </w:r>
          </w:p>
        </w:tc>
        <w:tc>
          <w:tcPr>
            <w:tcW w:w="1900" w:type="dxa"/>
          </w:tcPr>
          <w:p w14:paraId="6A4BE354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2,425</w:t>
            </w:r>
          </w:p>
        </w:tc>
        <w:tc>
          <w:tcPr>
            <w:tcW w:w="1600" w:type="dxa"/>
          </w:tcPr>
          <w:p w14:paraId="7C5D00AD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+85</w:t>
            </w:r>
          </w:p>
        </w:tc>
        <w:tc>
          <w:tcPr>
            <w:tcW w:w="1500" w:type="dxa"/>
          </w:tcPr>
          <w:p w14:paraId="16EFF405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+3.6%</w:t>
            </w:r>
          </w:p>
        </w:tc>
        <w:tc>
          <w:tcPr>
            <w:tcW w:w="1470" w:type="dxa"/>
          </w:tcPr>
          <w:p w14:paraId="0E71315F" w14:textId="77777777" w:rsidR="00E77B8C" w:rsidRPr="00874917" w:rsidRDefault="00643E5B" w:rsidP="00874917">
            <w:pPr>
              <w:jc w:val="both"/>
              <w:rPr>
                <w:sz w:val="22"/>
                <w:szCs w:val="22"/>
              </w:rPr>
            </w:pPr>
            <w:r w:rsidRPr="00874917">
              <w:rPr>
                <w:sz w:val="22"/>
                <w:szCs w:val="22"/>
              </w:rPr>
              <w:t>91.6%</w:t>
            </w:r>
          </w:p>
        </w:tc>
      </w:tr>
    </w:tbl>
    <w:p w14:paraId="6A7F27B6" w14:textId="77777777" w:rsidR="00E77B8C" w:rsidRDefault="00643E5B" w:rsidP="00874917">
      <w:pPr>
        <w:pStyle w:val="Heading2"/>
        <w:spacing w:before="240" w:after="120"/>
        <w:jc w:val="both"/>
      </w:pPr>
      <w:r>
        <w:t>Analysis</w:t>
      </w:r>
    </w:p>
    <w:p w14:paraId="2B234EA1" w14:textId="357A3E9F" w:rsidR="00E77B8C" w:rsidRPr="00874917" w:rsidRDefault="00643E5B" w:rsidP="00874917">
      <w:pPr>
        <w:spacing w:after="16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Expenses exceeded budget in every quarter</w:t>
      </w:r>
      <w:r w:rsidR="00E44CCC">
        <w:rPr>
          <w:sz w:val="24"/>
          <w:szCs w:val="24"/>
        </w:rPr>
        <w:t xml:space="preserve"> -</w:t>
      </w:r>
      <w:r w:rsidRPr="00874917">
        <w:rPr>
          <w:sz w:val="24"/>
          <w:szCs w:val="24"/>
        </w:rPr>
        <w:t xml:space="preserve"> an </w:t>
      </w:r>
      <w:r w:rsidR="00874917" w:rsidRPr="00874917">
        <w:rPr>
          <w:sz w:val="24"/>
          <w:szCs w:val="24"/>
        </w:rPr>
        <w:t>unfavourable</w:t>
      </w:r>
      <w:r w:rsidRPr="00874917">
        <w:rPr>
          <w:sz w:val="24"/>
          <w:szCs w:val="24"/>
        </w:rPr>
        <w:t xml:space="preserve"> variance on paper. However, the trend across the year is the more important story: the size of the overrun shrank steadily, from 5.8% in Q1 to 3.6% by Q4. The actual expense ratio (expenses as a % of revenue) also improved from 93.5% to 91.6% over the same period.</w:t>
      </w:r>
    </w:p>
    <w:p w14:paraId="048C4458" w14:textId="671BD122" w:rsidR="00E77B8C" w:rsidRPr="00874917" w:rsidRDefault="00643E5B" w:rsidP="00874917">
      <w:pPr>
        <w:spacing w:after="16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 xml:space="preserve">This points to genuine operating leverage: even as the company spent more in absolute terms to capture festive-season demand in Q3, it did so while continuing to improve overall cost efficiency relative to revenue </w:t>
      </w:r>
      <w:r w:rsidR="00E44CCC">
        <w:rPr>
          <w:sz w:val="24"/>
          <w:szCs w:val="24"/>
        </w:rPr>
        <w:t xml:space="preserve">- </w:t>
      </w:r>
      <w:r w:rsidRPr="00874917">
        <w:rPr>
          <w:sz w:val="24"/>
          <w:szCs w:val="24"/>
        </w:rPr>
        <w:t>a sign of maturing cost discipline as the business scales, rather than uncontrolled spending.</w:t>
      </w:r>
    </w:p>
    <w:p w14:paraId="14268CE2" w14:textId="77777777" w:rsidR="00E77B8C" w:rsidRDefault="00643E5B" w:rsidP="00874917">
      <w:pPr>
        <w:pStyle w:val="Heading1"/>
        <w:spacing w:before="300" w:after="150"/>
        <w:jc w:val="both"/>
      </w:pPr>
      <w:r>
        <w:t>3. Root-Cause Discussion</w:t>
      </w:r>
    </w:p>
    <w:p w14:paraId="25F77453" w14:textId="57654FED" w:rsidR="00E77B8C" w:rsidRPr="00874917" w:rsidRDefault="00643E5B" w:rsidP="00874917">
      <w:pPr>
        <w:spacing w:after="16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 xml:space="preserve">Likely contributors to the patterns above (illustrative, based on known e-commerce/retail seasonality </w:t>
      </w:r>
      <w:r w:rsidR="00E44CCC">
        <w:rPr>
          <w:sz w:val="24"/>
          <w:szCs w:val="24"/>
        </w:rPr>
        <w:t xml:space="preserve">- </w:t>
      </w:r>
      <w:r w:rsidRPr="00874917">
        <w:rPr>
          <w:sz w:val="24"/>
          <w:szCs w:val="24"/>
        </w:rPr>
        <w:t>not confirmed by company disclosures):</w:t>
      </w:r>
    </w:p>
    <w:p w14:paraId="21364CCD" w14:textId="77777777" w:rsidR="00E77B8C" w:rsidRPr="00874917" w:rsidRDefault="00643E5B" w:rsidP="00874917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Marketing &amp; logistics spend typically rises ahead of festive quarters (Q3) to capture demand, temporarily widening the expense variance in absolute terms.</w:t>
      </w:r>
    </w:p>
    <w:p w14:paraId="3B2D143D" w14:textId="77777777" w:rsidR="00E77B8C" w:rsidRPr="00874917" w:rsidRDefault="00643E5B" w:rsidP="00874917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Revenue outperformance across all quarters suggests either conservative initial planning or genuinely stronger-than-expected demand, particularly in core beauty &amp; personal care categories.</w:t>
      </w:r>
    </w:p>
    <w:p w14:paraId="4B6E31BD" w14:textId="77777777" w:rsidR="00E77B8C" w:rsidRPr="00874917" w:rsidRDefault="00643E5B" w:rsidP="00874917">
      <w:pPr>
        <w:pStyle w:val="ListParagraph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The narrowing expense overrun into Q4 suggests cost discipline reasserting itself post-festive season, consistent with typical retail expense seasonality.</w:t>
      </w:r>
    </w:p>
    <w:p w14:paraId="5D7707BC" w14:textId="77777777" w:rsidR="00E77B8C" w:rsidRDefault="00643E5B" w:rsidP="00874917">
      <w:pPr>
        <w:pStyle w:val="Heading1"/>
        <w:spacing w:before="300" w:after="150"/>
        <w:jc w:val="both"/>
      </w:pPr>
      <w:r>
        <w:t>4. Recommendations</w:t>
      </w:r>
    </w:p>
    <w:p w14:paraId="3A709C9A" w14:textId="77777777" w:rsidR="00E77B8C" w:rsidRPr="00874917" w:rsidRDefault="00643E5B" w:rsidP="00874917">
      <w:pPr>
        <w:pStyle w:val="ListParagraph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Build seasonality directly into the budget: rather than a flat expense ratio, budget higher marketing/logistics spend for Q3 in advance, so festive-quarter overruns are planned for rather than flagged as variances after the fact.</w:t>
      </w:r>
    </w:p>
    <w:p w14:paraId="0D34899A" w14:textId="4732360B" w:rsidR="00E77B8C" w:rsidRPr="00874917" w:rsidRDefault="00643E5B" w:rsidP="00874917">
      <w:pPr>
        <w:pStyle w:val="ListParagraph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Investigate the Q1–Q2 expense ratio (93%+) specifically</w:t>
      </w:r>
      <w:r w:rsidR="00E44CCC">
        <w:rPr>
          <w:sz w:val="24"/>
          <w:szCs w:val="24"/>
        </w:rPr>
        <w:t xml:space="preserve"> - </w:t>
      </w:r>
      <w:r w:rsidRPr="00874917">
        <w:rPr>
          <w:sz w:val="24"/>
          <w:szCs w:val="24"/>
        </w:rPr>
        <w:t xml:space="preserve">if this persists outside festive periods, it may indicate structural cost pressure (e.g., </w:t>
      </w:r>
      <w:r w:rsidR="00874917" w:rsidRPr="00874917">
        <w:rPr>
          <w:sz w:val="24"/>
          <w:szCs w:val="24"/>
        </w:rPr>
        <w:t>fulfilment</w:t>
      </w:r>
      <w:r w:rsidRPr="00874917">
        <w:rPr>
          <w:sz w:val="24"/>
          <w:szCs w:val="24"/>
        </w:rPr>
        <w:t xml:space="preserve"> costs, discounting) rather than one-off seasonal spend.</w:t>
      </w:r>
    </w:p>
    <w:p w14:paraId="338FA1A0" w14:textId="77777777" w:rsidR="00E77B8C" w:rsidRPr="00874917" w:rsidRDefault="00643E5B" w:rsidP="00874917">
      <w:pPr>
        <w:pStyle w:val="ListParagraph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Set quarter-specific efficiency targets (e.g., 'reduce expense ratio by 0.5pp YoY each quarter') rather than a single flat target, to keep pushing the improving trend observed in H2 FY26.</w:t>
      </w:r>
    </w:p>
    <w:p w14:paraId="2838584F" w14:textId="3B8255A1" w:rsidR="00E77B8C" w:rsidRPr="00874917" w:rsidRDefault="00643E5B" w:rsidP="00874917">
      <w:pPr>
        <w:pStyle w:val="ListParagraph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Use the consistent ~5% revenue beat as a signal to revisit forecasting assumptions</w:t>
      </w:r>
      <w:r w:rsidR="00E44CCC">
        <w:rPr>
          <w:sz w:val="24"/>
          <w:szCs w:val="24"/>
        </w:rPr>
        <w:t xml:space="preserve"> - </w:t>
      </w:r>
      <w:r w:rsidRPr="00874917">
        <w:rPr>
          <w:sz w:val="24"/>
          <w:szCs w:val="24"/>
        </w:rPr>
        <w:t>if budgets are consistently missed by a similar margin, the underlying growth assumption may be set too conservatively.</w:t>
      </w:r>
    </w:p>
    <w:p w14:paraId="14A098BB" w14:textId="77777777" w:rsidR="00E77B8C" w:rsidRPr="00874917" w:rsidRDefault="00643E5B" w:rsidP="00874917">
      <w:pPr>
        <w:pStyle w:val="Heading1"/>
        <w:spacing w:before="300" w:after="150"/>
        <w:jc w:val="both"/>
        <w:rPr>
          <w:sz w:val="28"/>
          <w:szCs w:val="28"/>
        </w:rPr>
      </w:pPr>
      <w:r w:rsidRPr="00874917">
        <w:rPr>
          <w:sz w:val="28"/>
          <w:szCs w:val="28"/>
        </w:rPr>
        <w:lastRenderedPageBreak/>
        <w:t xml:space="preserve">5. </w:t>
      </w:r>
      <w:r w:rsidRPr="00874917">
        <w:rPr>
          <w:sz w:val="28"/>
          <w:szCs w:val="28"/>
        </w:rPr>
        <w:t>Data Sources &amp; Tools</w:t>
      </w:r>
    </w:p>
    <w:p w14:paraId="70100317" w14:textId="77777777" w:rsidR="00E77B8C" w:rsidRPr="00874917" w:rsidRDefault="00643E5B" w:rsidP="00874917">
      <w:pPr>
        <w:pStyle w:val="ListParagraph"/>
        <w:numPr>
          <w:ilvl w:val="0"/>
          <w:numId w:val="5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Actual financial data: Nykaa (FSN E-Commerce Ventures Ltd.) quarterly results, via screener.in</w:t>
      </w:r>
    </w:p>
    <w:p w14:paraId="31537C4C" w14:textId="77777777" w:rsidR="00E77B8C" w:rsidRPr="00874917" w:rsidRDefault="00643E5B" w:rsidP="00874917">
      <w:pPr>
        <w:pStyle w:val="ListParagraph"/>
        <w:numPr>
          <w:ilvl w:val="0"/>
          <w:numId w:val="5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Budget assumptions: constructed for this exercise (see Methodology note above)</w:t>
      </w:r>
    </w:p>
    <w:p w14:paraId="0D058A78" w14:textId="4C4639B4" w:rsidR="00874917" w:rsidRPr="00874917" w:rsidRDefault="00643E5B" w:rsidP="00874917">
      <w:pPr>
        <w:pStyle w:val="ListParagraph"/>
        <w:numPr>
          <w:ilvl w:val="0"/>
          <w:numId w:val="5"/>
        </w:numPr>
        <w:spacing w:after="80"/>
        <w:jc w:val="both"/>
        <w:rPr>
          <w:sz w:val="24"/>
          <w:szCs w:val="24"/>
        </w:rPr>
      </w:pPr>
      <w:r w:rsidRPr="00874917">
        <w:rPr>
          <w:sz w:val="24"/>
          <w:szCs w:val="24"/>
        </w:rPr>
        <w:t>Tools used: Microsoft Excel (variance calculations</w:t>
      </w:r>
      <w:r w:rsidR="00E44CCC">
        <w:rPr>
          <w:sz w:val="24"/>
          <w:szCs w:val="24"/>
        </w:rPr>
        <w:t>)</w:t>
      </w:r>
    </w:p>
    <w:sectPr w:rsidR="00874917" w:rsidRPr="00874917" w:rsidSect="00874917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E72"/>
    <w:multiLevelType w:val="hybridMultilevel"/>
    <w:tmpl w:val="75104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B67BF"/>
    <w:multiLevelType w:val="hybridMultilevel"/>
    <w:tmpl w:val="84A2D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7E6B95"/>
    <w:multiLevelType w:val="hybridMultilevel"/>
    <w:tmpl w:val="864C9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1E55F7"/>
    <w:multiLevelType w:val="hybridMultilevel"/>
    <w:tmpl w:val="3A98355A"/>
    <w:lvl w:ilvl="0" w:tplc="32D0A2AE">
      <w:start w:val="1"/>
      <w:numFmt w:val="bullet"/>
      <w:lvlText w:val="●"/>
      <w:lvlJc w:val="left"/>
      <w:pPr>
        <w:ind w:left="720" w:hanging="360"/>
      </w:pPr>
    </w:lvl>
    <w:lvl w:ilvl="1" w:tplc="77126C3E">
      <w:start w:val="1"/>
      <w:numFmt w:val="bullet"/>
      <w:lvlText w:val="○"/>
      <w:lvlJc w:val="left"/>
      <w:pPr>
        <w:ind w:left="1440" w:hanging="360"/>
      </w:pPr>
    </w:lvl>
    <w:lvl w:ilvl="2" w:tplc="195C42BA">
      <w:start w:val="1"/>
      <w:numFmt w:val="bullet"/>
      <w:lvlText w:val="■"/>
      <w:lvlJc w:val="left"/>
      <w:pPr>
        <w:ind w:left="2160" w:hanging="360"/>
      </w:pPr>
    </w:lvl>
    <w:lvl w:ilvl="3" w:tplc="2D22ED8C">
      <w:start w:val="1"/>
      <w:numFmt w:val="bullet"/>
      <w:lvlText w:val="●"/>
      <w:lvlJc w:val="left"/>
      <w:pPr>
        <w:ind w:left="2880" w:hanging="360"/>
      </w:pPr>
    </w:lvl>
    <w:lvl w:ilvl="4" w:tplc="B7DE3016">
      <w:start w:val="1"/>
      <w:numFmt w:val="bullet"/>
      <w:lvlText w:val="○"/>
      <w:lvlJc w:val="left"/>
      <w:pPr>
        <w:ind w:left="3600" w:hanging="360"/>
      </w:pPr>
    </w:lvl>
    <w:lvl w:ilvl="5" w:tplc="35186418">
      <w:start w:val="1"/>
      <w:numFmt w:val="bullet"/>
      <w:lvlText w:val="■"/>
      <w:lvlJc w:val="left"/>
      <w:pPr>
        <w:ind w:left="4320" w:hanging="360"/>
      </w:pPr>
    </w:lvl>
    <w:lvl w:ilvl="6" w:tplc="7F5A2032">
      <w:start w:val="1"/>
      <w:numFmt w:val="bullet"/>
      <w:lvlText w:val="●"/>
      <w:lvlJc w:val="left"/>
      <w:pPr>
        <w:ind w:left="5040" w:hanging="360"/>
      </w:pPr>
    </w:lvl>
    <w:lvl w:ilvl="7" w:tplc="844277EE">
      <w:start w:val="1"/>
      <w:numFmt w:val="bullet"/>
      <w:lvlText w:val="●"/>
      <w:lvlJc w:val="left"/>
      <w:pPr>
        <w:ind w:left="5760" w:hanging="360"/>
      </w:pPr>
    </w:lvl>
    <w:lvl w:ilvl="8" w:tplc="4718B66E">
      <w:start w:val="1"/>
      <w:numFmt w:val="bullet"/>
      <w:lvlText w:val="●"/>
      <w:lvlJc w:val="left"/>
      <w:pPr>
        <w:ind w:left="6480" w:hanging="360"/>
      </w:pPr>
    </w:lvl>
  </w:abstractNum>
  <w:num w:numId="1" w16cid:durableId="380787592">
    <w:abstractNumId w:val="3"/>
    <w:lvlOverride w:ilvl="0">
      <w:startOverride w:val="1"/>
    </w:lvlOverride>
  </w:num>
  <w:num w:numId="2" w16cid:durableId="1399202985">
    <w:abstractNumId w:val="3"/>
  </w:num>
  <w:num w:numId="3" w16cid:durableId="1659573003">
    <w:abstractNumId w:val="1"/>
  </w:num>
  <w:num w:numId="4" w16cid:durableId="691298548">
    <w:abstractNumId w:val="0"/>
  </w:num>
  <w:num w:numId="5" w16cid:durableId="2049328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B8C"/>
    <w:rsid w:val="00643E5B"/>
    <w:rsid w:val="00874917"/>
    <w:rsid w:val="00953F5A"/>
    <w:rsid w:val="00E44CCC"/>
    <w:rsid w:val="00E7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86FE"/>
  <w15:docId w15:val="{62F2E358-41E6-43FD-BAED-95A06C8A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1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8749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1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Akshara Venkatesh</cp:lastModifiedBy>
  <cp:revision>2</cp:revision>
  <dcterms:created xsi:type="dcterms:W3CDTF">2026-09-06T05:43:00Z</dcterms:created>
  <dcterms:modified xsi:type="dcterms:W3CDTF">2026-09-06T05:43:00Z</dcterms:modified>
</cp:coreProperties>
</file>