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B3A29"/>
          <w:sz w:val="40"/>
          <w:szCs w:val="40"/>
        </w:rPr>
        <w:t xml:space="preserve">Executive Summary</w:t>
      </w:r>
    </w:p>
    <w:p>
      <w:pPr>
        <w:pBdr>
          <w:bottom w:val="single" w:color="5B3A29" w:sz="8" w:space="4"/>
        </w:pBdr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Product Line Profitability &amp; Margin Performance - Nassau Candy Distributor  |  Jan 2024 - Dec 2025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Bottom line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Nassau Candy is profitable (65.9% gross margin) but dependent on five chocolate products. Two products need immediate pricing or cost action, and a long tail of small products adds complexity without adding profit.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Key numbers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A2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A2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A2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A2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A2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Profit / unit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$141,784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$93,443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65.9%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38,654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$2.42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we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Five Wonka Bars carry the business. </w:t>
      </w:r>
      <w:r>
        <w:rPr>
          <w:rFonts w:ascii="Calibri" w:cs="Calibri" w:eastAsia="Calibri" w:hAnsi="Calibri"/>
        </w:rPr>
        <w:t xml:space="preserve">They provide 92.9% of revenue and 95.1% of profit, at margins of 65% to 71%.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Concentration is high. </w:t>
      </w:r>
      <w:r>
        <w:rPr>
          <w:rFonts w:ascii="Calibri" w:cs="Calibri" w:eastAsia="Calibri" w:hAnsi="Calibri"/>
        </w:rPr>
        <w:t xml:space="preserve">Only 5 of 15 products are needed to reach 80% of revenue and of profit. The Chocolate division makes 95% of profit and two factories (Lot's O' Nuts and Wicked Choccy's) make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Kazookles is nearly break-even. </w:t>
      </w:r>
      <w:r>
        <w:rPr>
          <w:rFonts w:ascii="Calibri" w:cs="Calibri" w:eastAsia="Calibri" w:hAnsi="Calibri"/>
        </w:rPr>
        <w:t xml:space="preserve">Margin is 7.7%: it costs $3.00 to make and sells for $3.25.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Lickable Wallpaper under-earns. </w:t>
      </w:r>
      <w:r>
        <w:rPr>
          <w:rFonts w:ascii="Calibri" w:cs="Calibri" w:eastAsia="Calibri" w:hAnsi="Calibri"/>
        </w:rPr>
        <w:t xml:space="preserve">It has 5.5% of revenue but only a 50% margin, 15 to 21 points below the chocolate bars.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tail adds little. </w:t>
      </w:r>
      <w:r>
        <w:rPr>
          <w:rFonts w:ascii="Calibri" w:cs="Calibri" w:eastAsia="Calibri" w:hAnsi="Calibri"/>
        </w:rPr>
        <w:t xml:space="preserve">Wonka Gum and seven Sugar products together provide 0.7% of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Margins are structural, not volatile. </w:t>
      </w:r>
      <w:r>
        <w:rPr>
          <w:rFonts w:ascii="Calibri" w:cs="Calibri" w:eastAsia="Calibri" w:hAnsi="Calibri"/>
        </w:rPr>
        <w:t xml:space="preserve">Prices and unit costs do not change over time, and margins are almost identical across regions (65.5% to 66.4%). Product mix drives profit.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009775"/>
            <wp:effectExtent t="0" r="0" b="0" l="0"/>
            <wp:docPr id="1" name="03_division.png" descr="03_division.png" title="03_divi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cs="Calibri" w:eastAsia="Calibri" w:hAnsi="Calibri"/>
        </w:rPr>
        <w:t xml:space="preserve">Recommended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Reprice or recost Kazookles; </w:t>
      </w:r>
      <w:r>
        <w:rPr>
          <w:rFonts w:ascii="Calibri" w:cs="Calibri" w:eastAsia="Calibri" w:hAnsi="Calibri"/>
        </w:rPr>
        <w:t xml:space="preserve">discontinue if a 60% margin is not achievable. (about +$631 profit)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Renegotiate Lickable Wallpaper cost </w:t>
      </w:r>
      <w:r>
        <w:rPr>
          <w:rFonts w:ascii="Calibri" w:cs="Calibri" w:eastAsia="Calibri" w:hAnsi="Calibri"/>
        </w:rPr>
        <w:t xml:space="preserve">(unit cost $10 to $8) or raise price to $25. (about +$786 profit)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Review Wonka Gum, SweeTARTS, Nerds and Fun Dip </w:t>
      </w:r>
      <w:r>
        <w:rPr>
          <w:rFonts w:ascii="Calibri" w:cs="Calibri" w:eastAsia="Calibri" w:hAnsi="Calibri"/>
        </w:rPr>
        <w:t xml:space="preserve">for discontinuation or bundling.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Reduce supply risk </w:t>
      </w:r>
      <w:r>
        <w:rPr>
          <w:rFonts w:ascii="Calibri" w:cs="Calibri" w:eastAsia="Calibri" w:hAnsi="Calibri"/>
        </w:rPr>
        <w:t xml:space="preserve">in the chocolate franchise: backup production capacity and safety stock.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Adopt a 60% gross-margin floor </w:t>
      </w:r>
      <w:r>
        <w:rPr>
          <w:rFonts w:ascii="Calibri" w:cs="Calibri" w:eastAsia="Calibri" w:hAnsi="Calibri"/>
        </w:rPr>
        <w:t xml:space="preserve">for pricing decisions and monitor it with the dashboard.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Expected impact: </w:t>
      </w:r>
      <w:r>
        <w:rPr>
          <w:rFonts w:ascii="Calibri" w:cs="Calibri" w:eastAsia="Calibri" w:hAnsi="Calibri"/>
        </w:rPr>
        <w:t xml:space="preserve">Actions 1 and 2 add about $1,417 (+1.5% of gross profit over the 24 months) at constant volume; the larger benefit is lower dependency risk.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Caveats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Gross profit excludes freight and overheads. Sugar products have very few sales records. Ship-date data is unreliable and was not used. Full detail is in the research paper, and the Streamlit dashboard allows live exploration by date, division, margin threshold and product.</w:t>
      </w:r>
    </w:p>
    <w:sectPr>
      <w:footerReference w:type="default" r:id="rId7"/>
      <w:pgSz w:w="11906" w:h="16838" w:orient="portrait"/>
      <w:pgMar w:top="1000" w:right="1300" w:bottom="9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Executive Summary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5B3A2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833b38583223cd0af6f42a78128c8579fce85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- Nassau Candy Profitability</dc:title>
  <dc:creator>Akshar Prajapati</dc:creator>
  <cp:lastModifiedBy>Un-named</cp:lastModifiedBy>
  <cp:revision>1</cp:revision>
  <dcterms:created xsi:type="dcterms:W3CDTF">2026-10-19T17:40:54.983Z</dcterms:created>
  <dcterms:modified xsi:type="dcterms:W3CDTF">2026-10-19T17:40:54.983Z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