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2B49"/>
          <w:sz w:val="17"/>
        </w:rPr>
        <w:t>SONY RESEARCH AWARD PROGRAM 2026  •  FACULTY INNOVATION AWARD PROPOSAL</w:t>
      </w:r>
    </w:p>
    <w:p>
      <w:pPr>
        <w:spacing w:before="60" w:after="60" w:line="269" w:lineRule="auto"/>
        <w:jc w:val="center"/>
      </w:pPr>
      <w:r>
        <w:rPr>
          <w:rFonts w:ascii="Arial" w:hAnsi="Arial"/>
          <w:b/>
          <w:color w:val="002B49"/>
          <w:sz w:val="33"/>
        </w:rPr>
        <w:t>XNexus: A Neuro-Symbolic Multi-Agent Framework for Rapid Disaster Decision Support</w:t>
      </w:r>
    </w:p>
    <w:p>
      <w:pPr>
        <w:spacing w:before="20" w:after="160" w:line="269" w:lineRule="auto"/>
        <w:jc w:val="center"/>
      </w:pPr>
      <w:r>
        <w:rPr>
          <w:rFonts w:ascii="Arial" w:hAnsi="Arial"/>
          <w:i/>
          <w:color w:val="0F4C81"/>
          <w:sz w:val="19"/>
        </w:rPr>
        <w:t>Integrating Sony Spresense™ Infrasound Sensing Microcontrollers with Formal Safety Logic to Accelerate Emergency Action from 110+ Minutes to Under 4.0 Seconds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shd w:fill="F8FAFC"/>
            <w:tcMar>
              <w:top w:w="35" w:type="dxa"/>
              <w:bottom w:w="35" w:type="dxa"/>
              <w:left w:w="70" w:type="dxa"/>
              <w:right w:w="70" w:type="dxa"/>
            </w:tcMar>
            <w:tcBorders>
              <w:top w:val="single" w:sz="8" w:space="0" w:color="0F4C81"/>
              <w:bottom w:val="none"/>
              <w:left w:val="none"/>
              <w:right w:val="none"/>
            </w:tcBorders>
          </w:tcPr>
          <w:p>
            <w:pPr>
              <w:spacing w:before="20" w:after="20" w:line="259" w:lineRule="auto"/>
            </w:pPr>
            <w:r>
              <w:rPr>
                <w:rFonts w:ascii="Arial" w:hAnsi="Arial"/>
                <w:b/>
                <w:color w:val="002B49"/>
                <w:sz w:val="16"/>
              </w:rPr>
              <w:t xml:space="preserve">Principal Investigator: </w:t>
            </w:r>
            <w:r>
              <w:rPr>
                <w:rFonts w:ascii="Arial" w:hAnsi="Arial"/>
                <w:color w:val="1E293B"/>
                <w:sz w:val="16"/>
              </w:rPr>
              <w:t>Prof. Lead Researcher, Ph.D. Supervisor &amp; Director</w:t>
            </w:r>
          </w:p>
        </w:tc>
        <w:tc>
          <w:tcPr>
            <w:tcW w:type="dxa" w:w="4896"/>
            <w:shd w:fill="F8FAFC"/>
            <w:tcMar>
              <w:top w:w="35" w:type="dxa"/>
              <w:bottom w:w="35" w:type="dxa"/>
              <w:left w:w="70" w:type="dxa"/>
              <w:right w:w="70" w:type="dxa"/>
            </w:tcMar>
            <w:tcBorders>
              <w:top w:val="single" w:sz="8" w:space="0" w:color="0F4C81"/>
              <w:bottom w:val="none"/>
              <w:left w:val="none"/>
              <w:right w:val="none"/>
            </w:tcBorders>
          </w:tcPr>
          <w:p>
            <w:pPr>
              <w:spacing w:before="20" w:after="20" w:line="259" w:lineRule="auto"/>
            </w:pPr>
            <w:r>
              <w:rPr>
                <w:rFonts w:ascii="Arial" w:hAnsi="Arial"/>
                <w:b/>
                <w:color w:val="002B49"/>
                <w:sz w:val="16"/>
              </w:rPr>
              <w:t xml:space="preserve">Award Program: </w:t>
            </w:r>
            <w:r>
              <w:rPr>
                <w:rFonts w:ascii="Arial" w:hAnsi="Arial"/>
                <w:color w:val="1E293B"/>
                <w:sz w:val="16"/>
              </w:rPr>
              <w:t>Sony Faculty Innovation Award (US$100,000 Ceiling)</w:t>
            </w:r>
          </w:p>
        </w:tc>
      </w:tr>
      <w:tr>
        <w:trPr>
          <w:cantSplit/>
        </w:trPr>
        <w:tc>
          <w:tcPr>
            <w:tcW w:type="dxa" w:w="4896"/>
            <w:shd w:fill="F8FAFC"/>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2B49"/>
                <w:sz w:val="16"/>
              </w:rPr>
              <w:t xml:space="preserve">Academic Institution: </w:t>
            </w:r>
            <w:r>
              <w:rPr>
                <w:rFonts w:ascii="Arial" w:hAnsi="Arial"/>
                <w:color w:val="1E293B"/>
                <w:sz w:val="16"/>
              </w:rPr>
              <w:t>Dept. of Computer Science &amp; Center for Geospatial Analytics</w:t>
            </w:r>
          </w:p>
        </w:tc>
        <w:tc>
          <w:tcPr>
            <w:tcW w:type="dxa" w:w="4896"/>
            <w:shd w:fill="F8FAFC"/>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2B49"/>
                <w:sz w:val="16"/>
              </w:rPr>
              <w:t xml:space="preserve">Selected Keyword: </w:t>
            </w:r>
            <w:r>
              <w:rPr>
                <w:rFonts w:ascii="Arial" w:hAnsi="Arial"/>
                <w:color w:val="1E293B"/>
                <w:sz w:val="16"/>
              </w:rPr>
              <w:t>Edge AI (Multi-Agent Systems, Intelligent Sensing)</w:t>
            </w:r>
          </w:p>
        </w:tc>
      </w:tr>
      <w:tr>
        <w:trPr>
          <w:cantSplit/>
        </w:trPr>
        <w:tc>
          <w:tcPr>
            <w:tcW w:type="dxa" w:w="4896"/>
            <w:shd w:fill="F8FAFC"/>
            <w:tcMar>
              <w:top w:w="35" w:type="dxa"/>
              <w:bottom w:w="35" w:type="dxa"/>
              <w:left w:w="70" w:type="dxa"/>
              <w:right w:w="70" w:type="dxa"/>
            </w:tcMar>
            <w:tcBorders>
              <w:top w:val="none"/>
              <w:bottom w:val="single" w:sz="8" w:space="0" w:color="0F4C81"/>
              <w:left w:val="none"/>
              <w:right w:val="none"/>
            </w:tcBorders>
          </w:tcPr>
          <w:p>
            <w:pPr>
              <w:spacing w:before="20" w:after="20" w:line="259" w:lineRule="auto"/>
            </w:pPr>
            <w:r>
              <w:rPr>
                <w:rFonts w:ascii="Arial" w:hAnsi="Arial"/>
                <w:b/>
                <w:color w:val="002B49"/>
                <w:sz w:val="16"/>
              </w:rPr>
              <w:t xml:space="preserve">Contact Information: </w:t>
            </w:r>
            <w:r>
              <w:rPr>
                <w:rFonts w:ascii="Arial" w:hAnsi="Arial"/>
                <w:color w:val="1E293B"/>
                <w:sz w:val="16"/>
              </w:rPr>
              <w:t>pi.research@institution.edu  |  +91-11-2659-XXXX (Country: +91)</w:t>
            </w:r>
          </w:p>
        </w:tc>
        <w:tc>
          <w:tcPr>
            <w:tcW w:type="dxa" w:w="4896"/>
            <w:shd w:fill="F8FAFC"/>
            <w:tcMar>
              <w:top w:w="35" w:type="dxa"/>
              <w:bottom w:w="35" w:type="dxa"/>
              <w:left w:w="70" w:type="dxa"/>
              <w:right w:w="70" w:type="dxa"/>
            </w:tcMar>
            <w:tcBorders>
              <w:top w:val="none"/>
              <w:bottom w:val="single" w:sz="8" w:space="0" w:color="0F4C81"/>
              <w:left w:val="none"/>
              <w:right w:val="none"/>
            </w:tcBorders>
          </w:tcPr>
          <w:p>
            <w:pPr>
              <w:spacing w:before="20" w:after="20" w:line="259" w:lineRule="auto"/>
            </w:pPr>
            <w:r>
              <w:rPr>
                <w:rFonts w:ascii="Arial" w:hAnsi="Arial"/>
                <w:b/>
                <w:color w:val="002B49"/>
                <w:sz w:val="16"/>
              </w:rPr>
              <w:t xml:space="preserve">Target Evaluation Region: </w:t>
            </w:r>
            <w:r>
              <w:rPr>
                <w:rFonts w:ascii="Arial" w:hAnsi="Arial"/>
                <w:color w:val="1E293B"/>
                <w:sz w:val="16"/>
              </w:rPr>
              <w:t>Western Ghats &amp; Himalayan Flash-Flood Corridors</w:t>
            </w:r>
          </w:p>
        </w:tc>
      </w:tr>
    </w:tbl>
    <w:p>
      <w:pPr>
        <w:spacing w:before="120" w:after="120"/>
        <w:pBdr>
          <w:bottom w:val="single" w:sz="8" w:space="1" w:color="CBD5E1"/>
        </w:pBdr>
      </w:pPr>
    </w:p>
    <w:p>
      <w:pPr>
        <w:spacing w:before="0" w:after="80" w:line="259" w:lineRule="auto"/>
        <w:ind w:left="288" w:right="288"/>
        <w:jc w:val="both"/>
      </w:pPr>
      <w:r>
        <w:rPr>
          <w:rFonts w:ascii="Arial" w:hAnsi="Arial"/>
          <w:b/>
          <w:color w:val="002B49"/>
          <w:sz w:val="18"/>
        </w:rPr>
        <w:t>Abstract—</w:t>
      </w:r>
      <w:r>
        <w:rPr>
          <w:rFonts w:ascii="Arial" w:hAnsi="Arial"/>
          <w:i/>
          <w:color w:val="1E293B"/>
          <w:sz w:val="18"/>
        </w:rPr>
        <w:t>Catastrophic rapid-onset natural disasters—such as the July 2024 Wayanad landslides (400+ casualties) and flash floods—expose a fatal bottleneck in civil defense: passive dashboards and sequential manual phone trees introduce over 110 minutes of latency, entirely exhausting the life-critical "Golden Hour." This research proposal presents XNexus, a decentralized neuro-symbolic multi-agent framework engineered to transform disaster intelligence into verified, sub-4.0-second actionable decision packages for human incident commanders. XNexus couples ultra-low-power Sony Spresense™ edge nodes equipped with 192 kHz acoustic sensing and on-chip cryptographic attestation (ECDSA) to detect pre-rupture debris rumblings directly at the edge. Live edge telemetry is serialized via FastMCP into an in-memory spatial state matrix, where a specialized multi-agent ensemble (Geotechnical, Hydrological, Meteorological) executes semantic reasoning. Crucially, candidate recommendations are passed through a deterministic symbolic safety logic gate enforcing mathematical physical constraints before pre-packaging verified OASIS CAP v1.2 cellular alerts and NDMA ICS-201 incident plans for One-Click Commander Authorization. This proposal details the empirical infrasound validation on Spresense hardware and an itemized 12-month deployment plan strictly bounded within US$100,000.</w:t>
      </w:r>
    </w:p>
    <w:p>
      <w:pPr>
        <w:spacing w:before="40" w:after="120"/>
        <w:ind w:left="288" w:right="288"/>
      </w:pPr>
      <w:r>
        <w:rPr>
          <w:rFonts w:ascii="Arial" w:hAnsi="Arial"/>
          <w:b/>
          <w:color w:val="002B49"/>
          <w:sz w:val="17"/>
        </w:rPr>
        <w:t>Keywords—</w:t>
      </w:r>
      <w:r>
        <w:rPr>
          <w:rFonts w:ascii="Arial" w:hAnsi="Arial"/>
          <w:i/>
          <w:color w:val="64748B"/>
          <w:sz w:val="17"/>
        </w:rPr>
        <w:t>Edge AI, Sony Spresense CXD5602, Neuro-Symbolic AI, High-Speed Decision Support, FastMCP, TinyML, Symbolic Safety Gate, Hardware Attestation, Climate Resilience.</w:t>
      </w:r>
    </w:p>
    <w:p>
      <w:pPr>
        <w:spacing w:before="80" w:after="160"/>
        <w:pBdr>
          <w:bottom w:val="single" w:sz="8" w:space="1" w:color="CBD5E1"/>
        </w:pBdr>
      </w:pPr>
    </w:p>
    <w:p>
      <w:pPr>
        <w:pStyle w:val="Heading1"/>
        <w:keepNext/>
        <w:spacing w:before="180" w:after="40"/>
      </w:pPr>
      <w:r>
        <w:rPr>
          <w:rFonts w:ascii="Arial" w:hAnsi="Arial"/>
          <w:b/>
          <w:color w:val="002B49"/>
          <w:sz w:val="26"/>
        </w:rPr>
        <w:t>1. Problem Statement, Catastrophe Realities &amp; Research Gaps</w:t>
      </w:r>
    </w:p>
    <w:p>
      <w:pPr>
        <w:spacing w:before="0" w:after="60" w:line="264" w:lineRule="auto"/>
      </w:pPr>
      <w:r>
        <w:rPr>
          <w:rFonts w:ascii="Arial" w:hAnsi="Arial"/>
          <w:b/>
          <w:color w:val="1E293B"/>
          <w:sz w:val="19"/>
        </w:rPr>
        <w:t xml:space="preserve">The Paradox of Modern Disaster Intelligence: </w:t>
      </w:r>
      <w:r>
        <w:rPr>
          <w:rFonts w:ascii="Arial" w:hAnsi="Arial"/>
          <w:color w:val="1E293B"/>
          <w:sz w:val="19"/>
        </w:rPr>
        <w:t>Every year, severe meteorological and geological hazards claim tens of thousands of lives and inflict billions of dollars in infrastructure losses across vulnerable mountain and coastal regions. Despite heavy investments in meteorological satellites, numerical weather prediction models, and river gauge networks, civil defense responses remain fundamentally broken.</w:t>
      </w:r>
    </w:p>
    <w:p>
      <w:pPr>
        <w:spacing w:before="0" w:after="60" w:line="264" w:lineRule="auto"/>
      </w:pPr>
      <w:r>
        <w:rPr>
          <w:rFonts w:ascii="Arial" w:hAnsi="Arial"/>
          <w:color w:val="1E293B"/>
          <w:sz w:val="19"/>
        </w:rPr>
        <w:t>The fatal flaw is not a lack of scientific data, but the architectural fragmentation of disaster intelligence and the latency of human bureaucratic execution. In current operational standard operating procedures (SOPs), environmental data is trapped in isolated agency silos: Doppler radar reflectivity sits on meteorological portals (e.g., IMD), river stage telemetry resides in hydrological databases (e.g., CWC), and geological slope risk is locked in static periodic reports (e.g., GSI). When an extreme event strikes, these streams cannot dynamically synthesize without manual operator intervention.</w:t>
      </w:r>
    </w:p>
    <w:tbl>
      <w:tblPr>
        <w:tblW w:type="auto" w:w="0"/>
        <w:jc w:val="center"/>
        <w:tblLayout w:type="fixed"/>
        <w:tblLook w:firstColumn="1" w:firstRow="1" w:lastColumn="0" w:lastRow="0" w:noHBand="0" w:noVBand="1" w:val="04A0"/>
      </w:tblPr>
      <w:tblGrid>
        <w:gridCol w:w="9792"/>
      </w:tblGrid>
      <w:tr>
        <w:trPr>
          <w:cantSplit/>
        </w:trPr>
        <w:tc>
          <w:tcPr>
            <w:tcW w:type="dxa" w:w="9792"/>
            <w:shd w:fill="FEF2F2"/>
            <w:tcMar>
              <w:top w:w="70" w:type="dxa"/>
              <w:bottom w:w="70" w:type="dxa"/>
              <w:left w:w="140" w:type="dxa"/>
              <w:right w:w="140" w:type="dxa"/>
            </w:tcMar>
            <w:tcBorders>
              <w:top w:val="none"/>
              <w:bottom w:val="none"/>
              <w:left w:val="single" w:sz="24" w:space="0" w:color="DC2626"/>
              <w:right w:val="none"/>
            </w:tcBorders>
          </w:tcPr>
          <w:p>
            <w:pPr>
              <w:spacing w:before="0" w:after="40"/>
            </w:pPr>
            <w:r>
              <w:rPr>
                <w:rFonts w:ascii="Arial" w:hAnsi="Arial"/>
                <w:b/>
                <w:color w:val="DC2626"/>
                <w:sz w:val="18"/>
              </w:rPr>
              <w:t>⚠️  GROUND REALITY CASE STUDY: The 2024 Wayanad Landslide Tragedy</w:t>
            </w:r>
          </w:p>
          <w:p>
            <w:pPr>
              <w:spacing w:before="20" w:after="40" w:line="259" w:lineRule="auto"/>
            </w:pPr>
            <w:r>
              <w:rPr>
                <w:rFonts w:ascii="Arial" w:hAnsi="Arial"/>
                <w:color w:val="1E293B"/>
                <w:sz w:val="17"/>
              </w:rPr>
              <w:t>Event Timeline: On July 30, 2024, catastrophic debris flows struck the Meppadi panchayat in Wayanad, Kerala, India, between 1:00 AM and 4:00 AM, demolishing entire villages (Chooralmala, Mundakkai) and killing over 400 civilians.</w:t>
            </w:r>
          </w:p>
          <w:p>
            <w:pPr>
              <w:spacing w:before="20" w:after="40" w:line="259" w:lineRule="auto"/>
            </w:pPr>
            <w:r>
              <w:rPr>
                <w:rFonts w:ascii="Arial" w:hAnsi="Arial"/>
                <w:color w:val="1E293B"/>
                <w:sz w:val="17"/>
              </w:rPr>
              <w:t>The Fatal Bottleneck: Over 570 mm of rainfall fell within 48 hours. Official warnings were gated behind sequential administrative hierarchy. Because the debris flows ruptured during the night (3:00 AM), human phone trees were completely dormant. It took more than 110 minutes between the physical slope failure and the mobilization of downstream civil evacuation.</w:t>
            </w:r>
          </w:p>
          <w:p>
            <w:pPr>
              <w:spacing w:before="20" w:after="40" w:line="259" w:lineRule="auto"/>
            </w:pPr>
            <w:r>
              <w:rPr>
                <w:rFonts w:ascii="Arial" w:hAnsi="Arial"/>
                <w:color w:val="1E293B"/>
                <w:sz w:val="17"/>
              </w:rPr>
              <w:t>By the time rescue forces were dispatched, the main bridge at Chooralmala was washed out, cutting off the evacuation route. An edge system detecting pre-rupture acoustic rumblings and instantly delivering a verified, one-click incident command package would have saved hundreds of lives during the critical golden hour.</w:t>
            </w:r>
          </w:p>
        </w:tc>
      </w:tr>
    </w:tbl>
    <w:p>
      <w:pPr>
        <w:spacing w:before="0" w:after="60"/>
      </w:pPr>
    </w:p>
    <w:tbl>
      <w:tblPr>
        <w:tblW w:type="auto" w:w="0"/>
        <w:jc w:val="center"/>
        <w:tblLayout w:type="fixed"/>
        <w:tblLook w:firstColumn="1" w:firstRow="1" w:lastColumn="0" w:lastRow="0" w:noHBand="0" w:noVBand="1" w:val="04A0"/>
      </w:tblPr>
      <w:tblGrid>
        <w:gridCol w:w="9792"/>
      </w:tblGrid>
      <w:tr>
        <w:trPr>
          <w:cantSplit/>
        </w:trPr>
        <w:tc>
          <w:tcPr>
            <w:tcW w:type="dxa" w:w="9792"/>
            <w:shd w:fill="FFFBEB"/>
            <w:tcMar>
              <w:top w:w="70" w:type="dxa"/>
              <w:bottom w:w="70" w:type="dxa"/>
              <w:left w:w="140" w:type="dxa"/>
              <w:right w:w="140" w:type="dxa"/>
            </w:tcMar>
            <w:tcBorders>
              <w:top w:val="none"/>
              <w:bottom w:val="none"/>
              <w:left w:val="single" w:sz="24" w:space="0" w:color="D97706"/>
              <w:right w:val="none"/>
            </w:tcBorders>
          </w:tcPr>
          <w:p>
            <w:pPr>
              <w:spacing w:before="0" w:after="40"/>
            </w:pPr>
            <w:r>
              <w:rPr>
                <w:rFonts w:ascii="Arial" w:hAnsi="Arial"/>
                <w:b/>
                <w:color w:val="D97706"/>
                <w:sz w:val="18"/>
              </w:rPr>
              <w:t>🌊  GROUND REALITY CASE STUDY: The September 2024 Nepal Flash Floods</w:t>
            </w:r>
          </w:p>
          <w:p>
            <w:pPr>
              <w:spacing w:before="20" w:after="40" w:line="259" w:lineRule="auto"/>
            </w:pPr>
            <w:r>
              <w:rPr>
                <w:rFonts w:ascii="Arial" w:hAnsi="Arial"/>
                <w:color w:val="1E293B"/>
                <w:sz w:val="17"/>
              </w:rPr>
              <w:t>Disaster Impact: In late September 2024, unprecedented monsoon cloudbursts dumped up to 322 mm of rainfall in 24 hours across Kathmandu Valley and eastern Nepal, triggering flash floods that killed over 240 individuals.</w:t>
            </w:r>
          </w:p>
          <w:p>
            <w:pPr>
              <w:spacing w:before="20" w:after="40" w:line="259" w:lineRule="auto"/>
            </w:pPr>
            <w:r>
              <w:rPr>
                <w:rFonts w:ascii="Arial" w:hAnsi="Arial"/>
                <w:color w:val="1E293B"/>
                <w:sz w:val="17"/>
              </w:rPr>
              <w:t>Grid and Communications Collapse: The primary failure mode was the immediate collapse of commercial power and 4G/LTE base stations as riverbanks eroded. Centralized cloud dashboards went blind. Downstream communities received zero upstream telemetry because sensors lacked autonomous, decentralized edge intelligence capable of operating during power blackouts.</w:t>
            </w:r>
          </w:p>
        </w:tc>
      </w:tr>
    </w:tbl>
    <w:p>
      <w:pPr>
        <w:spacing w:before="0" w:after="60"/>
      </w:pPr>
    </w:p>
    <w:p>
      <w:pPr>
        <w:pStyle w:val="Heading1"/>
        <w:keepNext/>
        <w:spacing w:before="180" w:after="40"/>
      </w:pPr>
      <w:r>
        <w:rPr>
          <w:rFonts w:ascii="Arial" w:hAnsi="Arial"/>
          <w:b/>
          <w:color w:val="002B49"/>
          <w:sz w:val="26"/>
        </w:rPr>
        <w:t>2. Formal Research Questions, Core Objectives &amp; Scientific Contributions</w:t>
      </w:r>
    </w:p>
    <w:p>
      <w:pPr>
        <w:spacing w:before="0" w:after="60" w:line="264" w:lineRule="auto"/>
      </w:pPr>
      <w:r>
        <w:rPr>
          <w:rFonts w:ascii="Arial" w:hAnsi="Arial"/>
          <w:color w:val="1E293B"/>
          <w:sz w:val="19"/>
        </w:rPr>
        <w:t>To resolve these vulnerabilities while respecting the stochastic limits of artificial intelligence and civil defense regulations, this proposal formalizes three core research questions (RQs):</w:t>
      </w:r>
    </w:p>
    <w:p>
      <w:pPr>
        <w:pStyle w:val="ListBullet"/>
        <w:spacing w:before="20" w:after="40" w:line="259" w:lineRule="auto"/>
      </w:pPr>
      <w:r>
        <w:rPr>
          <w:rFonts w:ascii="Arial" w:hAnsi="Arial"/>
          <w:b/>
          <w:color w:val="1E293B"/>
          <w:sz w:val="18"/>
        </w:rPr>
        <w:t xml:space="preserve">Research Question 1 (RQ1 - Edge Infrasound &amp; Hardware Attestation): </w:t>
      </w:r>
      <w:r>
        <w:rPr>
          <w:rFonts w:ascii="Arial" w:hAnsi="Arial"/>
          <w:color w:val="1E293B"/>
          <w:sz w:val="18"/>
        </w:rPr>
        <w:t>How can ultra-low-power microcontrollers (Sony Spresense™) capture 10–120 Hz pre-rupture acoustic rumblings with on-device INT8 TinyML, while cryptographically signing telemetry at the hardware level (ECDSA) to guarantee endpoint data genuineness against tampering or destruction?</w:t>
      </w:r>
    </w:p>
    <w:p>
      <w:pPr>
        <w:pStyle w:val="ListBullet"/>
        <w:spacing w:before="20" w:after="40" w:line="259" w:lineRule="auto"/>
      </w:pPr>
      <w:r>
        <w:rPr>
          <w:rFonts w:ascii="Arial" w:hAnsi="Arial"/>
          <w:b/>
          <w:color w:val="1E293B"/>
          <w:sz w:val="18"/>
        </w:rPr>
        <w:t xml:space="preserve">Research Question 2 (RQ2 - Neuro-Symbolic Safety Gate &amp; Deterministic Invariant Enforcement): </w:t>
      </w:r>
      <w:r>
        <w:rPr>
          <w:rFonts w:ascii="Arial" w:hAnsi="Arial"/>
          <w:color w:val="1E293B"/>
          <w:sz w:val="18"/>
        </w:rPr>
        <w:t>How can inherently stochastic multi-agent LLM ensembles (Geo, Hydro, Weather) be paired with a traditional, hard-coded symbolic logic gate to guarantee 100% adherence to physical life-safety invariants under noisy or corrupted inputs?</w:t>
      </w:r>
    </w:p>
    <w:p>
      <w:pPr>
        <w:pStyle w:val="ListBullet"/>
        <w:spacing w:before="20" w:after="40" w:line="259" w:lineRule="auto"/>
      </w:pPr>
      <w:r>
        <w:rPr>
          <w:rFonts w:ascii="Arial" w:hAnsi="Arial"/>
          <w:b/>
          <w:color w:val="1E293B"/>
          <w:sz w:val="18"/>
        </w:rPr>
        <w:t xml:space="preserve">Research Question 3 (RQ3 - Rapid Human-in-the-Loop Decision Support): </w:t>
      </w:r>
      <w:r>
        <w:rPr>
          <w:rFonts w:ascii="Arial" w:hAnsi="Arial"/>
          <w:color w:val="1E293B"/>
          <w:sz w:val="18"/>
        </w:rPr>
        <w:t>How can heterogeneous environmental telemetry be synthesized in &lt;4.0 seconds into a pre-packaged, legally compliant incident action report (NDMA ICS-201 and OASIS CAP v1.2) that an Incident Commander can execute with a single click?</w:t>
      </w:r>
    </w:p>
    <w:p>
      <w:pPr>
        <w:pStyle w:val="Heading2"/>
        <w:keepNext/>
        <w:spacing w:before="140" w:after="40"/>
      </w:pPr>
      <w:r>
        <w:rPr>
          <w:rFonts w:ascii="Arial" w:hAnsi="Arial"/>
          <w:b/>
          <w:color w:val="0F4C81"/>
          <w:sz w:val="22"/>
        </w:rPr>
        <w:t>2.1 Three Core Research Objectives &amp; 12-Month Deliverables</w:t>
      </w:r>
    </w:p>
    <w:p>
      <w:pPr>
        <w:pStyle w:val="ListBullet"/>
        <w:spacing w:before="20" w:after="40" w:line="259" w:lineRule="auto"/>
      </w:pPr>
      <w:r>
        <w:rPr>
          <w:rFonts w:ascii="Arial" w:hAnsi="Arial"/>
          <w:b/>
          <w:color w:val="1E293B"/>
          <w:sz w:val="18"/>
        </w:rPr>
        <w:t xml:space="preserve">1. Sub-Watt Acoustic Edge AI &amp; Hardware Attestation on Sony Spresense™: </w:t>
      </w:r>
      <w:r>
        <w:rPr>
          <w:rFonts w:ascii="Arial" w:hAnsi="Arial"/>
          <w:color w:val="1E293B"/>
          <w:sz w:val="18"/>
        </w:rPr>
        <w:t>Deploy Sony Spresense CXD5602/CXD5247 nodes with an on-device 192 kHz Mel-spectrogram TinyML engine to detect pre-rupture debris rumblings (10-120 Hz) with sub-second inference at under 120 mW, authenticated via on-chip ECDSA signatures.</w:t>
      </w:r>
    </w:p>
    <w:p>
      <w:pPr>
        <w:pStyle w:val="ListBullet"/>
        <w:spacing w:before="20" w:after="40" w:line="259" w:lineRule="auto"/>
      </w:pPr>
      <w:r>
        <w:rPr>
          <w:rFonts w:ascii="Arial" w:hAnsi="Arial"/>
          <w:b/>
          <w:color w:val="1E293B"/>
          <w:sz w:val="18"/>
        </w:rPr>
        <w:t xml:space="preserve">2. FastMCP Open Semantic Mesh Bus with Zero-Trust Validation: </w:t>
      </w:r>
      <w:r>
        <w:rPr>
          <w:rFonts w:ascii="Arial" w:hAnsi="Arial"/>
          <w:color w:val="1E293B"/>
          <w:sz w:val="18"/>
        </w:rPr>
        <w:t>Establish an open Model Context Protocol bus uniting heterogeneous telemetry (IMD radar, CWC river stages, GSI piezometers) into an O(1) in-memory spatial state matrix with physical consistency cross-validation.</w:t>
      </w:r>
    </w:p>
    <w:p>
      <w:pPr>
        <w:pStyle w:val="ListBullet"/>
        <w:spacing w:before="20" w:after="40" w:line="259" w:lineRule="auto"/>
      </w:pPr>
      <w:r>
        <w:rPr>
          <w:rFonts w:ascii="Arial" w:hAnsi="Arial"/>
          <w:b/>
          <w:color w:val="1E293B"/>
          <w:sz w:val="18"/>
        </w:rPr>
        <w:t xml:space="preserve">3. Neuro-Symbolic Safety Gate &amp; One-Click Command Synthesis: </w:t>
      </w:r>
      <w:r>
        <w:rPr>
          <w:rFonts w:ascii="Arial" w:hAnsi="Arial"/>
          <w:color w:val="1E293B"/>
          <w:sz w:val="18"/>
        </w:rPr>
        <w:t>Implement a formal logic constraint validator that evaluates multi-agent LLM reasoning against hard safety boundaries, pre-packaging verified OASIS CAP v1.2 and ICS-201 action plans for rapid commander approval in &lt;4.0 seconds.</w:t>
      </w:r>
    </w:p>
    <w:p>
      <w:pPr>
        <w:pStyle w:val="Heading2"/>
        <w:keepNext/>
        <w:spacing w:before="140" w:after="40"/>
      </w:pPr>
      <w:r>
        <w:rPr>
          <w:rFonts w:ascii="Arial" w:hAnsi="Arial"/>
          <w:b/>
          <w:color w:val="0F4C81"/>
          <w:sz w:val="22"/>
        </w:rPr>
        <w:t>2.2 Summary of Novel Scientific Contributions</w:t>
      </w:r>
    </w:p>
    <w:p>
      <w:pPr>
        <w:pStyle w:val="ListBullet"/>
        <w:spacing w:before="20" w:after="40" w:line="259" w:lineRule="auto"/>
      </w:pPr>
      <w:r>
        <w:rPr>
          <w:rFonts w:ascii="Arial" w:hAnsi="Arial"/>
          <w:b/>
          <w:color w:val="1E293B"/>
          <w:sz w:val="18"/>
        </w:rPr>
        <w:t xml:space="preserve">1. Neuro-Symbolic Separation of Concerns:  </w:t>
      </w:r>
      <w:r>
        <w:rPr>
          <w:rFonts w:ascii="Arial" w:hAnsi="Arial"/>
          <w:color w:val="1E293B"/>
          <w:sz w:val="18"/>
        </w:rPr>
        <w:t>Decouples probabilistic semantic reasoning (LLM agents) from deterministic safety verification (hard-coded Symbolic Logic Gate), resolving the scientific flaw of relying on purely stochastic agents for life safety.</w:t>
      </w:r>
    </w:p>
    <w:p>
      <w:pPr>
        <w:pStyle w:val="ListBullet"/>
        <w:spacing w:before="20" w:after="40" w:line="259" w:lineRule="auto"/>
      </w:pPr>
      <w:r>
        <w:rPr>
          <w:rFonts w:ascii="Arial" w:hAnsi="Arial"/>
          <w:b/>
          <w:color w:val="1E293B"/>
          <w:sz w:val="18"/>
        </w:rPr>
        <w:t xml:space="preserve">2. Hardware-Attested Edge Infrasound:  </w:t>
      </w:r>
      <w:r>
        <w:rPr>
          <w:rFonts w:ascii="Arial" w:hAnsi="Arial"/>
          <w:color w:val="1E293B"/>
          <w:sz w:val="18"/>
        </w:rPr>
        <w:t>First implementation of on-chip cryptographic telemetry signing on Sony Spresense CXD5602, ensuring endpoint integrity even if remote nodes are physically compromised.</w:t>
      </w:r>
    </w:p>
    <w:p>
      <w:pPr>
        <w:pStyle w:val="ListBullet"/>
        <w:spacing w:before="20" w:after="40" w:line="259" w:lineRule="auto"/>
      </w:pPr>
      <w:r>
        <w:rPr>
          <w:rFonts w:ascii="Arial" w:hAnsi="Arial"/>
          <w:b/>
          <w:color w:val="1E293B"/>
          <w:sz w:val="18"/>
        </w:rPr>
        <w:t xml:space="preserve">3. Rapid Human-in-the-Loop Decision Support:  </w:t>
      </w:r>
      <w:r>
        <w:rPr>
          <w:rFonts w:ascii="Arial" w:hAnsi="Arial"/>
          <w:color w:val="1E293B"/>
          <w:sz w:val="18"/>
        </w:rPr>
        <w:t>Replaces the unfeasible concept of unregulated autonomous actuation with a verified One-Click Dispatch mechanism that preserves human incident command authority while eliminating 110+ minutes of manual delay.</w:t>
      </w:r>
    </w:p>
    <w:p>
      <w:pPr>
        <w:pStyle w:val="ListBullet"/>
        <w:spacing w:before="20" w:after="40" w:line="259" w:lineRule="auto"/>
      </w:pPr>
      <w:r>
        <w:rPr>
          <w:rFonts w:ascii="Arial" w:hAnsi="Arial"/>
          <w:b/>
          <w:color w:val="1E293B"/>
          <w:sz w:val="18"/>
        </w:rPr>
        <w:t xml:space="preserve">4. Zero-Trust Spatial Telemetry Validation:  </w:t>
      </w:r>
      <w:r>
        <w:rPr>
          <w:rFonts w:ascii="Arial" w:hAnsi="Arial"/>
          <w:color w:val="1E293B"/>
          <w:sz w:val="18"/>
        </w:rPr>
        <w:t>Automated physical-invariant cross-checks between acoustic, hydrological, and geotechnical sensors to detect damaged, dislodged, or drifting instruments.</w:t>
      </w:r>
    </w:p>
    <w:p>
      <w:pPr>
        <w:pStyle w:val="Heading1"/>
        <w:keepNext/>
        <w:spacing w:before="180" w:after="40"/>
      </w:pPr>
      <w:r>
        <w:rPr>
          <w:rFonts w:ascii="Arial" w:hAnsi="Arial"/>
          <w:b/>
          <w:color w:val="002B49"/>
          <w:sz w:val="26"/>
        </w:rPr>
        <w:t>3. Proposed System Architecture &amp; 7-Layer Neuro-Symbolic Topology</w:t>
      </w:r>
    </w:p>
    <w:p>
      <w:pPr>
        <w:spacing w:before="0" w:after="60" w:line="264" w:lineRule="auto"/>
      </w:pPr>
      <w:r>
        <w:rPr>
          <w:rFonts w:ascii="Arial" w:hAnsi="Arial"/>
          <w:color w:val="1E293B"/>
          <w:sz w:val="19"/>
        </w:rPr>
        <w:t>XNexus is structured as a closed-loop 7-layer neuro-symbolic architecture bridging distributed edge sensing, semantic AI reasoning, and high-speed human command approval. Figure 1 illustrates the end-to-end topological blueprint.</w:t>
      </w:r>
    </w:p>
    <w:p>
      <w:pPr>
        <w:keepNext/>
        <w:spacing w:before="120" w:after="40"/>
        <w:jc w:val="center"/>
      </w:pPr>
      <w:r>
        <w:drawing>
          <wp:inline xmlns:a="http://schemas.openxmlformats.org/drawingml/2006/main" xmlns:pic="http://schemas.openxmlformats.org/drawingml/2006/picture">
            <wp:extent cx="5852160" cy="3160672"/>
            <wp:docPr id="1" name="Picture 1"/>
            <wp:cNvGraphicFramePr>
              <a:graphicFrameLocks noChangeAspect="1"/>
            </wp:cNvGraphicFramePr>
            <a:graphic>
              <a:graphicData uri="http://schemas.openxmlformats.org/drawingml/2006/picture">
                <pic:pic>
                  <pic:nvPicPr>
                    <pic:cNvPr id="0" name="fig1_architecture_topology.png"/>
                    <pic:cNvPicPr/>
                  </pic:nvPicPr>
                  <pic:blipFill>
                    <a:blip r:embed="rId11"/>
                    <a:stretch>
                      <a:fillRect/>
                    </a:stretch>
                  </pic:blipFill>
                  <pic:spPr>
                    <a:xfrm>
                      <a:off x="0" y="0"/>
                      <a:ext cx="5852160" cy="3160672"/>
                    </a:xfrm>
                    <a:prstGeom prst="rect"/>
                  </pic:spPr>
                </pic:pic>
              </a:graphicData>
            </a:graphic>
          </wp:inline>
        </w:drawing>
      </w:r>
    </w:p>
    <w:p>
      <w:pPr>
        <w:spacing w:before="20" w:after="120"/>
        <w:jc w:val="center"/>
      </w:pPr>
      <w:r>
        <w:rPr>
          <w:rFonts w:ascii="Arial" w:hAnsi="Arial"/>
          <w:b/>
          <w:color w:val="002B49"/>
          <w:sz w:val="16"/>
        </w:rPr>
        <w:t xml:space="preserve">Figure 1: </w:t>
      </w:r>
      <w:r>
        <w:rPr>
          <w:rFonts w:ascii="Arial" w:hAnsi="Arial"/>
          <w:b/>
          <w:color w:val="1E293B"/>
          <w:sz w:val="16"/>
        </w:rPr>
        <w:t xml:space="preserve">XNexus 7-Layer Neuro-Symbolic Architecture Topology. </w:t>
      </w:r>
      <w:r>
        <w:rPr>
          <w:rFonts w:ascii="Arial" w:hAnsi="Arial"/>
          <w:i/>
          <w:color w:val="64748B"/>
          <w:sz w:val="16"/>
        </w:rPr>
        <w:t>Illustrates the end-to-end pipeline: Tier 1 Sony Spresense sensing and hardware attestation; Tier 2 FastMCP semantic mesh; Tier 3 Neuro-symbolic multi-agent reasoning and symbolic safety gate; and Tier 4 One-click incident commander decision support.</w:t>
      </w:r>
    </w:p>
    <w:p>
      <w:pPr>
        <w:pStyle w:val="Heading2"/>
        <w:keepNext/>
        <w:spacing w:before="140" w:after="40"/>
      </w:pPr>
      <w:r>
        <w:rPr>
          <w:rFonts w:ascii="Arial" w:hAnsi="Arial"/>
          <w:b/>
          <w:color w:val="0F4C81"/>
          <w:sz w:val="22"/>
        </w:rPr>
        <w:t>3.1 Detailed Layer-by-Layer Technical Specification</w:t>
      </w:r>
    </w:p>
    <w:p>
      <w:pPr>
        <w:pStyle w:val="ListBullet"/>
        <w:spacing w:before="20" w:after="40" w:line="259" w:lineRule="auto"/>
      </w:pPr>
      <w:r>
        <w:rPr>
          <w:rFonts w:ascii="Arial" w:hAnsi="Arial"/>
          <w:b/>
          <w:color w:val="1E293B"/>
          <w:sz w:val="18"/>
        </w:rPr>
        <w:t xml:space="preserve">Layer 1 (L1) — Edge Telemetry &amp; Hardware Attestation: </w:t>
      </w:r>
      <w:r>
        <w:rPr>
          <w:rFonts w:ascii="Arial" w:hAnsi="Arial"/>
          <w:color w:val="1E293B"/>
          <w:sz w:val="18"/>
        </w:rPr>
        <w:t>Combines heterogeneous streams. Field-deployed Sony Spresense™ nodes capture high-resolution audio (192 kHz) and micro-seismic vibrations via geophones, executing an INT8 TinyML model to detect tumbling rocks and soil shearing. Crucially, each telemetry packet is signed using an on-chip cryptographic private key (ECDSA) to verify endpoint authenticity. Centralized adapters ingest IMD Doppler radar reflectivity (Z-factors) and CWC river stages.</w:t>
      </w:r>
    </w:p>
    <w:p>
      <w:pPr>
        <w:pStyle w:val="ListBullet"/>
        <w:spacing w:before="20" w:after="40" w:line="259" w:lineRule="auto"/>
      </w:pPr>
      <w:r>
        <w:rPr>
          <w:rFonts w:ascii="Arial" w:hAnsi="Arial"/>
          <w:b/>
          <w:color w:val="1E293B"/>
          <w:sz w:val="18"/>
        </w:rPr>
        <w:t xml:space="preserve">Layer 2 (L2) — Semantic Normalization &amp; FastMCP Mesh: </w:t>
      </w:r>
      <w:r>
        <w:rPr>
          <w:rFonts w:ascii="Arial" w:hAnsi="Arial"/>
          <w:color w:val="1E293B"/>
          <w:sz w:val="18"/>
        </w:rPr>
        <w:t>Translates raw telemetry into standard JSON-RPC payloads using Anthropic's open-source Model Context Protocol (FastMCP). Performs zero-trust schema validation, transforms coordinates into WGS84 tensors, harmonizes metric SI units, and executes spatial cross-sensor consistency checks.</w:t>
      </w:r>
    </w:p>
    <w:p>
      <w:pPr>
        <w:pStyle w:val="ListBullet"/>
        <w:spacing w:before="20" w:after="40" w:line="259" w:lineRule="auto"/>
      </w:pPr>
      <w:r>
        <w:rPr>
          <w:rFonts w:ascii="Arial" w:hAnsi="Arial"/>
          <w:b/>
          <w:color w:val="1E293B"/>
          <w:sz w:val="18"/>
        </w:rPr>
        <w:t xml:space="preserve">Layer 3 (L3) — Shared Multi-Agent Spatial State Matrix: </w:t>
      </w:r>
      <w:r>
        <w:rPr>
          <w:rFonts w:ascii="Arial" w:hAnsi="Arial"/>
          <w:color w:val="1E293B"/>
          <w:sz w:val="18"/>
        </w:rPr>
        <w:t>A high-throughput in-memory Redis vector context store maintaining an O(1) spatial coordinate index of the entire hazard corridor. All reasoning agents query this shared state, ensuring zero information asymmetry.</w:t>
      </w:r>
    </w:p>
    <w:p>
      <w:pPr>
        <w:pStyle w:val="ListBullet"/>
        <w:spacing w:before="20" w:after="40" w:line="259" w:lineRule="auto"/>
      </w:pPr>
      <w:r>
        <w:rPr>
          <w:rFonts w:ascii="Arial" w:hAnsi="Arial"/>
          <w:b/>
          <w:color w:val="1E293B"/>
          <w:sz w:val="18"/>
        </w:rPr>
        <w:t xml:space="preserve">Layer 4 (L4) — Domain-Specific Semantic Reasoning Ensemble: </w:t>
      </w:r>
      <w:r>
        <w:rPr>
          <w:rFonts w:ascii="Arial" w:hAnsi="Arial"/>
          <w:color w:val="1E293B"/>
          <w:sz w:val="18"/>
        </w:rPr>
        <w:t>Comprises three decoupled, specialized LLM reasoning agents: (a) GeoRisk Agent, which evaluates slope shear stress and acoustic rumble scores; (b) Hydro Agent, which models hydraulic wave crest arrival; and (c) Weather Agent, which tracks cloudburst cell trajectories. These agents propose candidate evacuation corridors and hazard polygons.</w:t>
      </w:r>
    </w:p>
    <w:p>
      <w:pPr>
        <w:pStyle w:val="ListBullet"/>
        <w:spacing w:before="20" w:after="40" w:line="259" w:lineRule="auto"/>
      </w:pPr>
      <w:r>
        <w:rPr>
          <w:rFonts w:ascii="Arial" w:hAnsi="Arial"/>
          <w:b/>
          <w:color w:val="1E293B"/>
          <w:sz w:val="18"/>
        </w:rPr>
        <w:t xml:space="preserve">Layer 5 (L5) — Symbolic Safety Logic Gate (Hard-Coded Invariant Solver): </w:t>
      </w:r>
      <w:r>
        <w:rPr>
          <w:rFonts w:ascii="Arial" w:hAnsi="Arial"/>
          <w:color w:val="1E293B"/>
          <w:sz w:val="18"/>
        </w:rPr>
        <w:t>A deterministic, non-stochastic constraint validator. Rather than trusting LLM outputs blindly, Layer 5 subjects all candidate recommendations to strict mathematical physical rules (e.g., zero routes crossing active slope failures; minimum buffer distances). Unsafe proposals are deterministically rejected and replaced with provably safe defaults.</w:t>
      </w:r>
    </w:p>
    <w:p>
      <w:pPr>
        <w:pStyle w:val="ListBullet"/>
        <w:spacing w:before="20" w:after="40" w:line="259" w:lineRule="auto"/>
      </w:pPr>
      <w:r>
        <w:rPr>
          <w:rFonts w:ascii="Arial" w:hAnsi="Arial"/>
          <w:b/>
          <w:color w:val="1E293B"/>
          <w:sz w:val="18"/>
        </w:rPr>
        <w:t xml:space="preserve">Layer 6 (L6) — Rapid Decision Support &amp; One-Click Dispatch: </w:t>
      </w:r>
      <w:r>
        <w:rPr>
          <w:rFonts w:ascii="Arial" w:hAnsi="Arial"/>
          <w:color w:val="1E293B"/>
          <w:sz w:val="18"/>
        </w:rPr>
        <w:t>Pre-packages the verified recommendation into standardized operational artifacts in under 1.8 seconds: (a) OASIS CAP v1.2 multilingual cellular broadcast XML payload; (b) NDMA ICS-201 Incident Action Plan briefing card; and (c) Sony Sub-GHz fallback siren triggers. The on-duty Incident Commander reviews the briefing and authorizes execution with a single click.</w:t>
      </w:r>
    </w:p>
    <w:p>
      <w:pPr>
        <w:pStyle w:val="ListBullet"/>
        <w:spacing w:before="20" w:after="40" w:line="259" w:lineRule="auto"/>
      </w:pPr>
      <w:r>
        <w:rPr>
          <w:rFonts w:ascii="Arial" w:hAnsi="Arial"/>
          <w:b/>
          <w:color w:val="1E293B"/>
          <w:sz w:val="18"/>
        </w:rPr>
        <w:t xml:space="preserve">Layer 7 (L7) — Closed-Loop Feedback &amp; Telemetry Verification: </w:t>
      </w:r>
      <w:r>
        <w:rPr>
          <w:rFonts w:ascii="Arial" w:hAnsi="Arial"/>
          <w:color w:val="1E293B"/>
          <w:sz w:val="18"/>
        </w:rPr>
        <w:t>Continuously monitors post-dispatch telemetry (cellular tower broadcast acks, downstream river stages). Real-time state deltas feed back into Layer 3, dynamically updating risk weights for subsequent decision cycles.</w:t>
      </w:r>
    </w:p>
    <w:p>
      <w:pPr>
        <w:pStyle w:val="Heading1"/>
        <w:keepNext/>
        <w:spacing w:before="180" w:after="40"/>
      </w:pPr>
      <w:r>
        <w:rPr>
          <w:rFonts w:ascii="Arial" w:hAnsi="Arial"/>
          <w:b/>
          <w:color w:val="002B49"/>
          <w:sz w:val="26"/>
        </w:rPr>
        <w:t>4. Narrative: Why Sony &amp; How We Leverage Sony Technologies</w:t>
      </w:r>
    </w:p>
    <w:p>
      <w:pPr>
        <w:spacing w:before="0" w:after="60" w:line="264" w:lineRule="auto"/>
      </w:pPr>
      <w:r>
        <w:rPr>
          <w:rFonts w:ascii="Arial" w:hAnsi="Arial"/>
          <w:b/>
          <w:color w:val="1E293B"/>
          <w:sz w:val="19"/>
        </w:rPr>
        <w:t xml:space="preserve">The Necessity of Edge Resilience: </w:t>
      </w:r>
      <w:r>
        <w:rPr>
          <w:rFonts w:ascii="Arial" w:hAnsi="Arial"/>
          <w:color w:val="1E293B"/>
          <w:sz w:val="19"/>
        </w:rPr>
        <w:t>A foundational premise of this proposal is that civil defense AI cannot rely exclusively on cloud computing. When catastrophic mudslides sever fiber-optic trunk lines and knock out commercial power grids, centralized dashboards become blind. True life-saving resilience requires ultra-low-power, intelligent edge microcontrollers capable of autonomous sensing and cryptographic attestation.</w:t>
      </w:r>
    </w:p>
    <w:p>
      <w:pPr>
        <w:keepNext/>
        <w:spacing w:before="120" w:after="40"/>
        <w:jc w:val="center"/>
      </w:pPr>
      <w:r>
        <w:drawing>
          <wp:inline xmlns:a="http://schemas.openxmlformats.org/drawingml/2006/main" xmlns:pic="http://schemas.openxmlformats.org/drawingml/2006/picture">
            <wp:extent cx="5852160" cy="2701998"/>
            <wp:docPr id="2" name="Picture 2"/>
            <wp:cNvGraphicFramePr>
              <a:graphicFrameLocks noChangeAspect="1"/>
            </wp:cNvGraphicFramePr>
            <a:graphic>
              <a:graphicData uri="http://schemas.openxmlformats.org/drawingml/2006/picture">
                <pic:pic>
                  <pic:nvPicPr>
                    <pic:cNvPr id="0" name="fig3_spresense_edge_node.png"/>
                    <pic:cNvPicPr/>
                  </pic:nvPicPr>
                  <pic:blipFill>
                    <a:blip r:embed="rId12"/>
                    <a:stretch>
                      <a:fillRect/>
                    </a:stretch>
                  </pic:blipFill>
                  <pic:spPr>
                    <a:xfrm>
                      <a:off x="0" y="0"/>
                      <a:ext cx="5852160" cy="2701998"/>
                    </a:xfrm>
                    <a:prstGeom prst="rect"/>
                  </pic:spPr>
                </pic:pic>
              </a:graphicData>
            </a:graphic>
          </wp:inline>
        </w:drawing>
      </w:r>
    </w:p>
    <w:p>
      <w:pPr>
        <w:spacing w:before="20" w:after="120"/>
        <w:jc w:val="center"/>
      </w:pPr>
      <w:r>
        <w:rPr>
          <w:rFonts w:ascii="Arial" w:hAnsi="Arial"/>
          <w:b/>
          <w:color w:val="002B49"/>
          <w:sz w:val="16"/>
        </w:rPr>
        <w:t xml:space="preserve">Figure 2: </w:t>
      </w:r>
      <w:r>
        <w:rPr>
          <w:rFonts w:ascii="Arial" w:hAnsi="Arial"/>
          <w:b/>
          <w:color w:val="1E293B"/>
          <w:sz w:val="16"/>
        </w:rPr>
        <w:t xml:space="preserve">Sony Spresense™ Edge Hardware Architecture, Field Deployment &amp; Empirical Infrasound Sensing. </w:t>
      </w:r>
      <w:r>
        <w:rPr>
          <w:rFonts w:ascii="Arial" w:hAnsi="Arial"/>
          <w:i/>
          <w:color w:val="64748B"/>
          <w:sz w:val="16"/>
        </w:rPr>
        <w:t>Tri-panel empirical validation: (a) Field deployment of weather-sealed IP68 Spresense sensor node with ground geophone probe in mountain landslide terrain; (b) CXD5602 6-core SoC hardware architecture and peripheral interfaces; (c) Empirical acoustic spectral density plot showing pre-failure subterranean rumble (10–120 Hz peak at -12 dB/Hz) captured on CXD5247 Hi-Res ADC against ambient noise baseline.</w:t>
      </w:r>
    </w:p>
    <w:p>
      <w:pPr>
        <w:pStyle w:val="Heading2"/>
        <w:keepNext/>
        <w:spacing w:before="140" w:after="40"/>
      </w:pPr>
      <w:r>
        <w:rPr>
          <w:rFonts w:ascii="Arial" w:hAnsi="Arial"/>
          <w:b/>
          <w:color w:val="0F4C81"/>
          <w:sz w:val="22"/>
        </w:rPr>
        <w:t>4.1 Deep Integration of the Sony Spresense™ Platform</w:t>
      </w:r>
    </w:p>
    <w:p>
      <w:pPr>
        <w:spacing w:before="0" w:after="60" w:line="264" w:lineRule="auto"/>
      </w:pPr>
      <w:r>
        <w:rPr>
          <w:rFonts w:ascii="Arial" w:hAnsi="Arial"/>
          <w:color w:val="1E293B"/>
          <w:sz w:val="19"/>
        </w:rPr>
        <w:t>XNexus leverages the unique hardware architecture of the Sony Spresense™ platform across four specialized dimensions:</w:t>
      </w:r>
    </w:p>
    <w:p>
      <w:pPr>
        <w:pStyle w:val="ListBullet"/>
        <w:spacing w:before="20" w:after="40" w:line="259" w:lineRule="auto"/>
      </w:pPr>
      <w:r>
        <w:rPr>
          <w:rFonts w:ascii="Arial" w:hAnsi="Arial"/>
          <w:b/>
          <w:color w:val="1E293B"/>
          <w:sz w:val="18"/>
        </w:rPr>
        <w:t xml:space="preserve">1. High-Resolution Infrasound Acoustic Sensing (Sony CXD5247 Codec): </w:t>
      </w:r>
      <w:r>
        <w:rPr>
          <w:rFonts w:ascii="Arial" w:hAnsi="Arial"/>
          <w:color w:val="1E293B"/>
          <w:sz w:val="18"/>
        </w:rPr>
        <w:t>Impending landslides emit distinctive subterranean rumblings (10 Hz to 120 Hz) caused by inter-boulder grinding and shear rupture minutes before catastrophic slope collapse. Sony Spresense incorporates a dedicated high-resolution 192 kHz / 24-bit multi-channel audio ADC with an ultra-low noise floor, enabling direct analog connection to sub-surface piezoelectric geophones.</w:t>
      </w:r>
    </w:p>
    <w:p>
      <w:pPr>
        <w:pStyle w:val="ListBullet"/>
        <w:spacing w:before="20" w:after="40" w:line="259" w:lineRule="auto"/>
      </w:pPr>
      <w:r>
        <w:rPr>
          <w:rFonts w:ascii="Arial" w:hAnsi="Arial"/>
          <w:b/>
          <w:color w:val="1E293B"/>
          <w:sz w:val="18"/>
        </w:rPr>
        <w:t xml:space="preserve">2. Multi-Core Sub-Watt Processing &amp; TinyML (Sony CXD5602 SoC): </w:t>
      </w:r>
      <w:r>
        <w:rPr>
          <w:rFonts w:ascii="Arial" w:hAnsi="Arial"/>
          <w:color w:val="1E293B"/>
          <w:sz w:val="18"/>
        </w:rPr>
        <w:t>The CXD5602 processor features 6 ARM Cortex-M4F cores operating at 156 MHz with 1.5 MB SRAM. XNexus partitions tasks efficiently across these cores: Core 0 handles DMA sensor sampling; Core 1 executes a real-time Mel-spectrogram FFT; Core 2 runs an INT8-quantized 1D-CNN (TinyML) to classify landslide rumble signatures; and Core 3 manages FastMCP JSON-RPC serialization and ECDSA signing. The node consumes under 120 mW, enabling continuous operation on a solar-supercapacitor buffer.</w:t>
      </w:r>
    </w:p>
    <w:p>
      <w:pPr>
        <w:pStyle w:val="ListBullet"/>
        <w:spacing w:before="20" w:after="40" w:line="259" w:lineRule="auto"/>
      </w:pPr>
      <w:r>
        <w:rPr>
          <w:rFonts w:ascii="Arial" w:hAnsi="Arial"/>
          <w:b/>
          <w:color w:val="1E293B"/>
          <w:sz w:val="18"/>
        </w:rPr>
        <w:t xml:space="preserve">3. Hardware Root-of-Trust &amp; Cryptographic Telemetry Attestation: </w:t>
      </w:r>
      <w:r>
        <w:rPr>
          <w:rFonts w:ascii="Arial" w:hAnsi="Arial"/>
          <w:color w:val="1E293B"/>
          <w:sz w:val="18"/>
        </w:rPr>
        <w:t>Addressing physical tampering and spoofing risks in remote mountain deployments, the CXD5602's cryptographic hardware accelerators sign each telemetry token using an on-chip private key, guaranteeing that downstream decision support algorithms only process authentic field data.</w:t>
      </w:r>
    </w:p>
    <w:p>
      <w:pPr>
        <w:pStyle w:val="ListBullet"/>
        <w:spacing w:before="20" w:after="40" w:line="259" w:lineRule="auto"/>
      </w:pPr>
      <w:r>
        <w:rPr>
          <w:rFonts w:ascii="Arial" w:hAnsi="Arial"/>
          <w:b/>
          <w:color w:val="1E293B"/>
          <w:sz w:val="18"/>
        </w:rPr>
        <w:t xml:space="preserve">4. Sub-GHz LoRa Mesh &amp; Fail-Safe Siren Fallback: </w:t>
      </w:r>
      <w:r>
        <w:rPr>
          <w:rFonts w:ascii="Arial" w:hAnsi="Arial"/>
          <w:color w:val="1E293B"/>
          <w:sz w:val="18"/>
        </w:rPr>
        <w:t>Equipped with a sub-GHz transceiver, Spresense nodes form an ad-hoc local mesh across mountain valleys. In total cellular blackout conditions, approved emergency tokens trigger solar-powered valley sirens directly over sub-GHz radio links within milliseconds.</w:t>
      </w:r>
    </w:p>
    <w:tbl>
      <w:tblPr>
        <w:tblW w:type="auto" w:w="0"/>
        <w:jc w:val="center"/>
        <w:tblLayout w:type="fixed"/>
        <w:tblLook w:firstColumn="1" w:firstRow="1" w:lastColumn="0" w:lastRow="0" w:noHBand="0" w:noVBand="1" w:val="04A0"/>
      </w:tblPr>
      <w:tblGrid>
        <w:gridCol w:w="9792"/>
      </w:tblGrid>
      <w:tr>
        <w:trPr>
          <w:cantSplit/>
        </w:trPr>
        <w:tc>
          <w:tcPr>
            <w:tcW w:type="dxa" w:w="9792"/>
            <w:shd w:fill="F0F7FA"/>
            <w:tcMar>
              <w:top w:w="70" w:type="dxa"/>
              <w:bottom w:w="70" w:type="dxa"/>
              <w:left w:w="140" w:type="dxa"/>
              <w:right w:w="140" w:type="dxa"/>
            </w:tcMar>
            <w:tcBorders>
              <w:top w:val="none"/>
              <w:bottom w:val="none"/>
              <w:left w:val="single" w:sz="24" w:space="0" w:color="002B49"/>
              <w:right w:val="none"/>
            </w:tcBorders>
          </w:tcPr>
          <w:p>
            <w:pPr>
              <w:spacing w:before="0" w:after="40"/>
            </w:pPr>
            <w:r>
              <w:rPr>
                <w:rFonts w:ascii="Arial" w:hAnsi="Arial"/>
                <w:b/>
                <w:color w:val="002B49"/>
                <w:sz w:val="18"/>
              </w:rPr>
              <w:t>🎯  STRATEGIC ALIGNMENT: Why Sony Should Fund This Research</w:t>
            </w:r>
          </w:p>
          <w:p>
            <w:pPr>
              <w:spacing w:before="20" w:after="40" w:line="259" w:lineRule="auto"/>
            </w:pPr>
            <w:r>
              <w:rPr>
                <w:rFonts w:ascii="Arial" w:hAnsi="Arial"/>
                <w:color w:val="1E293B"/>
                <w:sz w:val="17"/>
              </w:rPr>
              <w:t>Advancing Sony's Climate Resilience Mission: Sony's global corporate mission is anchored by Sustainability. Backing XNexus demonstrates that Sony microelectronics can solve humanity's most urgent climate disaster challenges.</w:t>
            </w:r>
          </w:p>
          <w:p>
            <w:pPr>
              <w:spacing w:before="20" w:after="40" w:line="259" w:lineRule="auto"/>
            </w:pPr>
            <w:r>
              <w:rPr>
                <w:rFonts w:ascii="Arial" w:hAnsi="Arial"/>
                <w:color w:val="1E293B"/>
                <w:sz w:val="17"/>
              </w:rPr>
              <w:t>Elevating Spresense to Mission-Critical Civil Infrastructure: This research transitions Spresense from a maker/IoT kit into a certified edge computing standard for national emergency agencies (NDMA, CWC, international civil defense).</w:t>
            </w:r>
          </w:p>
          <w:p>
            <w:pPr>
              <w:spacing w:before="20" w:after="40" w:line="259" w:lineRule="auto"/>
            </w:pPr>
            <w:r>
              <w:rPr>
                <w:rFonts w:ascii="Arial" w:hAnsi="Arial"/>
                <w:color w:val="1E293B"/>
                <w:sz w:val="17"/>
              </w:rPr>
              <w:t>Open-Source Ecosystem Impact: All Spresense FastMCP bridge drivers, TinyML acoustic models, and edge DSP filters will be released open-source on GitHub, significantly expanding the Sony developer community.</w:t>
            </w:r>
          </w:p>
        </w:tc>
      </w:tr>
    </w:tbl>
    <w:p>
      <w:pPr>
        <w:spacing w:before="0" w:after="60"/>
      </w:pPr>
    </w:p>
    <w:p>
      <w:pPr>
        <w:pStyle w:val="Heading1"/>
        <w:keepNext/>
        <w:spacing w:before="180" w:after="40"/>
      </w:pPr>
      <w:r>
        <w:rPr>
          <w:rFonts w:ascii="Arial" w:hAnsi="Arial"/>
          <w:b/>
          <w:color w:val="002B49"/>
          <w:sz w:val="26"/>
        </w:rPr>
        <w:t>5. Clear Differentiation from Current State of the Art</w:t>
      </w:r>
    </w:p>
    <w:p>
      <w:pPr>
        <w:spacing w:before="0" w:after="60" w:line="264" w:lineRule="auto"/>
      </w:pPr>
      <w:r>
        <w:rPr>
          <w:rFonts w:ascii="Arial" w:hAnsi="Arial"/>
          <w:color w:val="1E293B"/>
          <w:sz w:val="19"/>
        </w:rPr>
        <w:t>To illustrate the scientific and practical necessity of XNexus, Table 1 benchmarks our architecture against conventional civil defense methods and emerging cloud AI research.</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Capability / Metric</w:t>
            </w:r>
          </w:p>
        </w:tc>
        <w:tc>
          <w:tcPr>
            <w:tcW w:type="dxa" w:w="2448"/>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Legacy Civil Defense (Current)</w:t>
            </w:r>
          </w:p>
        </w:tc>
        <w:tc>
          <w:tcPr>
            <w:tcW w:type="dxa" w:w="2448"/>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Cloud-Only AI Systems</w:t>
            </w:r>
          </w:p>
        </w:tc>
        <w:tc>
          <w:tcPr>
            <w:tcW w:type="dxa" w:w="2736"/>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XNexus (Proposed Architecture)</w:t>
            </w:r>
          </w:p>
        </w:tc>
      </w:tr>
      <w:tr>
        <w:tc>
          <w:tcPr>
            <w:tcW w:type="dxa" w:w="2160"/>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End-to-End Latency</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110+ Minutes (Fatal manual bottleneck)</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15 to 30 Minutes (Cloud batch lag)</w:t>
            </w:r>
          </w:p>
        </w:tc>
        <w:tc>
          <w:tcPr>
            <w:tcW w:type="dxa" w:w="2736"/>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&lt; 3.8 Seconds (Synthesis) + 1-Click Approval</w:t>
            </w:r>
          </w:p>
        </w:tc>
      </w:tr>
      <w:tr>
        <w:tc>
          <w:tcPr>
            <w:tcW w:type="dxa" w:w="2160"/>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Edge Sensing &amp; Attestation</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Passive analog gauges; zero compute</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Unattested microcontrollers streaming raw logs</w:t>
            </w:r>
          </w:p>
        </w:tc>
        <w:tc>
          <w:tcPr>
            <w:tcW w:type="dxa" w:w="2736"/>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Sony Spresense™ 192kHz TinyML + Hardware ECDSA</w:t>
            </w:r>
          </w:p>
        </w:tc>
      </w:tr>
      <w:tr>
        <w:tc>
          <w:tcPr>
            <w:tcW w:type="dxa" w:w="2160"/>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AI Safety Architecture</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Manual human phone checklists</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Unconstrained stochastic LLM hallucinations</w:t>
            </w:r>
          </w:p>
        </w:tc>
        <w:tc>
          <w:tcPr>
            <w:tcW w:type="dxa" w:w="2736"/>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Neuro-Symbolic: LLM Semantic + Symbolic Safety Gate</w:t>
            </w:r>
          </w:p>
        </w:tc>
      </w:tr>
      <w:tr>
        <w:tc>
          <w:tcPr>
            <w:tcW w:type="dxa" w:w="2160"/>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Regulatory Compliance</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Sequential bureaucratic approvals</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Unregulated autonomous control (Unfeasible)</w:t>
            </w:r>
          </w:p>
        </w:tc>
        <w:tc>
          <w:tcPr>
            <w:tcW w:type="dxa" w:w="2736"/>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100% NDMA SOP Compliant: 1-Click Command Briefing</w:t>
            </w:r>
          </w:p>
        </w:tc>
      </w:tr>
      <w:tr>
        <w:tc>
          <w:tcPr>
            <w:tcW w:type="dxa" w:w="2160"/>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Grid-Down Autonomy</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Zero. Offline during power/cell tower loss</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Fails completely when fiber backhaul is severed</w:t>
            </w:r>
          </w:p>
        </w:tc>
        <w:tc>
          <w:tcPr>
            <w:tcW w:type="dxa" w:w="2736"/>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100% Autonomous (Sub-GHz LoRa mesh + solar IP68)</w:t>
            </w:r>
          </w:p>
        </w:tc>
      </w:tr>
    </w:tbl>
    <w:p>
      <w:pPr>
        <w:keepNext/>
        <w:spacing w:before="120" w:after="40"/>
        <w:jc w:val="center"/>
      </w:pPr>
      <w:r>
        <w:drawing>
          <wp:inline xmlns:a="http://schemas.openxmlformats.org/drawingml/2006/main" xmlns:pic="http://schemas.openxmlformats.org/drawingml/2006/picture">
            <wp:extent cx="5852160" cy="2203394"/>
            <wp:docPr id="3" name="Picture 3"/>
            <wp:cNvGraphicFramePr>
              <a:graphicFrameLocks noChangeAspect="1"/>
            </wp:cNvGraphicFramePr>
            <a:graphic>
              <a:graphicData uri="http://schemas.openxmlformats.org/drawingml/2006/picture">
                <pic:pic>
                  <pic:nvPicPr>
                    <pic:cNvPr id="0" name="fig2_latency_waterfall.png"/>
                    <pic:cNvPicPr/>
                  </pic:nvPicPr>
                  <pic:blipFill>
                    <a:blip r:embed="rId13"/>
                    <a:stretch>
                      <a:fillRect/>
                    </a:stretch>
                  </pic:blipFill>
                  <pic:spPr>
                    <a:xfrm>
                      <a:off x="0" y="0"/>
                      <a:ext cx="5852160" cy="2203394"/>
                    </a:xfrm>
                    <a:prstGeom prst="rect"/>
                  </pic:spPr>
                </pic:pic>
              </a:graphicData>
            </a:graphic>
          </wp:inline>
        </w:drawing>
      </w:r>
    </w:p>
    <w:p>
      <w:pPr>
        <w:spacing w:before="20" w:after="120"/>
        <w:jc w:val="center"/>
      </w:pPr>
      <w:r>
        <w:rPr>
          <w:rFonts w:ascii="Arial" w:hAnsi="Arial"/>
          <w:b/>
          <w:color w:val="002B49"/>
          <w:sz w:val="16"/>
        </w:rPr>
        <w:t xml:space="preserve">Figure 3: </w:t>
      </w:r>
      <w:r>
        <w:rPr>
          <w:rFonts w:ascii="Arial" w:hAnsi="Arial"/>
          <w:b/>
          <w:color w:val="1E293B"/>
          <w:sz w:val="16"/>
        </w:rPr>
        <w:t xml:space="preserve">Reaction Latency Waterfall Comparison: Legacy Flow vs. XNexus Rapid Decision Support. </w:t>
      </w:r>
      <w:r>
        <w:rPr>
          <w:rFonts w:ascii="Arial" w:hAnsi="Arial"/>
          <w:i/>
          <w:color w:val="64748B"/>
          <w:sz w:val="16"/>
        </w:rPr>
        <w:t>Quantifies the response timeline. While legacy bureaucratic phone trees exhaust over 110 minutes, XNexus completes multi-agent reasoning, symbolic safety verification, and pre-packaged command briefing in under 3.8 seconds for instant One-Click Commander Approval.</w:t>
      </w:r>
    </w:p>
    <w:p>
      <w:pPr>
        <w:pStyle w:val="Heading1"/>
        <w:keepNext/>
        <w:spacing w:before="180" w:after="40"/>
      </w:pPr>
      <w:r>
        <w:rPr>
          <w:rFonts w:ascii="Arial" w:hAnsi="Arial"/>
          <w:b/>
          <w:color w:val="002B49"/>
          <w:sz w:val="26"/>
        </w:rPr>
        <w:t>6. Mathematical Formulations &amp; Algorithmic Design</w:t>
      </w:r>
    </w:p>
    <w:p>
      <w:pPr>
        <w:spacing w:before="0" w:after="60" w:line="264" w:lineRule="auto"/>
      </w:pPr>
      <w:r>
        <w:rPr>
          <w:rFonts w:ascii="Arial" w:hAnsi="Arial"/>
          <w:color w:val="1E293B"/>
          <w:sz w:val="19"/>
        </w:rPr>
        <w:t>To guarantee mathematical determinism without succumbing to the stochastic unpredictability of pure LLM agents, XNexus employs a neuro-symbolic separation: LLM agents generate candidate hypotheses, which are strictly filtered by a deterministic symbolic logic gate.</w:t>
      </w:r>
    </w:p>
    <w:p>
      <w:pPr>
        <w:pStyle w:val="Heading2"/>
        <w:keepNext/>
        <w:spacing w:before="140" w:after="40"/>
      </w:pPr>
      <w:r>
        <w:rPr>
          <w:rFonts w:ascii="Arial" w:hAnsi="Arial"/>
          <w:b/>
          <w:color w:val="0F4C81"/>
          <w:sz w:val="22"/>
        </w:rPr>
        <w:t>6.1 Neuro-Symbolic Safety Gate &amp; Formal Constraint Verifier</w:t>
      </w:r>
    </w:p>
    <w:p>
      <w:pPr>
        <w:spacing w:before="0" w:after="60" w:line="264" w:lineRule="auto"/>
      </w:pPr>
      <w:r>
        <w:rPr>
          <w:rFonts w:ascii="Arial" w:hAnsi="Arial"/>
          <w:color w:val="1E293B"/>
          <w:sz w:val="19"/>
        </w:rPr>
        <w:t>Let M = {Geo, Hydro, Weather} represent the set of domain agents, and let s(t) denote the normalized geospatial state vector at time t. Stochastic LLM agents formulate a set of candidate recommendations A_cand. The Symbolic Safety Gate solves for the optimal actionable recommendation a* via constrained optimization:</w:t>
      </w:r>
    </w:p>
    <w:tbl>
      <w:tblPr>
        <w:tblW w:type="auto" w:w="0"/>
        <w:jc w:val="center"/>
        <w:tblLayout w:type="fixed"/>
        <w:tblLook w:firstColumn="1" w:firstRow="1" w:lastColumn="0" w:lastRow="0" w:noHBand="0" w:noVBand="1" w:val="04A0"/>
      </w:tblPr>
      <w:tblGrid>
        <w:gridCol w:w="9792"/>
      </w:tblGrid>
      <w:tr>
        <w:trPr>
          <w:cantSplit/>
        </w:trPr>
        <w:tc>
          <w:tcPr>
            <w:tcW w:type="dxa" w:w="9792"/>
            <w:shd w:fill="F8FAFC"/>
            <w:tcMar>
              <w:top w:w="70" w:type="dxa"/>
              <w:bottom w:w="70" w:type="dxa"/>
              <w:left w:w="140" w:type="dxa"/>
              <w:right w:w="140" w:type="dxa"/>
            </w:tcMar>
            <w:tcBorders>
              <w:top w:val="none"/>
              <w:bottom w:val="none"/>
              <w:left w:val="single" w:sz="24" w:space="0" w:color="0F4C81"/>
              <w:right w:val="none"/>
            </w:tcBorders>
          </w:tcPr>
          <w:p>
            <w:pPr>
              <w:spacing w:before="0" w:after="40"/>
            </w:pPr>
            <w:r>
              <w:rPr>
                <w:rFonts w:ascii="Arial" w:hAnsi="Arial"/>
                <w:b/>
                <w:color w:val="0F4C81"/>
                <w:sz w:val="18"/>
              </w:rPr>
              <w:t>📐  FORMULA 1: Neuro-Symbolic Safety Gate Optimization</w:t>
            </w:r>
          </w:p>
          <w:p>
            <w:pPr>
              <w:spacing w:before="20" w:after="40" w:line="259" w:lineRule="auto"/>
            </w:pPr>
            <w:r>
              <w:rPr>
                <w:rFonts w:ascii="Arial" w:hAnsi="Arial"/>
                <w:color w:val="1E293B"/>
                <w:sz w:val="17"/>
              </w:rPr>
              <w:t>a* = argmax_{a in A_cand} [ SUM_{i in M} w_i(t) * U_i(s(t), a) ]   SUBJECT TO:   Phi_safe(a, s(t)) == True</w:t>
            </w:r>
          </w:p>
          <w:p>
            <w:pPr>
              <w:spacing w:before="20" w:after="40" w:line="259" w:lineRule="auto"/>
            </w:pPr>
            <w:r>
              <w:rPr>
                <w:rFonts w:ascii="Arial" w:hAnsi="Arial"/>
                <w:color w:val="1E293B"/>
                <w:sz w:val="17"/>
              </w:rPr>
              <w:t>Where the hard-coded Symbolic Safety Predicate is defined as:</w:t>
            </w:r>
          </w:p>
          <w:p>
            <w:pPr>
              <w:spacing w:before="20" w:after="40" w:line="259" w:lineRule="auto"/>
            </w:pPr>
            <w:r>
              <w:rPr>
                <w:rFonts w:ascii="Arial" w:hAnsi="Arial"/>
                <w:color w:val="1E293B"/>
                <w:sz w:val="17"/>
              </w:rPr>
              <w:t>Phi_safe(a, s(t)) == [ FOR ALL route r in Routes(a): Probability(SlopeFailure(r, Delta t)) &lt; theta_safe ] AND [ BufferDistance(a) &gt;= D_min ]</w:t>
            </w:r>
          </w:p>
          <w:p>
            <w:pPr>
              <w:spacing w:before="20" w:after="40" w:line="259" w:lineRule="auto"/>
            </w:pPr>
            <w:r>
              <w:rPr>
                <w:rFonts w:ascii="Arial" w:hAnsi="Arial"/>
                <w:color w:val="1E293B"/>
                <w:sz w:val="17"/>
              </w:rPr>
              <w:t>Threshold Specification: theta_safe = 0.05 (maximum 5% slope failure probability derived from geotechnical limit-equilibrium Factor of Safety FoS &gt;= 1.30 under transient pore saturation u_w); D_min = 500 meters buffer from active slip faces.</w:t>
            </w:r>
          </w:p>
          <w:p>
            <w:pPr>
              <w:spacing w:before="20" w:after="40" w:line="259" w:lineRule="auto"/>
            </w:pPr>
            <w:r>
              <w:rPr>
                <w:rFonts w:ascii="Arial" w:hAnsi="Arial"/>
                <w:color w:val="1E293B"/>
                <w:sz w:val="17"/>
              </w:rPr>
              <w:t>If an LLM proposes an unsafe action, Phi_safe evaluates to False, deterministically rejecting the proposal and selecting a provably safe default detour corridor.</w:t>
            </w:r>
          </w:p>
        </w:tc>
      </w:tr>
    </w:tbl>
    <w:p>
      <w:pPr>
        <w:spacing w:before="0" w:after="60"/>
      </w:pPr>
    </w:p>
    <w:p>
      <w:pPr>
        <w:pStyle w:val="Heading2"/>
        <w:keepNext/>
        <w:spacing w:before="140" w:after="40"/>
      </w:pPr>
      <w:r>
        <w:rPr>
          <w:rFonts w:ascii="Arial" w:hAnsi="Arial"/>
          <w:b/>
          <w:color w:val="0F4C81"/>
          <w:sz w:val="22"/>
        </w:rPr>
        <w:t>6.2 Spresense On-Device Acoustic Index &amp; Hardware Attestation</w:t>
      </w:r>
    </w:p>
    <w:p>
      <w:pPr>
        <w:spacing w:before="0" w:after="60" w:line="264" w:lineRule="auto"/>
      </w:pPr>
      <w:r>
        <w:rPr>
          <w:rFonts w:ascii="Arial" w:hAnsi="Arial"/>
          <w:color w:val="1E293B"/>
          <w:sz w:val="19"/>
        </w:rPr>
        <w:t>Operating on Core 1 and Core 2 of the Sony Spresense CXD5602, the Acoustic Rumble Index S_rumble(t) quantifies the ratio of low-frequency infrasonic power (10-120 Hz) to ambient noise, signed by the on-chip cryptographic private key:</w:t>
      </w:r>
    </w:p>
    <w:tbl>
      <w:tblPr>
        <w:tblW w:type="auto" w:w="0"/>
        <w:jc w:val="center"/>
        <w:tblLayout w:type="fixed"/>
        <w:tblLook w:firstColumn="1" w:firstRow="1" w:lastColumn="0" w:lastRow="0" w:noHBand="0" w:noVBand="1" w:val="04A0"/>
      </w:tblPr>
      <w:tblGrid>
        <w:gridCol w:w="9792"/>
      </w:tblGrid>
      <w:tr>
        <w:trPr>
          <w:cantSplit/>
        </w:trPr>
        <w:tc>
          <w:tcPr>
            <w:tcW w:type="dxa" w:w="9792"/>
            <w:shd w:fill="F8FAFC"/>
            <w:tcMar>
              <w:top w:w="70" w:type="dxa"/>
              <w:bottom w:w="70" w:type="dxa"/>
              <w:left w:w="140" w:type="dxa"/>
              <w:right w:w="140" w:type="dxa"/>
            </w:tcMar>
            <w:tcBorders>
              <w:top w:val="none"/>
              <w:bottom w:val="none"/>
              <w:left w:val="single" w:sz="24" w:space="0" w:color="0284C7"/>
              <w:right w:val="none"/>
            </w:tcBorders>
          </w:tcPr>
          <w:p>
            <w:pPr>
              <w:spacing w:before="0" w:after="40"/>
            </w:pPr>
            <w:r>
              <w:rPr>
                <w:rFonts w:ascii="Arial" w:hAnsi="Arial"/>
                <w:b/>
                <w:color w:val="0284C7"/>
                <w:sz w:val="18"/>
              </w:rPr>
              <w:t>📊  FORMULA 2: Spresense Acoustic Rumble Index &amp; Cryptographic Attestation</w:t>
            </w:r>
          </w:p>
          <w:p>
            <w:pPr>
              <w:spacing w:before="20" w:after="40" w:line="259" w:lineRule="auto"/>
            </w:pPr>
            <w:r>
              <w:rPr>
                <w:rFonts w:ascii="Arial" w:hAnsi="Arial"/>
                <w:color w:val="1E293B"/>
                <w:sz w:val="17"/>
              </w:rPr>
              <w:t>S_rumble(t) = [ INTEGRAL_{10 Hz}^{120 Hz} |X(f, t)|^2 df ]  /  [ INTEGRAL_{120 Hz}^{4000 Hz} |X(f, t)|^2 df + epsilon ]</w:t>
            </w:r>
          </w:p>
          <w:p>
            <w:pPr>
              <w:spacing w:before="20" w:after="40" w:line="259" w:lineRule="auto"/>
            </w:pPr>
            <w:r>
              <w:rPr>
                <w:rFonts w:ascii="Arial" w:hAnsi="Arial"/>
                <w:color w:val="1E293B"/>
                <w:sz w:val="17"/>
              </w:rPr>
              <w:t>Hardware Attestation Token:   tau_attest = Sign_{K_Spresense} ( Hash( S_rumble(t) || x_GNSS || timestamp ) )</w:t>
            </w:r>
          </w:p>
          <w:p>
            <w:pPr>
              <w:spacing w:before="20" w:after="40" w:line="259" w:lineRule="auto"/>
            </w:pPr>
            <w:r>
              <w:rPr>
                <w:rFonts w:ascii="Arial" w:hAnsi="Arial"/>
                <w:color w:val="1E293B"/>
                <w:sz w:val="17"/>
              </w:rPr>
              <w:t>Cryptographic Overhead vs Speed: On-chip ECDSA (NIST P-256) signing on CXD5602 requires 3.2 ms; verification takes 1.6 ms. Total security delay (4.8 ms) fits within the 15 ms FastMCP window, proving zero latency penalty.</w:t>
            </w:r>
          </w:p>
          <w:p>
            <w:pPr>
              <w:spacing w:before="20" w:after="40" w:line="259" w:lineRule="auto"/>
            </w:pPr>
            <w:r>
              <w:rPr>
                <w:rFonts w:ascii="Arial" w:hAnsi="Arial"/>
                <w:color w:val="1E293B"/>
                <w:sz w:val="17"/>
              </w:rPr>
              <w:t>When S_rumble(t) &gt; theta_hazard for 3 consecutive windows, Spresense dispatches tau_attest via FastMCP. Downstream nodes verify the signature, rejecting any unauthenticated or corrupted packets.</w:t>
            </w:r>
          </w:p>
        </w:tc>
      </w:tr>
    </w:tbl>
    <w:p>
      <w:pPr>
        <w:spacing w:before="0" w:after="60"/>
      </w:pPr>
    </w:p>
    <w:p>
      <w:pPr>
        <w:pStyle w:val="Heading1"/>
        <w:keepNext/>
        <w:spacing w:before="180" w:after="40"/>
      </w:pPr>
      <w:r>
        <w:rPr>
          <w:rFonts w:ascii="Arial" w:hAnsi="Arial"/>
          <w:b/>
          <w:color w:val="002B49"/>
          <w:sz w:val="26"/>
        </w:rPr>
        <w:t>7. Research Methodology &amp; Focused Experimental Validation Protocol</w:t>
      </w:r>
    </w:p>
    <w:p>
      <w:pPr>
        <w:spacing w:before="0" w:after="60" w:line="264" w:lineRule="auto"/>
      </w:pPr>
      <w:r>
        <w:rPr>
          <w:rFonts w:ascii="Arial" w:hAnsi="Arial"/>
          <w:color w:val="1E293B"/>
          <w:sz w:val="19"/>
        </w:rPr>
        <w:t>The 12-month research project is sharply focused on validating the Spresense edge sensing and neuro-symbolic reasoning pipeline across four empirical phases:</w:t>
      </w:r>
    </w:p>
    <w:p>
      <w:pPr>
        <w:pStyle w:val="ListBullet"/>
        <w:spacing w:before="20" w:after="40" w:line="259" w:lineRule="auto"/>
      </w:pPr>
      <w:r>
        <w:rPr>
          <w:rFonts w:ascii="Arial" w:hAnsi="Arial"/>
          <w:b/>
          <w:color w:val="1E293B"/>
          <w:sz w:val="18"/>
        </w:rPr>
        <w:t xml:space="preserve">Phase 1 (Months 1–3) — Hardware Benchmarking &amp; Infrasound TinyML Modeling: </w:t>
      </w:r>
      <w:r>
        <w:rPr>
          <w:rFonts w:ascii="Arial" w:hAnsi="Arial"/>
          <w:color w:val="1E293B"/>
          <w:sz w:val="18"/>
        </w:rPr>
        <w:t>Procure 50 Sony Spresense development kits, extension boards, and 20 industrial IP68 field enclosures. In university geotechnical laboratory flume tanks, simulate varied landslide slurries and soil shear failures to record acoustic profiles, training our INT8-quantized TinyML model on Spresense's Cortex-M4F cores.</w:t>
      </w:r>
    </w:p>
    <w:p>
      <w:pPr>
        <w:pStyle w:val="ListBullet"/>
        <w:spacing w:before="20" w:after="40" w:line="259" w:lineRule="auto"/>
      </w:pPr>
      <w:r>
        <w:rPr>
          <w:rFonts w:ascii="Arial" w:hAnsi="Arial"/>
          <w:b/>
          <w:color w:val="1E293B"/>
          <w:sz w:val="18"/>
        </w:rPr>
        <w:t xml:space="preserve">Phase 2 (Months 4–6) — FastMCP Semantic Protocol Mesh &amp; Hardware Root-of-Trust: </w:t>
      </w:r>
      <w:r>
        <w:rPr>
          <w:rFonts w:ascii="Arial" w:hAnsi="Arial"/>
          <w:color w:val="1E293B"/>
          <w:sz w:val="18"/>
        </w:rPr>
        <w:t>Implement standard FastMCP tool servers interfacing with Spresense hardware attestation libraries and simulated IMD/CWC telemetry feeds. Benchmark serialization latency, achieving &lt;15 ms parsing overhead under 10,000 concurrent event vectors with 100% cryptographic signature verification (ECDSA signing at 3.2 ms, verification at 1.6 ms).</w:t>
      </w:r>
    </w:p>
    <w:p>
      <w:pPr>
        <w:pStyle w:val="ListBullet"/>
        <w:spacing w:before="20" w:after="40" w:line="259" w:lineRule="auto"/>
      </w:pPr>
      <w:r>
        <w:rPr>
          <w:rFonts w:ascii="Arial" w:hAnsi="Arial"/>
          <w:b/>
          <w:color w:val="1E293B"/>
          <w:sz w:val="18"/>
        </w:rPr>
        <w:t xml:space="preserve">Phase 3 (Months 7–9) — Neuro-Symbolic Agent Orchestration &amp; Formal Safety Gate Red-Teaming: </w:t>
      </w:r>
      <w:r>
        <w:rPr>
          <w:rFonts w:ascii="Arial" w:hAnsi="Arial"/>
          <w:color w:val="1E293B"/>
          <w:sz w:val="18"/>
        </w:rPr>
        <w:t>Conduct extensive adversarial testing. Invert sensor feeds, inject corrupted inputs, and provoke LLM hallucinations to stress-test the symbolic gate. Verify that Phi_safe deterministically rejects 100% of invalid proposals. Contingency Protocol: If adversarial tests uncover an unhandled edge case, the system deterministically defaults to an immutable Geotechnical Finite State Machine (FSM) enforcing maximal conservative buffer corridors while domain invariants are refined within 2 weeks.</w:t>
      </w:r>
    </w:p>
    <w:p>
      <w:pPr>
        <w:pStyle w:val="ListBullet"/>
        <w:spacing w:before="20" w:after="40" w:line="259" w:lineRule="auto"/>
      </w:pPr>
      <w:r>
        <w:rPr>
          <w:rFonts w:ascii="Arial" w:hAnsi="Arial"/>
          <w:b/>
          <w:color w:val="1E293B"/>
          <w:sz w:val="18"/>
        </w:rPr>
        <w:t xml:space="preserve">Phase 4 (Months 10–12) — Full-Scale Digital Twin Simulation &amp; Monitored Slope Pilot: </w:t>
      </w:r>
      <w:r>
        <w:rPr>
          <w:rFonts w:ascii="Arial" w:hAnsi="Arial"/>
          <w:color w:val="1E293B"/>
          <w:sz w:val="18"/>
        </w:rPr>
        <w:t>Deploy a 10-node Sony Spresense IP68 array in a monitored hazard corridor in the Western Ghats (Kerala). Execute real-time digital twin disaster replays using historical telemetry from the 2024 Wayanad catastrophe, verifying that recommendation synthesis and command packaging complete in &lt;3.8 seconds.</w:t>
      </w:r>
    </w:p>
    <w:p>
      <w:pPr>
        <w:pStyle w:val="Heading1"/>
        <w:keepNext/>
        <w:spacing w:before="180" w:after="40"/>
      </w:pPr>
      <w:r>
        <w:rPr>
          <w:rFonts w:ascii="Arial" w:hAnsi="Arial"/>
          <w:b/>
          <w:color w:val="002B49"/>
          <w:sz w:val="26"/>
        </w:rPr>
        <w:t>8. Goals, Milestones &amp; 12-Month Deliverables Schedule</w:t>
      </w:r>
    </w:p>
    <w:p>
      <w:pPr>
        <w:spacing w:before="0" w:after="60" w:line="264" w:lineRule="auto"/>
      </w:pPr>
      <w:r>
        <w:rPr>
          <w:rFonts w:ascii="Arial" w:hAnsi="Arial"/>
          <w:color w:val="1E293B"/>
          <w:sz w:val="19"/>
        </w:rPr>
        <w:t>Table 2 specifies the quarterly milestones, key performance indicators (KPIs), and verified research deliverables for the 12-month grant period.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440"/>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Quarter</w:t>
            </w:r>
          </w:p>
        </w:tc>
        <w:tc>
          <w:tcPr>
            <w:tcW w:type="dxa" w:w="2592"/>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Core Milestone Objective</w:t>
            </w:r>
          </w:p>
        </w:tc>
        <w:tc>
          <w:tcPr>
            <w:tcW w:type="dxa" w:w="2736"/>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Key Performance Indicators (KPIs)</w:t>
            </w:r>
          </w:p>
        </w:tc>
        <w:tc>
          <w:tcPr>
            <w:tcW w:type="dxa" w:w="3024"/>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Concrete Deliverables</w:t>
            </w:r>
          </w:p>
        </w:tc>
      </w:tr>
      <w:tr>
        <w:tc>
          <w:tcPr>
            <w:tcW w:type="dxa" w:w="1440"/>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Q1 (M1-M3)</w:t>
            </w:r>
          </w:p>
        </w:tc>
        <w:tc>
          <w:tcPr>
            <w:tcW w:type="dxa" w:w="2592"/>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Spresense Infrasound Setup &amp; Acoustic TinyML Modeling</w:t>
            </w:r>
          </w:p>
        </w:tc>
        <w:tc>
          <w:tcPr>
            <w:tcW w:type="dxa" w:w="2736"/>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Acoustic rumble accuracy &gt; 92%; Power consumption &lt; 120 mW</w:t>
            </w:r>
          </w:p>
        </w:tc>
        <w:tc>
          <w:tcPr>
            <w:tcW w:type="dxa" w:w="3024"/>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Trained Spresense firmware; GitHub acoustic repo; Flume test dataset</w:t>
            </w:r>
          </w:p>
        </w:tc>
      </w:tr>
      <w:tr>
        <w:tc>
          <w:tcPr>
            <w:tcW w:type="dxa" w:w="1440"/>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Q2 (M4-M6)</w:t>
            </w:r>
          </w:p>
        </w:tc>
        <w:tc>
          <w:tcPr>
            <w:tcW w:type="dxa" w:w="2592"/>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FastMCP Semantic Mesh &amp; Hardware Root-of-Trust</w:t>
            </w:r>
          </w:p>
        </w:tc>
        <w:tc>
          <w:tcPr>
            <w:tcW w:type="dxa" w:w="2736"/>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Sub-15 ms serialization; 100% cryptographic attestation validity</w:t>
            </w:r>
          </w:p>
        </w:tc>
        <w:tc>
          <w:tcPr>
            <w:tcW w:type="dxa" w:w="3024"/>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Open-source FastMCP Spresense driver; Secure boot signing library</w:t>
            </w:r>
          </w:p>
        </w:tc>
      </w:tr>
      <w:tr>
        <w:tc>
          <w:tcPr>
            <w:tcW w:type="dxa" w:w="1440"/>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Q3 (M7-M9)</w:t>
            </w:r>
          </w:p>
        </w:tc>
        <w:tc>
          <w:tcPr>
            <w:tcW w:type="dxa" w:w="2592"/>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Neuro-Symbolic Safety Gate &amp; Adversarial Red-Teaming</w:t>
            </w:r>
          </w:p>
        </w:tc>
        <w:tc>
          <w:tcPr>
            <w:tcW w:type="dxa" w:w="2736"/>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Synthesis latency &lt; 800 ms; 100% formal safety constraint enforcement</w:t>
            </w:r>
          </w:p>
        </w:tc>
        <w:tc>
          <w:tcPr>
            <w:tcW w:type="dxa" w:w="3024"/>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Multi-agent safety codebase; XAI audit visualizer; IEEE paper draft</w:t>
            </w:r>
          </w:p>
        </w:tc>
      </w:tr>
      <w:tr>
        <w:tc>
          <w:tcPr>
            <w:tcW w:type="dxa" w:w="1440"/>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Q4 (M10-M12)</w:t>
            </w:r>
          </w:p>
        </w:tc>
        <w:tc>
          <w:tcPr>
            <w:tcW w:type="dxa" w:w="2592"/>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Western Ghats Slope Pilot &amp; Final Sony Research Report</w:t>
            </w:r>
          </w:p>
        </w:tc>
        <w:tc>
          <w:tcPr>
            <w:tcW w:type="dxa" w:w="2736"/>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Decision synthesis latency &lt; 3.8s; One-click command verified</w:t>
            </w:r>
          </w:p>
        </w:tc>
        <w:tc>
          <w:tcPr>
            <w:tcW w:type="dxa" w:w="3024"/>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Final Sony Research Report; Field trial whitepaper; Open-source release</w:t>
            </w:r>
          </w:p>
        </w:tc>
      </w:tr>
    </w:tbl>
    <w:p>
      <w:r>
        <w:br w:type="page"/>
      </w:r>
    </w:p>
    <w:p>
      <w:pPr>
        <w:pStyle w:val="Heading1"/>
        <w:keepNext/>
        <w:spacing w:before="180" w:after="40"/>
      </w:pPr>
      <w:r>
        <w:rPr>
          <w:rFonts w:ascii="Arial" w:hAnsi="Arial"/>
          <w:b/>
          <w:color w:val="002B49"/>
          <w:sz w:val="26"/>
        </w:rPr>
        <w:t>9. Technical Risk Management, Security &amp; Regulatory Compliance</w:t>
      </w:r>
    </w:p>
    <w:p>
      <w:pPr>
        <w:spacing w:before="0" w:after="60" w:line="264" w:lineRule="auto"/>
      </w:pPr>
      <w:r>
        <w:rPr>
          <w:rFonts w:ascii="Arial" w:hAnsi="Arial"/>
          <w:color w:val="1E293B"/>
          <w:sz w:val="19"/>
        </w:rPr>
        <w:t>Safety-critical decision support requires robust endpoint security, regulatory compliance, and deterministic ethical fail-safes:</w:t>
      </w:r>
    </w:p>
    <w:p>
      <w:pPr>
        <w:pStyle w:val="ListBullet"/>
        <w:spacing w:before="20" w:after="40" w:line="259" w:lineRule="auto"/>
      </w:pPr>
      <w:r>
        <w:rPr>
          <w:rFonts w:ascii="Arial" w:hAnsi="Arial"/>
          <w:b/>
          <w:color w:val="1E293B"/>
          <w:sz w:val="18"/>
        </w:rPr>
        <w:t xml:space="preserve">1. Hardware Attestation &amp; Endpoint Security: </w:t>
      </w:r>
      <w:r>
        <w:rPr>
          <w:rFonts w:ascii="Arial" w:hAnsi="Arial"/>
          <w:color w:val="1E293B"/>
          <w:sz w:val="18"/>
        </w:rPr>
        <w:t>Addressing the vulnerability of remote mountain nodes to physical destruction or tampering, every Spresense unit cryptographically signs telemetry using on-chip private keys (ECDSA). Telemetry failing cryptographic verification or physical spatial consistency checks is isolated before ingestion.</w:t>
      </w:r>
    </w:p>
    <w:p>
      <w:pPr>
        <w:pStyle w:val="ListBullet"/>
        <w:spacing w:before="20" w:after="40" w:line="259" w:lineRule="auto"/>
      </w:pPr>
      <w:r>
        <w:rPr>
          <w:rFonts w:ascii="Arial" w:hAnsi="Arial"/>
          <w:b/>
          <w:color w:val="1E293B"/>
          <w:sz w:val="18"/>
        </w:rPr>
        <w:t xml:space="preserve">2. Regulatory Compliance &amp; Human Cognitive Empowerment: </w:t>
      </w:r>
      <w:r>
        <w:rPr>
          <w:rFonts w:ascii="Arial" w:hAnsi="Arial"/>
          <w:color w:val="1E293B"/>
          <w:sz w:val="18"/>
        </w:rPr>
        <w:t>In strict compliance with national civil defense protocols (NDMA SOPs), XNexus is engineered to empower rather than replace human incident commanders. During rapid-onset catastrophes, commanders face severe cognitive overload from fragmented, conflicting reports. XNexus acts as a high-speed cognitive force multiplier: it synthesizes disparate multi-agency data, filters spurious noise, and validates physical invariants to present a single, verified decision card (OASIS CAP v1.2 alert and ICS-201 Incident Action Plan) that the commander authorizes with a single click, eliminating cognitive fatigue during the golden hour.</w:t>
      </w:r>
    </w:p>
    <w:p>
      <w:pPr>
        <w:pStyle w:val="ListBullet"/>
        <w:spacing w:before="20" w:after="40" w:line="259" w:lineRule="auto"/>
      </w:pPr>
      <w:r>
        <w:rPr>
          <w:rFonts w:ascii="Arial" w:hAnsi="Arial"/>
          <w:b/>
          <w:color w:val="1E293B"/>
          <w:sz w:val="18"/>
        </w:rPr>
        <w:t xml:space="preserve">3. Standardized Forensic Audit Ledger: </w:t>
      </w:r>
      <w:r>
        <w:rPr>
          <w:rFonts w:ascii="Arial" w:hAnsi="Arial"/>
          <w:color w:val="1E293B"/>
          <w:sz w:val="18"/>
        </w:rPr>
        <w:t>Every raw sensor token, agent deliberation step, and commander authorization is hashed and appended to an immutable append-only ledger conforming to formal NDMA ICS incident reporting standards for post-disaster inquiries.</w:t>
      </w:r>
    </w:p>
    <w:p>
      <w:pPr>
        <w:pStyle w:val="Heading1"/>
        <w:keepNext/>
        <w:spacing w:before="180" w:after="40"/>
      </w:pPr>
      <w:r>
        <w:rPr>
          <w:rFonts w:ascii="Arial" w:hAnsi="Arial"/>
          <w:b/>
          <w:color w:val="002B49"/>
          <w:sz w:val="26"/>
        </w:rPr>
        <w:t>10. Rigorous Evaluation Metrics &amp; Multi-Hazard Expansion Scope</w:t>
      </w:r>
    </w:p>
    <w:p>
      <w:pPr>
        <w:spacing w:before="0" w:after="60" w:line="264" w:lineRule="auto"/>
      </w:pPr>
      <w:r>
        <w:rPr>
          <w:rFonts w:ascii="Arial" w:hAnsi="Arial"/>
          <w:color w:val="1E293B"/>
          <w:sz w:val="19"/>
        </w:rPr>
        <w:t>To provide quantifiable benchmarks for Sony Research reviewers, XNexus will be evaluated against five measurable scientific criteria:</w:t>
      </w:r>
    </w:p>
    <w:p>
      <w:pPr>
        <w:pStyle w:val="ListBullet"/>
        <w:spacing w:before="20" w:after="40" w:line="259" w:lineRule="auto"/>
      </w:pPr>
      <w:r>
        <w:rPr>
          <w:rFonts w:ascii="Arial" w:hAnsi="Arial"/>
          <w:b/>
          <w:color w:val="1E293B"/>
          <w:sz w:val="18"/>
        </w:rPr>
        <w:t xml:space="preserve">• Recommendation Synthesis Latency:  </w:t>
      </w:r>
      <w:r>
        <w:rPr>
          <w:rFonts w:ascii="Arial" w:hAnsi="Arial"/>
          <w:color w:val="1E293B"/>
          <w:sz w:val="18"/>
        </w:rPr>
        <w:t>Sub-3.8s from Spresense threshold trigger to pre-packaged incident command briefing (vs. 110+ min legacy).</w:t>
      </w:r>
    </w:p>
    <w:p>
      <w:pPr>
        <w:pStyle w:val="ListBullet"/>
        <w:spacing w:before="20" w:after="40" w:line="259" w:lineRule="auto"/>
      </w:pPr>
      <w:r>
        <w:rPr>
          <w:rFonts w:ascii="Arial" w:hAnsi="Arial"/>
          <w:b/>
          <w:color w:val="1E293B"/>
          <w:sz w:val="18"/>
        </w:rPr>
        <w:t xml:space="preserve">• Symbolic Safety Invariant Pass Rate:  </w:t>
      </w:r>
      <w:r>
        <w:rPr>
          <w:rFonts w:ascii="Arial" w:hAnsi="Arial"/>
          <w:color w:val="1E293B"/>
          <w:sz w:val="18"/>
        </w:rPr>
        <w:t>100.0% zero-violation enforcement by the hard-coded Symbolic Safety Logic Gate under adversarial red-teaming.</w:t>
      </w:r>
    </w:p>
    <w:p>
      <w:pPr>
        <w:pStyle w:val="ListBullet"/>
        <w:spacing w:before="20" w:after="40" w:line="259" w:lineRule="auto"/>
      </w:pPr>
      <w:r>
        <w:rPr>
          <w:rFonts w:ascii="Arial" w:hAnsi="Arial"/>
          <w:b/>
          <w:color w:val="1E293B"/>
          <w:sz w:val="18"/>
        </w:rPr>
        <w:t xml:space="preserve">• Acoustic Anomaly F1-Score:  </w:t>
      </w:r>
      <w:r>
        <w:rPr>
          <w:rFonts w:ascii="Arial" w:hAnsi="Arial"/>
          <w:color w:val="1E293B"/>
          <w:sz w:val="18"/>
        </w:rPr>
        <w:t>Targeting F1 &gt;= 0.94 on subterranean rumble classification (10–120 Hz) on Sony CXD5247 Hi-Res ADC against mountain noise baselines.</w:t>
      </w:r>
    </w:p>
    <w:p>
      <w:pPr>
        <w:pStyle w:val="ListBullet"/>
        <w:spacing w:before="20" w:after="40" w:line="259" w:lineRule="auto"/>
      </w:pPr>
      <w:r>
        <w:rPr>
          <w:rFonts w:ascii="Arial" w:hAnsi="Arial"/>
          <w:b/>
          <w:color w:val="1E293B"/>
          <w:sz w:val="18"/>
        </w:rPr>
        <w:t xml:space="preserve">• Hardware Attestation Overhead:  </w:t>
      </w:r>
      <w:r>
        <w:rPr>
          <w:rFonts w:ascii="Arial" w:hAnsi="Arial"/>
          <w:color w:val="1E293B"/>
          <w:sz w:val="18"/>
        </w:rPr>
        <w:t>&lt;5.0 ms total cryptographic overhead (3.2 ms ECDSA signing on CXD5602 + 1.6 ms verification), preserving sub-15 ms FastMCP throughput; &lt;120 mW edge power consumption on Spresense.</w:t>
      </w:r>
    </w:p>
    <w:p>
      <w:pPr>
        <w:pStyle w:val="ListBullet"/>
        <w:spacing w:before="20" w:after="40" w:line="259" w:lineRule="auto"/>
      </w:pPr>
      <w:r>
        <w:rPr>
          <w:rFonts w:ascii="Arial" w:hAnsi="Arial"/>
          <w:b/>
          <w:color w:val="1E293B"/>
          <w:sz w:val="18"/>
        </w:rPr>
        <w:t xml:space="preserve">• Commander Decision Efficiency:  </w:t>
      </w:r>
      <w:r>
        <w:rPr>
          <w:rFonts w:ascii="Arial" w:hAnsi="Arial"/>
          <w:color w:val="1E293B"/>
          <w:sz w:val="18"/>
        </w:rPr>
        <w:t>&gt;95% incident commander approval rate on pre-packaged ICS-201 action plans within 10 seconds of presentation.</w:t>
      </w:r>
    </w:p>
    <w:p>
      <w:pPr>
        <w:spacing w:before="0" w:after="60" w:line="264" w:lineRule="auto"/>
      </w:pPr>
      <w:r>
        <w:rPr>
          <w:rFonts w:ascii="Arial" w:hAnsi="Arial"/>
          <w:b/>
          <w:color w:val="1E293B"/>
          <w:sz w:val="19"/>
        </w:rPr>
        <w:t xml:space="preserve">Multi-Hazard Generalization: </w:t>
      </w:r>
      <w:r>
        <w:rPr>
          <w:rFonts w:ascii="Arial" w:hAnsi="Arial"/>
          <w:color w:val="1E293B"/>
          <w:sz w:val="19"/>
        </w:rPr>
        <w:t>While the primary 12-month testbed targets mountain landslide and flash-flood corridors in the Western Ghats, the XNexus architecture is fundamentally domain-general. The FastMCP abstraction layer readily incorporates seismic P-wave accelerometers for earthquake early warning, thermal IR sensors for forest wildfire tracking, and hydrodynamic surge models for coastal cyclones.</w:t>
      </w:r>
    </w:p>
    <w:p>
      <w:pPr>
        <w:pStyle w:val="Heading1"/>
        <w:keepNext/>
        <w:spacing w:before="180" w:after="40"/>
      </w:pPr>
      <w:r>
        <w:rPr>
          <w:rFonts w:ascii="Arial" w:hAnsi="Arial"/>
          <w:b/>
          <w:color w:val="002B49"/>
          <w:sz w:val="26"/>
        </w:rPr>
        <w:t>11. Formal Academic &amp; Regulatory References</w:t>
      </w:r>
    </w:p>
    <w:p>
      <w:pPr>
        <w:spacing w:before="0" w:after="40" w:line="264" w:lineRule="auto"/>
      </w:pPr>
      <w:r>
        <w:rPr>
          <w:rFonts w:ascii="Arial" w:hAnsi="Arial"/>
          <w:color w:val="1E293B"/>
          <w:sz w:val="19"/>
        </w:rPr>
        <w:t>1. National Disaster Management Authority (NDMA), Government of India. 'National Disaster Management Guidelines &amp; Standard Operating Procedures for Early Warning Systems,' 2023.</w:t>
      </w:r>
    </w:p>
    <w:p>
      <w:pPr>
        <w:spacing w:before="0" w:after="40" w:line="264" w:lineRule="auto"/>
      </w:pPr>
      <w:r>
        <w:rPr>
          <w:rFonts w:ascii="Arial" w:hAnsi="Arial"/>
          <w:color w:val="1E293B"/>
          <w:sz w:val="19"/>
        </w:rPr>
        <w:t>2. Geological Survey of India (GSI). 'Preliminary Technical Post-Disaster Report on the Chooralmala-Mundakkai Landslides, Wayanad District, Kerala,' August 2024.</w:t>
      </w:r>
    </w:p>
    <w:p>
      <w:pPr>
        <w:spacing w:before="0" w:after="40" w:line="264" w:lineRule="auto"/>
      </w:pPr>
      <w:r>
        <w:rPr>
          <w:rFonts w:ascii="Arial" w:hAnsi="Arial"/>
          <w:color w:val="1E293B"/>
          <w:sz w:val="19"/>
        </w:rPr>
        <w:t>3. Sony Group Corporation. 'Sony Spresense Hardware Reference Manual &amp; Multi-Core SDK Guide,' Sony Semiconductor Solutions Corporation, 2024.</w:t>
      </w:r>
    </w:p>
    <w:p>
      <w:pPr>
        <w:spacing w:before="0" w:after="40" w:line="264" w:lineRule="auto"/>
      </w:pPr>
      <w:r>
        <w:rPr>
          <w:rFonts w:ascii="Arial" w:hAnsi="Arial"/>
          <w:color w:val="1E293B"/>
          <w:sz w:val="19"/>
        </w:rPr>
        <w:t>4. OASIS Open Standards. 'Common Alerting Protocol (CAP) Version 1.2,' OASIS Standard, 2010.</w:t>
      </w:r>
    </w:p>
    <w:p>
      <w:pPr>
        <w:spacing w:before="0" w:after="40" w:line="264" w:lineRule="auto"/>
      </w:pPr>
      <w:r>
        <w:rPr>
          <w:rFonts w:ascii="Arial" w:hAnsi="Arial"/>
          <w:color w:val="1E293B"/>
          <w:sz w:val="19"/>
        </w:rPr>
        <w:t>5. Anthropic PBC. 'Model Context Protocol (MCP) Specification &amp; Stdio/SSE Architectural RFC,' 2024.</w:t>
      </w:r>
    </w:p>
    <w:p>
      <w:pPr>
        <w:spacing w:before="0" w:after="40" w:line="264" w:lineRule="auto"/>
      </w:pPr>
      <w:r>
        <w:rPr>
          <w:rFonts w:ascii="Arial" w:hAnsi="Arial"/>
          <w:color w:val="1E293B"/>
          <w:sz w:val="19"/>
        </w:rPr>
        <w:t>6. Central Water Commission (CWC), Ministry of Jal Shakti. 'Handbook on Hydrological Telemetry and Warning Levels,' 2022.</w:t>
      </w:r>
    </w:p>
    <w:p>
      <w:pPr>
        <w:spacing w:before="0" w:after="40" w:line="264" w:lineRule="auto"/>
      </w:pPr>
      <w:r>
        <w:rPr>
          <w:rFonts w:ascii="Arial" w:hAnsi="Arial"/>
          <w:color w:val="1E293B"/>
          <w:sz w:val="19"/>
        </w:rPr>
        <w:t>7. Russell, S. and Norvig, P. 'Artificial Intelligence: A Modern Approach (Neuro-Symbolic Reasoning and Safety-Critical Verification),' Prentice Hall, 2020.</w:t>
      </w:r>
    </w:p>
    <w:p>
      <w:r>
        <w:br w:type="page"/>
      </w:r>
    </w:p>
    <w:p>
      <w:pPr>
        <w:pStyle w:val="Heading1"/>
        <w:keepNext/>
        <w:spacing w:before="180" w:after="40"/>
      </w:pPr>
      <w:r>
        <w:rPr>
          <w:rFonts w:ascii="Arial" w:hAnsi="Arial"/>
          <w:b/>
          <w:color w:val="002B49"/>
          <w:sz w:val="26"/>
        </w:rPr>
        <w:t>12. Itemized Budget Summary &amp; Cost Justification (1 Page)</w:t>
      </w:r>
    </w:p>
    <w:p>
      <w:pPr>
        <w:spacing w:before="0" w:after="60" w:line="264" w:lineRule="auto"/>
      </w:pPr>
      <w:r>
        <w:rPr>
          <w:rFonts w:ascii="Arial" w:hAnsi="Arial"/>
          <w:b/>
          <w:color w:val="1E293B"/>
          <w:sz w:val="19"/>
        </w:rPr>
        <w:t xml:space="preserve">Award Track: Sony Faculty Innovation Award  |  </w:t>
      </w:r>
      <w:r>
        <w:rPr>
          <w:rFonts w:ascii="Arial" w:hAnsi="Arial"/>
          <w:color w:val="1E293B"/>
          <w:sz w:val="19"/>
        </w:rPr>
        <w:t>Total Requested Funding: US$100,000  |  Duration: 12 Months (October 2026 – September 2027)</w:t>
      </w:r>
    </w:p>
    <w:p>
      <w:pPr>
        <w:spacing w:before="0" w:after="60" w:line="264" w:lineRule="auto"/>
      </w:pPr>
      <w:r>
        <w:rPr>
          <w:rFonts w:ascii="Arial" w:hAnsi="Arial"/>
          <w:color w:val="1E293B"/>
          <w:sz w:val="19"/>
        </w:rPr>
        <w:t>The following itemized budget is fully compliant with the guidelines of the Sony Research Award Program 2026. Institutional overhead has been negotiated and capped to fit strictly within the all-inclusive US$100,000 maximum funding envelope.</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Budget Category</w:t>
            </w:r>
          </w:p>
        </w:tc>
        <w:tc>
          <w:tcPr>
            <w:tcW w:type="dxa" w:w="3888"/>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Item Description &amp; Specifications</w:t>
            </w:r>
          </w:p>
        </w:tc>
        <w:tc>
          <w:tcPr>
            <w:tcW w:type="dxa" w:w="2304"/>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Basis of Estimate / Quantity</w:t>
            </w:r>
          </w:p>
        </w:tc>
        <w:tc>
          <w:tcPr>
            <w:tcW w:type="dxa" w:w="1440"/>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Subtotal (USD)</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1. Personnel &amp; Student Support</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Graduate Research Assistant 1 (Ph.D. student, Multi-Agent AI &amp; FastMCP)</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12 Months @ $2,000/mo stipend</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$24,000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1. Personnel &amp; Student Support</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Graduate Research Assistant 2 (Ph.D. student, TinyML &amp; Embedded Edge Sensing)</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12 Months @ $2,000/mo stipend</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$24,000</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2. Hardware &amp; Sensing Equipment</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Sony Spresense Development Ecosystem (50 Main Boards, 50 Extension, 50 Sub-GHz)</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50 Field Kits @ $180/kit</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$9,000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2. Hardware &amp; Sensing Equipment</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Industrial Field Deployments (IP68 Enclosures, Geophones, Canopy-Rated Solar/Supercaps)</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20 Ruggedized IP68 Station Rigs</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$13,000</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2. Hardware &amp; Sensing Equipment</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Local Edge GPU Workstation for Agent Compilation &amp; Stress Testing</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Dedicated dual-GPU testing rig</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$3,000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3. Cloud, APIs &amp; Simulation</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Telemetry Ingestion Infrastructure (Open-Meteo Radar, Redis Spatial Memory)</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12 Months Compute &amp; Storage</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$9,000</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4. Travel &amp; Field Dissemination</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Field deployment trips to Western Ghats; Presentation at major IEEE/ACM conference</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2 Field trips + 1 Int'l Conference</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$8,000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5. Institutional Overhead</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University Indirect Costs (Facilities, lab space, administration) — Negotiated Rate</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Institutional Agreement (11.11% of direct)</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$10,000</w:t>
            </w:r>
          </w:p>
        </w:tc>
      </w:tr>
    </w:tbl>
    <w:tbl>
      <w:tblPr>
        <w:tblW w:type="auto" w:w="0"/>
        <w:jc w:val="center"/>
        <w:tblLook w:firstColumn="1" w:firstRow="1" w:lastColumn="0" w:lastRow="0" w:noHBand="0" w:noVBand="1" w:val="04A0"/>
      </w:tblPr>
      <w:tblGrid>
        <w:gridCol w:w="4896"/>
        <w:gridCol w:w="4896"/>
      </w:tblGrid>
      <w:tr>
        <w:tc>
          <w:tcPr>
            <w:tcW w:type="dxa" w:w="8352"/>
            <w:shd w:fill="002B49"/>
            <w:tcMar>
              <w:top w:w="60" w:type="dxa"/>
              <w:bottom w:w="60" w:type="dxa"/>
              <w:left w:w="80" w:type="dxa"/>
              <w:right w:w="80" w:type="dxa"/>
            </w:tcMar>
          </w:tcPr>
          <w:p>
            <w:pPr>
              <w:spacing w:before="20" w:after="20" w:line="259" w:lineRule="auto"/>
              <w:jc w:val="right"/>
            </w:pPr>
            <w:r>
              <w:rPr>
                <w:rFonts w:ascii="Arial" w:hAnsi="Arial"/>
                <w:b/>
                <w:i w:val="0"/>
                <w:color w:val="FFFFFF"/>
                <w:sz w:val="17"/>
              </w:rPr>
              <w:t>TOTAL REQUESTED GRANT FUNDING (ALL-INCLUSIVE CEILING):</w:t>
            </w:r>
          </w:p>
        </w:tc>
        <w:tc>
          <w:tcPr>
            <w:tcW w:type="dxa" w:w="1440"/>
            <w:shd w:fill="002B49"/>
            <w:tcMar>
              <w:top w:w="60" w:type="dxa"/>
              <w:bottom w:w="60" w:type="dxa"/>
              <w:left w:w="70" w:type="dxa"/>
              <w:right w:w="70" w:type="dxa"/>
            </w:tcMar>
          </w:tcPr>
          <w:p>
            <w:pPr>
              <w:spacing w:before="20" w:after="20" w:line="259" w:lineRule="auto"/>
              <w:jc w:val="right"/>
            </w:pPr>
            <w:r>
              <w:rPr>
                <w:rFonts w:ascii="Arial" w:hAnsi="Arial"/>
                <w:b/>
                <w:i w:val="0"/>
                <w:color w:val="00F0FF"/>
                <w:sz w:val="18"/>
              </w:rPr>
              <w:t>$100,000 USD</w:t>
            </w:r>
          </w:p>
        </w:tc>
      </w:tr>
    </w:tbl>
    <w:p>
      <w:pPr>
        <w:pStyle w:val="Heading2"/>
        <w:keepNext/>
        <w:spacing w:before="140" w:after="40"/>
      </w:pPr>
      <w:r>
        <w:rPr>
          <w:rFonts w:ascii="Arial" w:hAnsi="Arial"/>
          <w:b/>
          <w:color w:val="0F4C81"/>
          <w:sz w:val="22"/>
        </w:rPr>
        <w:t>12.1 Budget Justification &amp; Cost Rationalization</w:t>
      </w:r>
    </w:p>
    <w:p>
      <w:pPr>
        <w:pStyle w:val="ListBullet"/>
        <w:spacing w:before="20" w:after="40" w:line="259" w:lineRule="auto"/>
      </w:pPr>
      <w:r>
        <w:rPr>
          <w:rFonts w:ascii="Arial" w:hAnsi="Arial"/>
          <w:b/>
          <w:color w:val="1E293B"/>
          <w:sz w:val="18"/>
        </w:rPr>
        <w:t xml:space="preserve">Personnel ($48,000): </w:t>
      </w:r>
      <w:r>
        <w:rPr>
          <w:rFonts w:ascii="Arial" w:hAnsi="Arial"/>
          <w:color w:val="1E293B"/>
          <w:sz w:val="18"/>
        </w:rPr>
        <w:t>Directly funds two full-time Ph.D. graduate research assistants (one specializing in multi-agent systems and FastMCP, the other in embedded edge AI and Spresense TinyML). The PI's supervisory effort is contributed as an institutional cost-share with zero salary draw.</w:t>
      </w:r>
    </w:p>
    <w:p>
      <w:pPr>
        <w:pStyle w:val="ListBullet"/>
        <w:spacing w:before="20" w:after="40" w:line="259" w:lineRule="auto"/>
      </w:pPr>
      <w:r>
        <w:rPr>
          <w:rFonts w:ascii="Arial" w:hAnsi="Arial"/>
          <w:b/>
          <w:color w:val="1E293B"/>
          <w:sz w:val="18"/>
        </w:rPr>
        <w:t xml:space="preserve">Hardware &amp; Industrial Field Sensing Equipment ($25,000): </w:t>
      </w:r>
      <w:r>
        <w:rPr>
          <w:rFonts w:ascii="Arial" w:hAnsi="Arial"/>
          <w:color w:val="1E293B"/>
          <w:sz w:val="18"/>
        </w:rPr>
        <w:t>Comprises $9,000 for 50 Sony Spresense development kits (Main + Extension + Sub-GHz boards), $13,000 for 20 field-hardened IP68 NEMA industrial enclosures equipped with stainless-steel ground anchoring spikes, waterproof cable glands, ruggedized piezoelectric geophones (-12 dB/Hz infrasound), and solar-supercapacitor buffers rated for &gt;=120 hours (5 days) of zero-sunlight autonomy to endure heavy rainforest canopy shading and continuous monsoon cloud cover, plus $3,000 for a local dual-GPU edge workstation for model compilation.</w:t>
      </w:r>
    </w:p>
    <w:p>
      <w:pPr>
        <w:pStyle w:val="ListBullet"/>
        <w:spacing w:before="20" w:after="40" w:line="259" w:lineRule="auto"/>
      </w:pPr>
      <w:r>
        <w:rPr>
          <w:rFonts w:ascii="Arial" w:hAnsi="Arial"/>
          <w:b/>
          <w:color w:val="1E293B"/>
          <w:sz w:val="18"/>
        </w:rPr>
        <w:t xml:space="preserve">Cloud, APIs &amp; Simulation ($9,000): </w:t>
      </w:r>
      <w:r>
        <w:rPr>
          <w:rFonts w:ascii="Arial" w:hAnsi="Arial"/>
          <w:color w:val="1E293B"/>
          <w:sz w:val="18"/>
        </w:rPr>
        <w:t>Supports real-time radar ingestion pipelines, high-throughput in-memory Redis spatial vector memory, and digital twin simulation compute resources.</w:t>
      </w:r>
    </w:p>
    <w:p>
      <w:pPr>
        <w:pStyle w:val="ListBullet"/>
        <w:spacing w:before="20" w:after="40" w:line="259" w:lineRule="auto"/>
      </w:pPr>
      <w:r>
        <w:rPr>
          <w:rFonts w:ascii="Arial" w:hAnsi="Arial"/>
          <w:b/>
          <w:color w:val="1E293B"/>
          <w:sz w:val="18"/>
        </w:rPr>
        <w:t xml:space="preserve">Travel &amp; Presentation ($8,000): </w:t>
      </w:r>
      <w:r>
        <w:rPr>
          <w:rFonts w:ascii="Arial" w:hAnsi="Arial"/>
          <w:color w:val="1E293B"/>
          <w:sz w:val="18"/>
        </w:rPr>
        <w:t>Funds two field calibration and deployment trips to high-hazard landslide corridors in the Western Ghats (Kerala) and travel for the PI and Ph.D. student to present peer-reviewed results at a premier IEEE/ACM conference.</w:t>
      </w:r>
    </w:p>
    <w:p>
      <w:pPr>
        <w:pStyle w:val="ListBullet"/>
        <w:spacing w:before="20" w:after="40" w:line="259" w:lineRule="auto"/>
      </w:pPr>
      <w:r>
        <w:rPr>
          <w:rFonts w:ascii="Arial" w:hAnsi="Arial"/>
          <w:b/>
          <w:color w:val="1E293B"/>
          <w:sz w:val="18"/>
        </w:rPr>
        <w:t xml:space="preserve">Institutional Overhead ($10,000): </w:t>
      </w:r>
      <w:r>
        <w:rPr>
          <w:rFonts w:ascii="Arial" w:hAnsi="Arial"/>
          <w:color w:val="1E293B"/>
          <w:sz w:val="18"/>
        </w:rPr>
        <w:t>University indirect costs negotiated at 11.11% of direct costs to ensure total requested funding equals exactly the $100,000 USD Sony Faculty Innovation Award ceiling.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4748B"/>
        <w:sz w:val="15"/>
      </w:rPr>
      <w:t>CONFIDENTIAL  —  RESEARCH PROPOSAL FOR FUNDING CONSIDERATION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Sony Research Award Program 2026  |  Faculty Innovation Award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