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57A8" w14:textId="77777777" w:rsidR="003B458E" w:rsidRDefault="003B458E" w:rsidP="003B458E">
      <w:pPr>
        <w:jc w:val="center"/>
        <w:rPr>
          <w:rFonts w:cstheme="minorHAnsi"/>
          <w:b/>
          <w:bCs/>
          <w:color w:val="501549" w:themeColor="accent5" w:themeShade="80"/>
          <w:kern w:val="0"/>
          <w:sz w:val="36"/>
          <w:szCs w:val="36"/>
        </w:rPr>
      </w:pPr>
      <w:bookmarkStart w:id="0" w:name="_Hlk147505832"/>
      <w:r w:rsidRPr="00AD5569">
        <w:rPr>
          <w:rFonts w:cstheme="minorHAnsi"/>
          <w:b/>
          <w:bCs/>
          <w:color w:val="501549" w:themeColor="accent5" w:themeShade="80"/>
          <w:kern w:val="0"/>
          <w:sz w:val="36"/>
          <w:szCs w:val="36"/>
        </w:rPr>
        <w:t>BANK LOAN REPORT</w:t>
      </w:r>
    </w:p>
    <w:p w14:paraId="62017CDB" w14:textId="77777777" w:rsidR="003B458E" w:rsidRDefault="003B458E" w:rsidP="003B458E">
      <w:pPr>
        <w:jc w:val="center"/>
        <w:rPr>
          <w:b/>
          <w:bCs/>
          <w:color w:val="156082" w:themeColor="accent1"/>
          <w:sz w:val="32"/>
          <w:szCs w:val="32"/>
        </w:rPr>
      </w:pPr>
      <w:r w:rsidRPr="00034003">
        <w:rPr>
          <w:b/>
          <w:bCs/>
          <w:color w:val="156082" w:themeColor="accent1"/>
          <w:sz w:val="32"/>
          <w:szCs w:val="32"/>
        </w:rPr>
        <w:t>DOMAIN KNOWLEDGE</w:t>
      </w:r>
    </w:p>
    <w:bookmarkEnd w:id="0"/>
    <w:p w14:paraId="6E1FB991" w14:textId="77777777" w:rsidR="003B458E" w:rsidRPr="004D4928" w:rsidRDefault="003B458E" w:rsidP="003B458E">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21EF1FA" w14:textId="77777777" w:rsidR="003B458E" w:rsidRPr="009C5A7A" w:rsidRDefault="003B458E" w:rsidP="003B458E">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0835D8DE"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14CD7659"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2941E291"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F9D8AEC"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39E76D0E" w14:textId="77777777" w:rsidR="003B458E" w:rsidRDefault="003B458E" w:rsidP="003B458E">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7E4F8C72" w14:textId="77777777" w:rsidR="003B458E" w:rsidRDefault="003B458E" w:rsidP="003B458E">
      <w:pPr>
        <w:spacing w:after="0" w:line="360" w:lineRule="auto"/>
        <w:jc w:val="both"/>
        <w:rPr>
          <w:rFonts w:cstheme="minorHAnsi"/>
          <w:sz w:val="24"/>
          <w:szCs w:val="24"/>
        </w:rPr>
      </w:pPr>
    </w:p>
    <w:p w14:paraId="4CCBF3DD" w14:textId="77777777" w:rsidR="003B458E" w:rsidRPr="009D3394" w:rsidRDefault="003B458E" w:rsidP="003B458E">
      <w:pPr>
        <w:jc w:val="both"/>
        <w:rPr>
          <w:b/>
          <w:bCs/>
          <w:color w:val="156082" w:themeColor="accent1"/>
          <w:sz w:val="28"/>
          <w:szCs w:val="28"/>
        </w:rPr>
      </w:pPr>
      <w:r>
        <w:rPr>
          <w:b/>
          <w:bCs/>
          <w:color w:val="156082" w:themeColor="accent1"/>
          <w:sz w:val="28"/>
          <w:szCs w:val="28"/>
        </w:rPr>
        <w:t>P</w:t>
      </w:r>
      <w:r w:rsidRPr="009D3394">
        <w:rPr>
          <w:b/>
          <w:bCs/>
          <w:color w:val="156082" w:themeColor="accent1"/>
          <w:sz w:val="28"/>
          <w:szCs w:val="28"/>
        </w:rPr>
        <w:t xml:space="preserve">rocess of </w:t>
      </w:r>
      <w:r>
        <w:rPr>
          <w:b/>
          <w:bCs/>
          <w:color w:val="156082" w:themeColor="accent1"/>
          <w:sz w:val="28"/>
          <w:szCs w:val="28"/>
        </w:rPr>
        <w:t>G</w:t>
      </w:r>
      <w:r w:rsidRPr="009D3394">
        <w:rPr>
          <w:b/>
          <w:bCs/>
          <w:color w:val="156082" w:themeColor="accent1"/>
          <w:sz w:val="28"/>
          <w:szCs w:val="28"/>
        </w:rPr>
        <w:t xml:space="preserve">ranting a </w:t>
      </w:r>
      <w:r>
        <w:rPr>
          <w:b/>
          <w:bCs/>
          <w:color w:val="156082" w:themeColor="accent1"/>
          <w:sz w:val="28"/>
          <w:szCs w:val="28"/>
        </w:rPr>
        <w:t>L</w:t>
      </w:r>
      <w:r w:rsidRPr="009D3394">
        <w:rPr>
          <w:b/>
          <w:bCs/>
          <w:color w:val="156082" w:themeColor="accent1"/>
          <w:sz w:val="28"/>
          <w:szCs w:val="28"/>
        </w:rPr>
        <w:t>oan</w:t>
      </w:r>
    </w:p>
    <w:p w14:paraId="47574844"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Loan Application:</w:t>
      </w:r>
    </w:p>
    <w:p w14:paraId="7A7C3084"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095E33AA" w14:textId="77777777" w:rsidR="003B458E" w:rsidRPr="006C7B33" w:rsidRDefault="003B458E" w:rsidP="003B458E">
      <w:pPr>
        <w:spacing w:after="0" w:line="360" w:lineRule="auto"/>
        <w:jc w:val="both"/>
        <w:rPr>
          <w:rFonts w:cstheme="minorHAnsi"/>
          <w:sz w:val="24"/>
          <w:szCs w:val="24"/>
        </w:rPr>
      </w:pPr>
      <w:r w:rsidRPr="006C7B33">
        <w:rPr>
          <w:rFonts w:cstheme="minorHAnsi"/>
          <w:b/>
          <w:bCs/>
          <w:sz w:val="24"/>
          <w:szCs w:val="24"/>
        </w:rPr>
        <w:t>Application Review:</w:t>
      </w:r>
    </w:p>
    <w:p w14:paraId="7DF0B009" w14:textId="77777777" w:rsidR="003B458E" w:rsidRDefault="003B458E" w:rsidP="003B458E">
      <w:pPr>
        <w:spacing w:after="0" w:line="360" w:lineRule="auto"/>
        <w:jc w:val="both"/>
        <w:rPr>
          <w:rFonts w:cstheme="minorHAnsi"/>
          <w:sz w:val="24"/>
          <w:szCs w:val="24"/>
        </w:rPr>
      </w:pPr>
      <w:r w:rsidRPr="006C7B33">
        <w:rPr>
          <w:rFonts w:cstheme="minorHAnsi"/>
          <w:sz w:val="24"/>
          <w:szCs w:val="24"/>
        </w:rPr>
        <w:lastRenderedPageBreak/>
        <w:t>The lending institution reviews the loan application and collects necessary documentation, such as income statements, credit reports, and identification documents.</w:t>
      </w:r>
    </w:p>
    <w:p w14:paraId="159E3AB7" w14:textId="77777777" w:rsidR="003B458E" w:rsidRDefault="003B458E" w:rsidP="003B458E">
      <w:pPr>
        <w:spacing w:after="0" w:line="360" w:lineRule="auto"/>
        <w:jc w:val="both"/>
        <w:rPr>
          <w:rFonts w:cstheme="minorHAnsi"/>
          <w:sz w:val="24"/>
          <w:szCs w:val="24"/>
        </w:rPr>
      </w:pPr>
    </w:p>
    <w:p w14:paraId="723F3241" w14:textId="77777777" w:rsidR="003B458E" w:rsidRPr="006C7B33" w:rsidRDefault="003B458E" w:rsidP="003B458E">
      <w:pPr>
        <w:spacing w:after="0" w:line="360" w:lineRule="auto"/>
        <w:jc w:val="both"/>
        <w:rPr>
          <w:rFonts w:cstheme="minorHAnsi"/>
          <w:sz w:val="24"/>
          <w:szCs w:val="24"/>
        </w:rPr>
      </w:pPr>
    </w:p>
    <w:p w14:paraId="7D77D528"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Identity Verification:</w:t>
      </w:r>
    </w:p>
    <w:p w14:paraId="79394EF2"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26969E04"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Credit Check:</w:t>
      </w:r>
    </w:p>
    <w:p w14:paraId="7B38BBEB"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4A8E169D"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Income Verification:</w:t>
      </w:r>
    </w:p>
    <w:p w14:paraId="480662C5"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38080253"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Debt-to-Income Ratio (DTI) Check:</w:t>
      </w:r>
    </w:p>
    <w:p w14:paraId="264DED11"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168C6086"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Employment Verification:</w:t>
      </w:r>
    </w:p>
    <w:p w14:paraId="225FA2C3"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49F3E184"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2C1F5427"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8EC35C8" w14:textId="77777777" w:rsidR="003B458E" w:rsidRPr="006C7B33" w:rsidRDefault="003B458E" w:rsidP="003B458E">
      <w:pPr>
        <w:spacing w:after="0" w:line="360" w:lineRule="auto"/>
        <w:jc w:val="both"/>
        <w:rPr>
          <w:rFonts w:cstheme="minorHAnsi"/>
          <w:b/>
          <w:bCs/>
          <w:sz w:val="24"/>
          <w:szCs w:val="24"/>
        </w:rPr>
      </w:pPr>
      <w:r w:rsidRPr="006C7B33">
        <w:rPr>
          <w:rFonts w:cstheme="minorHAnsi"/>
          <w:b/>
          <w:bCs/>
          <w:sz w:val="24"/>
          <w:szCs w:val="24"/>
        </w:rPr>
        <w:t>Risk Assessment:</w:t>
      </w:r>
    </w:p>
    <w:p w14:paraId="28D81CCA"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05D530C7" w14:textId="77777777" w:rsidR="003B458E" w:rsidRDefault="003B458E" w:rsidP="003B458E">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5EBCE908"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1044AE3A" w14:textId="77777777" w:rsidR="003B458E" w:rsidRDefault="003B458E" w:rsidP="003B458E">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35DCA423"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lastRenderedPageBreak/>
        <w:t>If the loan is approved, the lender provides the applicant with a loan agreement that outlines the terms and conditions, including the interest rate, repayment schedule, and any fees.</w:t>
      </w:r>
    </w:p>
    <w:p w14:paraId="6C91ADFA" w14:textId="77777777" w:rsidR="003B458E" w:rsidRDefault="003B458E" w:rsidP="003B458E">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BCC32CD"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53C5BA5D" w14:textId="77777777" w:rsidR="003B458E" w:rsidRDefault="003B458E" w:rsidP="003B458E">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638B5E18"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74A5B687" w14:textId="77777777" w:rsidR="003B458E" w:rsidRDefault="003B458E" w:rsidP="003B458E">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145843E5" w14:textId="77777777" w:rsidR="003B458E" w:rsidRPr="006C7B33" w:rsidRDefault="003B458E" w:rsidP="003B458E">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19315C92" w14:textId="77777777" w:rsidR="003B458E" w:rsidRPr="009C5A7A" w:rsidRDefault="003B458E" w:rsidP="003B458E">
      <w:pPr>
        <w:spacing w:after="0" w:line="360" w:lineRule="auto"/>
        <w:jc w:val="both"/>
        <w:rPr>
          <w:rFonts w:cstheme="minorHAnsi"/>
          <w:sz w:val="24"/>
          <w:szCs w:val="24"/>
        </w:rPr>
      </w:pPr>
    </w:p>
    <w:p w14:paraId="15B8FF3E" w14:textId="77777777" w:rsidR="003B458E" w:rsidRPr="009C5A7A" w:rsidRDefault="003B458E" w:rsidP="003B458E">
      <w:pPr>
        <w:jc w:val="both"/>
        <w:rPr>
          <w:b/>
          <w:bCs/>
          <w:color w:val="156082" w:themeColor="accent1"/>
          <w:sz w:val="28"/>
          <w:szCs w:val="28"/>
        </w:rPr>
      </w:pPr>
      <w:r w:rsidRPr="009C5A7A">
        <w:rPr>
          <w:b/>
          <w:bCs/>
          <w:color w:val="156082" w:themeColor="accent1"/>
          <w:sz w:val="28"/>
          <w:szCs w:val="28"/>
        </w:rPr>
        <w:t>Reasons for Analysing Bank Loan Data:</w:t>
      </w:r>
    </w:p>
    <w:p w14:paraId="7524BBD2" w14:textId="77777777" w:rsidR="003B458E" w:rsidRPr="009C5A7A" w:rsidRDefault="003B458E" w:rsidP="003B458E">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1D466060"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2FEC0ABC"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0D648932"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64EFEDCC"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3829282"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w:t>
      </w:r>
      <w:r w:rsidRPr="009C5A7A">
        <w:rPr>
          <w:rFonts w:cstheme="minorHAnsi"/>
          <w:sz w:val="24"/>
          <w:szCs w:val="24"/>
        </w:rPr>
        <w:lastRenderedPageBreak/>
        <w:t>Mortgage Disclosure Act (HMDA) and the Know Your Customer (KYC) regulations requires data analysis and reporting.</w:t>
      </w:r>
    </w:p>
    <w:p w14:paraId="233B788B"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3B8C34E1"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0CD5610D"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70F8E3DF"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174ACC0A" w14:textId="77777777" w:rsidR="003B458E" w:rsidRPr="009C5A7A" w:rsidRDefault="003B458E" w:rsidP="003B458E">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2B825002" w14:textId="77777777" w:rsidR="003B458E" w:rsidRDefault="003B458E" w:rsidP="003B458E">
      <w:pPr>
        <w:jc w:val="both"/>
        <w:rPr>
          <w:b/>
          <w:bCs/>
          <w:color w:val="156082" w:themeColor="accent1"/>
          <w:sz w:val="32"/>
          <w:szCs w:val="32"/>
        </w:rPr>
      </w:pPr>
    </w:p>
    <w:p w14:paraId="0FD80949" w14:textId="77777777" w:rsidR="00731A40" w:rsidRDefault="00731A40"/>
    <w:sectPr w:rsidR="0073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8E"/>
    <w:rsid w:val="0023139C"/>
    <w:rsid w:val="003B458E"/>
    <w:rsid w:val="00731A40"/>
    <w:rsid w:val="00F01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E0C3"/>
  <w15:chartTrackingRefBased/>
  <w15:docId w15:val="{1224C8F0-7199-40F3-86F9-785B84A3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8E"/>
    <w:pPr>
      <w:spacing w:line="259" w:lineRule="auto"/>
    </w:pPr>
    <w:rPr>
      <w:sz w:val="22"/>
      <w:szCs w:val="22"/>
    </w:rPr>
  </w:style>
  <w:style w:type="paragraph" w:styleId="Heading1">
    <w:name w:val="heading 1"/>
    <w:basedOn w:val="Normal"/>
    <w:next w:val="Normal"/>
    <w:link w:val="Heading1Char"/>
    <w:uiPriority w:val="9"/>
    <w:qFormat/>
    <w:rsid w:val="003B458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58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58E"/>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58E"/>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B458E"/>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B458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B458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B458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B458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58E"/>
    <w:rPr>
      <w:rFonts w:eastAsiaTheme="majorEastAsia" w:cstheme="majorBidi"/>
      <w:color w:val="272727" w:themeColor="text1" w:themeTint="D8"/>
    </w:rPr>
  </w:style>
  <w:style w:type="paragraph" w:styleId="Title">
    <w:name w:val="Title"/>
    <w:basedOn w:val="Normal"/>
    <w:next w:val="Normal"/>
    <w:link w:val="TitleChar"/>
    <w:uiPriority w:val="10"/>
    <w:qFormat/>
    <w:rsid w:val="003B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58E"/>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58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B458E"/>
    <w:rPr>
      <w:i/>
      <w:iCs/>
      <w:color w:val="404040" w:themeColor="text1" w:themeTint="BF"/>
    </w:rPr>
  </w:style>
  <w:style w:type="paragraph" w:styleId="ListParagraph">
    <w:name w:val="List Paragraph"/>
    <w:basedOn w:val="Normal"/>
    <w:uiPriority w:val="34"/>
    <w:qFormat/>
    <w:rsid w:val="003B458E"/>
    <w:pPr>
      <w:spacing w:line="278" w:lineRule="auto"/>
      <w:ind w:left="720"/>
      <w:contextualSpacing/>
    </w:pPr>
    <w:rPr>
      <w:sz w:val="24"/>
      <w:szCs w:val="24"/>
    </w:rPr>
  </w:style>
  <w:style w:type="character" w:styleId="IntenseEmphasis">
    <w:name w:val="Intense Emphasis"/>
    <w:basedOn w:val="DefaultParagraphFont"/>
    <w:uiPriority w:val="21"/>
    <w:qFormat/>
    <w:rsid w:val="003B458E"/>
    <w:rPr>
      <w:i/>
      <w:iCs/>
      <w:color w:val="0F4761" w:themeColor="accent1" w:themeShade="BF"/>
    </w:rPr>
  </w:style>
  <w:style w:type="paragraph" w:styleId="IntenseQuote">
    <w:name w:val="Intense Quote"/>
    <w:basedOn w:val="Normal"/>
    <w:next w:val="Normal"/>
    <w:link w:val="IntenseQuoteChar"/>
    <w:uiPriority w:val="30"/>
    <w:qFormat/>
    <w:rsid w:val="003B458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B458E"/>
    <w:rPr>
      <w:i/>
      <w:iCs/>
      <w:color w:val="0F4761" w:themeColor="accent1" w:themeShade="BF"/>
    </w:rPr>
  </w:style>
  <w:style w:type="character" w:styleId="IntenseReference">
    <w:name w:val="Intense Reference"/>
    <w:basedOn w:val="DefaultParagraphFont"/>
    <w:uiPriority w:val="32"/>
    <w:qFormat/>
    <w:rsid w:val="003B4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Sharma</dc:creator>
  <cp:keywords/>
  <dc:description/>
  <cp:lastModifiedBy>Akshat Sharma</cp:lastModifiedBy>
  <cp:revision>1</cp:revision>
  <dcterms:created xsi:type="dcterms:W3CDTF">2026-01-02T22:46:00Z</dcterms:created>
  <dcterms:modified xsi:type="dcterms:W3CDTF">2026-01-02T22:46:00Z</dcterms:modified>
</cp:coreProperties>
</file>