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2"/>
          <w:szCs w:val="32"/>
        </w:rPr>
        <w:t xml:space="preserve">AquaSync: A Secure, AI-Driven Smart Irrigation System with Zero-Vulnerability IoT Architecture</w:t>
      </w:r>
    </w:p>
    <w:p>
      <w:pPr>
        <w:spacing w:after="60"/>
        <w:jc w:val="center"/>
      </w:pPr>
      <w:r>
        <w:rPr>
          <w:rFonts w:ascii="Times New Roman" w:cs="Times New Roman" w:eastAsia="Times New Roman" w:hAnsi="Times New Roman"/>
          <w:sz w:val="22"/>
          <w:szCs w:val="22"/>
        </w:rPr>
        <w:t xml:space="preserve">Aryan Deshwal¹  ·  Priya Mehta²  ·  Vikram Singh³  ·  Amara Osei⁴</w:t>
      </w:r>
    </w:p>
    <w:p>
      <w:pPr>
        <w:spacing w:after="60"/>
        <w:jc w:val="center"/>
      </w:pPr>
      <w:r>
        <w:rPr>
          <w:rFonts w:ascii="Times New Roman" w:cs="Times New Roman" w:eastAsia="Times New Roman" w:hAnsi="Times New Roman"/>
          <w:color w:val="444444"/>
          <w:sz w:val="18"/>
          <w:szCs w:val="18"/>
        </w:rPr>
        <w:t xml:space="preserve">¹Department of Computer Science and Engineering, IIT Delhi  |  ²AgriSolutions Research Lab, IARI  |  ³IoT Security Division, CDAC  |  ⁴Water Resources Engineering, NIT Kurukshetra</w:t>
      </w:r>
    </w:p>
    <w:p>
      <w:pPr>
        <w:spacing w:after="240"/>
        <w:jc w:val="center"/>
      </w:pPr>
      <w:r>
        <w:rPr>
          <w:rFonts w:ascii="Times New Roman" w:cs="Times New Roman" w:eastAsia="Times New Roman" w:hAnsi="Times New Roman"/>
          <w:color w:val="666666"/>
          <w:sz w:val="18"/>
          <w:szCs w:val="18"/>
        </w:rPr>
        <w:t xml:space="preserve">Received: January 14, 2026  ·  Revised: March 22, 2026  ·  Accepted: April 10, 2026  ·  Published: April 28, 2026</w:t>
      </w:r>
    </w:p>
    <w:p>
      <w:pPr>
        <w:pBdr>
          <w:bottom w:val="single" w:color="666666" w:sz="1" w:space="1"/>
        </w:pBdr>
        <w:spacing w:after="120" w:before="120"/>
      </w:pPr>
      <w:r>
        <w:t xml:space="preserve"/>
      </w:r>
    </w:p>
    <w:p>
      <w:pPr>
        <w:pStyle w:val="Heading1"/>
        <w:spacing w:after="120" w:before="280"/>
      </w:pPr>
      <w:r>
        <w:rPr>
          <w:rFonts w:ascii="Times New Roman" w:cs="Times New Roman" w:eastAsia="Times New Roman" w:hAnsi="Times New Roman"/>
          <w:b/>
          <w:bCs/>
          <w:caps w:val="false"/>
          <w:sz w:val="26"/>
          <w:szCs w:val="26"/>
        </w:rPr>
        <w:t xml:space="preserve">ABSTRACT</w:t>
      </w:r>
    </w:p>
    <w:p>
      <w:pPr>
        <w:spacing w:after="160" w:before="0"/>
        <w:ind w:firstLine="720"/>
        <w:jc w:val="both"/>
      </w:pPr>
      <w:r>
        <w:rPr>
          <w:rFonts w:ascii="Times New Roman" w:cs="Times New Roman" w:eastAsia="Times New Roman" w:hAnsi="Times New Roman"/>
          <w:b w:val="false"/>
          <w:bCs w:val="false"/>
          <w:sz w:val="24"/>
          <w:szCs w:val="24"/>
        </w:rPr>
        <w:t xml:space="preserve">Irrigation accounts for nearly 70% of global freshwater withdrawals, yet conventional systems routinely waste over 60% through over-irrigation, poor scheduling, and absent monitoring. Simultaneously, the rapid growth of Internet of Things (IoT) deployments in agriculture has introduced a critical but frequently neglected dimension: cybersecurity. Existing smart irrigation implementations suffer from fundamental architectural flaws including unauthenticated sensor endpoints, unencrypted MQTT communication, absent input validation, and unsigned over-the-air firmware updates — vulnerabilities that expose agricultural infrastructure to manipulation, espionage, and disruption.</w:t>
      </w:r>
    </w:p>
    <w:p>
      <w:pPr>
        <w:spacing w:after="160" w:before="0"/>
        <w:ind w:firstLine="720"/>
        <w:jc w:val="both"/>
      </w:pPr>
      <w:r>
        <w:rPr>
          <w:rFonts w:ascii="Times New Roman" w:cs="Times New Roman" w:eastAsia="Times New Roman" w:hAnsi="Times New Roman"/>
          <w:b w:val="false"/>
          <w:bCs w:val="false"/>
          <w:sz w:val="24"/>
          <w:szCs w:val="24"/>
        </w:rPr>
        <w:t xml:space="preserve">This paper presents AquaSync, a comprehensive smart irrigation control system engineered to simultaneously maximize water efficiency and eliminate the security vulnerabilities present in prior work. The system integrates a network of ESP32-S3 sensor nodes communicating over TLS-secured MQTT with Ed25519-signed payloads, a hardened Node.js backend with JWT-based role-based access control (RBAC), AES-256-GCM encrypted data storage, and an AI scheduling engine combining the FAO-56 Penman-Monteith evapotranspiration model with an LSTM-based neural network trained on historical soil and weather data. A six-month pilot across three farms in Haryana, India (combined area: 47 hectares) demonstrated 40.3% reduction in water consumption, 26.8% improvement in crop yield, and zero security incidents. AquaSync represents a paradigm shift from feature-driven to security-first IoT design in precision agriculture.</w:t>
      </w:r>
    </w:p>
    <w:p>
      <w:pPr>
        <w:spacing w:after="1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smart irrigation; IoT security; precision agriculture; machine learning; MQTT; evapotranspiration; ESP32; water management; zero-trust architecture; soil moisture sensing</w:t>
      </w:r>
    </w:p>
    <w:p>
      <w:pPr>
        <w:pBdr>
          <w:bottom w:val="single" w:color="666666" w:sz="1" w:space="1"/>
        </w:pBdr>
        <w:spacing w:after="120" w:before="120"/>
      </w:pPr>
      <w:r>
        <w:t xml:space="preserve"/>
      </w:r>
    </w:p>
    <w:p>
      <w:pPr>
        <w:pStyle w:val="Heading1"/>
        <w:spacing w:after="120" w:before="280"/>
      </w:pPr>
      <w:r>
        <w:rPr>
          <w:rFonts w:ascii="Times New Roman" w:cs="Times New Roman" w:eastAsia="Times New Roman" w:hAnsi="Times New Roman"/>
          <w:b/>
          <w:bCs/>
          <w:caps w:val="false"/>
          <w:sz w:val="26"/>
          <w:szCs w:val="26"/>
        </w:rPr>
        <w:t xml:space="preserve">1. INTRODUCTION</w:t>
      </w:r>
    </w:p>
    <w:p>
      <w:pPr>
        <w:spacing w:after="160" w:before="0"/>
        <w:ind w:firstLine="720"/>
        <w:jc w:val="both"/>
      </w:pPr>
      <w:r>
        <w:rPr>
          <w:rFonts w:ascii="Times New Roman" w:cs="Times New Roman" w:eastAsia="Times New Roman" w:hAnsi="Times New Roman"/>
          <w:b w:val="false"/>
          <w:bCs w:val="false"/>
          <w:sz w:val="24"/>
          <w:szCs w:val="24"/>
        </w:rPr>
        <w:t xml:space="preserve">Agriculture is the world's largest consumer of freshwater, responsible for approximately 69% of all freshwater withdrawals globally (FAO, 2020). In India, this proportion rises to 89%, and over 140 million hectares of farmland — roughly 65% of the cultivated area — depend on irrigation (Ministry of Jal Shakti, 2024). Despite this dependence, the efficiency of water use in Indian agriculture remains critically low; traditional flood irrigation systems achieve application efficiencies of only 35–40%, while sprinkler and unmanaged drip systems typically achieve 55–65% (ICAR, 2023).</w:t>
      </w:r>
    </w:p>
    <w:p>
      <w:pPr>
        <w:spacing w:after="160" w:before="0"/>
        <w:ind w:firstLine="720"/>
        <w:jc w:val="both"/>
      </w:pPr>
      <w:r>
        <w:rPr>
          <w:rFonts w:ascii="Times New Roman" w:cs="Times New Roman" w:eastAsia="Times New Roman" w:hAnsi="Times New Roman"/>
          <w:b w:val="false"/>
          <w:bCs w:val="false"/>
          <w:sz w:val="24"/>
          <w:szCs w:val="24"/>
        </w:rPr>
        <w:t xml:space="preserve">The adoption of smart irrigation technologies, broadly defined as systems that integrate sensor data to automate or advise water application, has accelerated in the past decade. Market analysis projects the global smart irrigation market to reach USD 2.8 billion by 2028, growing at a compound annual rate of 16.2% (MarketsandMarkets, 2024). Yet academic and industry audits consistently reveal that the security posture of deployed IoT irrigation systems lags far behind their functional sophistication. A systematic review of 42 published smart irrigation implementations by Verma et al. (2024) found that 87% lacked end-to-end encryption, 91% had no device authentication, and 100% were potentially vulnerable to replay attacks on actuator commands.</w:t>
      </w:r>
    </w:p>
    <w:p>
      <w:pPr>
        <w:spacing w:after="160" w:before="0"/>
        <w:ind w:firstLine="720"/>
        <w:jc w:val="both"/>
      </w:pPr>
      <w:r>
        <w:rPr>
          <w:rFonts w:ascii="Times New Roman" w:cs="Times New Roman" w:eastAsia="Times New Roman" w:hAnsi="Times New Roman"/>
          <w:b w:val="false"/>
          <w:bCs w:val="false"/>
          <w:sz w:val="24"/>
          <w:szCs w:val="24"/>
        </w:rPr>
        <w:t xml:space="preserve">The consequences of these vulnerabilities extend beyond data theft. An adversary gaining control of valve actuators could flood crops, triggering root disease and significant yield loss, or conversely deny irrigation during critical growth windows. In regions where agriculture sustains subsistence livelihoods, such attacks carry humanitarian consequences. The intersection of physical-cyber security in agricultural IoT therefore warrants rigorous engineering attention.</w:t>
      </w:r>
    </w:p>
    <w:p>
      <w:pPr>
        <w:spacing w:after="160" w:before="0"/>
        <w:ind w:firstLine="720"/>
        <w:jc w:val="both"/>
      </w:pPr>
      <w:r>
        <w:rPr>
          <w:rFonts w:ascii="Times New Roman" w:cs="Times New Roman" w:eastAsia="Times New Roman" w:hAnsi="Times New Roman"/>
          <w:b w:val="false"/>
          <w:bCs w:val="false"/>
          <w:sz w:val="24"/>
          <w:szCs w:val="24"/>
        </w:rPr>
        <w:t xml:space="preserve">This paper makes the following original contributions: (1) a taxonomy of security vulnerabilities observed across existing smart irrigation systems, categorized using the OWASP IoT Attack Surface framework; (2) a novel system architecture, AquaSync, designed to address all identified vulnerabilities while preserving or improving functional performance; (3) a secure sensor firmware implementation for ESP32-S3 integrating Ed25519 device authentication and signed OTA updates; (4) an AI irrigation scheduling engine combining evapotranspiration physics with LSTM-learned crop-stage coefficients; and (5) empirical evaluation from a six-month, three-farm field deployment.</w:t>
      </w:r>
    </w:p>
    <w:p>
      <w:pPr>
        <w:pStyle w:val="Heading1"/>
        <w:spacing w:after="120" w:before="280"/>
      </w:pPr>
      <w:r>
        <w:rPr>
          <w:rFonts w:ascii="Times New Roman" w:cs="Times New Roman" w:eastAsia="Times New Roman" w:hAnsi="Times New Roman"/>
          <w:b/>
          <w:bCs/>
          <w:caps w:val="false"/>
          <w:sz w:val="26"/>
          <w:szCs w:val="26"/>
        </w:rPr>
        <w:t xml:space="preserve">2. RELATED WORK</w:t>
      </w:r>
    </w:p>
    <w:p>
      <w:pPr>
        <w:pStyle w:val="Heading2"/>
        <w:spacing w:after="80" w:before="180"/>
      </w:pPr>
      <w:r>
        <w:rPr>
          <w:rFonts w:ascii="Times New Roman" w:cs="Times New Roman" w:eastAsia="Times New Roman" w:hAnsi="Times New Roman"/>
          <w:b/>
          <w:bCs/>
          <w:sz w:val="24"/>
          <w:szCs w:val="24"/>
        </w:rPr>
        <w:t xml:space="preserve">2.1 Smart Irrigation Systems</w:t>
      </w:r>
    </w:p>
    <w:p>
      <w:pPr>
        <w:spacing w:after="160" w:before="0"/>
        <w:ind w:firstLine="720"/>
        <w:jc w:val="both"/>
      </w:pPr>
      <w:r>
        <w:rPr>
          <w:rFonts w:ascii="Times New Roman" w:cs="Times New Roman" w:eastAsia="Times New Roman" w:hAnsi="Times New Roman"/>
          <w:b w:val="false"/>
          <w:bCs w:val="false"/>
          <w:sz w:val="24"/>
          <w:szCs w:val="24"/>
        </w:rPr>
        <w:t xml:space="preserve">The literature on smart irrigation spans roughly three generations. First-generation systems (2010–2015) focused on replacing fixed-timer controllers with soil-moisture threshold triggers. Representative work includes the system of Kim et al. (2012), which deployed capacitive moisture sensors and demonstrated 30% water savings over timed irrigation. Subsequent work by Goap et al. (2018) introduced weather-forecast integration to pre-empt rainfall events, achieving 35% reduction in water application across test plots in Maharashtra. Pavithra and Srinath (2019) developed a low-cost system using Arduino and GSM communication, widely cited for its accessibility in developing-country contexts.</w:t>
      </w:r>
    </w:p>
    <w:p>
      <w:pPr>
        <w:spacing w:after="160" w:before="0"/>
        <w:ind w:firstLine="720"/>
        <w:jc w:val="both"/>
      </w:pPr>
      <w:r>
        <w:rPr>
          <w:rFonts w:ascii="Times New Roman" w:cs="Times New Roman" w:eastAsia="Times New Roman" w:hAnsi="Times New Roman"/>
          <w:b w:val="false"/>
          <w:bCs w:val="false"/>
          <w:sz w:val="24"/>
          <w:szCs w:val="24"/>
        </w:rPr>
        <w:t xml:space="preserve">The third generation introduced machine learning components. Nwufor et al. (2023) applied a random forest classifier to predict optimal irrigation scheduling based on historical soil moisture, temperature, and solar radiation data. Liu et al. (2024) proposed an LSTM encoder-decoder architecture for multi-step-ahead soil moisture forecasting, reporting mean absolute errors below 1.8% VWC across five diverse soil types. Despite functional advances, security considerations receive minimal treatment in these works.</w:t>
      </w:r>
    </w:p>
    <w:p>
      <w:pPr>
        <w:pStyle w:val="Heading2"/>
        <w:spacing w:after="80" w:before="180"/>
      </w:pPr>
      <w:r>
        <w:rPr>
          <w:rFonts w:ascii="Times New Roman" w:cs="Times New Roman" w:eastAsia="Times New Roman" w:hAnsi="Times New Roman"/>
          <w:b/>
          <w:bCs/>
          <w:sz w:val="24"/>
          <w:szCs w:val="24"/>
        </w:rPr>
        <w:t xml:space="preserve">2.2 IoT Security in Agriculture</w:t>
      </w:r>
    </w:p>
    <w:p>
      <w:pPr>
        <w:spacing w:after="160" w:before="0"/>
        <w:ind w:firstLine="720"/>
        <w:jc w:val="both"/>
      </w:pPr>
      <w:r>
        <w:rPr>
          <w:rFonts w:ascii="Times New Roman" w:cs="Times New Roman" w:eastAsia="Times New Roman" w:hAnsi="Times New Roman"/>
          <w:b w:val="false"/>
          <w:bCs w:val="false"/>
          <w:sz w:val="24"/>
          <w:szCs w:val="24"/>
        </w:rPr>
        <w:t xml:space="preserve">The security gap in agricultural IoT was formally documented by Ferrag et al. (2020), who conducted penetration testing on six commercial smart irrigation products and identified critical vulnerabilities including default credentials, unencrypted MQTT brokers, and lack of firmware signature verification. Alaba et al. (2017) provided an early comprehensive survey of IoT security challenges relevant to agriculture, foreshadowing many issues that remain unaddressed. More recently, the ETSI EN 303 645 standard for IoT device security baseline requirements (2020) has provided a normative framework, but compliance in agricultural IoT devices remains limited.</w:t>
      </w:r>
    </w:p>
    <w:p>
      <w:pPr>
        <w:spacing w:after="160" w:before="0"/>
        <w:ind w:firstLine="720"/>
        <w:jc w:val="both"/>
      </w:pPr>
      <w:r>
        <w:rPr>
          <w:rFonts w:ascii="Times New Roman" w:cs="Times New Roman" w:eastAsia="Times New Roman" w:hAnsi="Times New Roman"/>
          <w:b w:val="false"/>
          <w:bCs w:val="false"/>
          <w:sz w:val="24"/>
          <w:szCs w:val="24"/>
        </w:rPr>
        <w:t xml:space="preserve">AquaSync distinguishes itself from prior work by treating security as a first-class design requirement rather than an afterthought, implementing the full ETSI EN 303 645 requirement set alongside agricultural-specific security measures including anti-replay protection for valve commands and anomaly detection for abnormal flow patterns indicative of tampering or leaks.</w:t>
      </w:r>
    </w:p>
    <w:p>
      <w:pPr>
        <w:pStyle w:val="Heading1"/>
        <w:spacing w:after="120" w:before="280"/>
      </w:pPr>
      <w:r>
        <w:rPr>
          <w:rFonts w:ascii="Times New Roman" w:cs="Times New Roman" w:eastAsia="Times New Roman" w:hAnsi="Times New Roman"/>
          <w:b/>
          <w:bCs/>
          <w:caps w:val="false"/>
          <w:sz w:val="26"/>
          <w:szCs w:val="26"/>
        </w:rPr>
        <w:t xml:space="preserve">3. VULNERABILITY ANALYSIS OF EXISTING SYSTEMS</w:t>
      </w:r>
    </w:p>
    <w:p>
      <w:pPr>
        <w:spacing w:after="160" w:before="0"/>
        <w:ind w:firstLine="720"/>
        <w:jc w:val="both"/>
      </w:pPr>
      <w:r>
        <w:rPr>
          <w:rFonts w:ascii="Times New Roman" w:cs="Times New Roman" w:eastAsia="Times New Roman" w:hAnsi="Times New Roman"/>
          <w:b w:val="false"/>
          <w:bCs w:val="false"/>
          <w:sz w:val="24"/>
          <w:szCs w:val="24"/>
        </w:rPr>
        <w:t xml:space="preserve">Prior to designing AquaSync, we conducted a structured vulnerability assessment of twelve published and commercially available smart irrigation systems. Table 1 summarizes the critical vulnerabilities identified, mapped to the OWASP IoT Top Ten (2018) framework.</w:t>
      </w:r>
    </w:p>
    <w:p>
      <w:pPr>
        <w:spacing w:after="80"/>
      </w:pPr>
      <w:r>
        <w:rPr>
          <w:rFonts w:ascii="Times New Roman" w:cs="Times New Roman" w:eastAsia="Times New Roman" w:hAnsi="Times New Roman"/>
          <w:color w:val="444444"/>
          <w:sz w:val="20"/>
          <w:szCs w:val="20"/>
        </w:rPr>
        <w:t xml:space="preserve">Table 1. Security vulnerability assessment across 12 smart irrigation implementations.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1500"/>
        <w:gridCol w:w="1200"/>
      </w:tblGrid>
      <w:tr>
        <w:tc>
          <w:tcPr>
            <w:tcW w:type="dxa" w:w="38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Vulnerability</w:t>
            </w:r>
          </w:p>
        </w:tc>
        <w:tc>
          <w:tcPr>
            <w:tcW w:type="dxa" w:w="22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OWASP Category</w:t>
            </w:r>
          </w:p>
        </w:tc>
        <w:tc>
          <w:tcPr>
            <w:tcW w:type="dxa" w:w="15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Prevalence</w:t>
            </w:r>
          </w:p>
        </w:tc>
        <w:tc>
          <w:tcPr>
            <w:tcW w:type="dxa" w:w="12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Severity</w:t>
            </w:r>
          </w:p>
        </w:tc>
      </w:tr>
      <w:tr>
        <w:tc>
          <w:tcPr>
            <w:tcW w:type="dxa" w:w="38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No device authentication on sensor endpoints</w:t>
            </w:r>
          </w:p>
        </w:tc>
        <w:tc>
          <w:tcPr>
            <w:tcW w:type="dxa" w:w="2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I1: Weak Guessable Passwords</w:t>
            </w:r>
          </w:p>
        </w:tc>
        <w:tc>
          <w:tcPr>
            <w:tcW w:type="dxa" w:w="15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11/12 (91.7%)</w:t>
            </w:r>
          </w:p>
        </w:tc>
        <w:tc>
          <w:tcPr>
            <w:tcW w:type="dxa" w:w="1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Critical</w:t>
            </w:r>
          </w:p>
        </w:tc>
      </w:tr>
      <w:tr>
        <w:tc>
          <w:tcPr>
            <w:tcW w:type="dxa" w:w="38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MQTT communication transmitted without TLS</w:t>
            </w:r>
          </w:p>
        </w:tc>
        <w:tc>
          <w:tcPr>
            <w:tcW w:type="dxa" w:w="2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I9: Insecure Default Settings</w:t>
            </w:r>
          </w:p>
        </w:tc>
        <w:tc>
          <w:tcPr>
            <w:tcW w:type="dxa" w:w="15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10/12 (83.3%)</w:t>
            </w:r>
          </w:p>
        </w:tc>
        <w:tc>
          <w:tcPr>
            <w:tcW w:type="dxa" w:w="1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Critical</w:t>
            </w:r>
          </w:p>
        </w:tc>
      </w:tr>
      <w:tr>
        <w:tc>
          <w:tcPr>
            <w:tcW w:type="dxa" w:w="38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No input validation (SQLi, buffer overflow)</w:t>
            </w:r>
          </w:p>
        </w:tc>
        <w:tc>
          <w:tcPr>
            <w:tcW w:type="dxa" w:w="2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I3: Insecure Ecosystem Interfaces</w:t>
            </w:r>
          </w:p>
        </w:tc>
        <w:tc>
          <w:tcPr>
            <w:tcW w:type="dxa" w:w="15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9/12 (75.0%)</w:t>
            </w:r>
          </w:p>
        </w:tc>
        <w:tc>
          <w:tcPr>
            <w:tcW w:type="dxa" w:w="1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High</w:t>
            </w:r>
          </w:p>
        </w:tc>
      </w:tr>
      <w:tr>
        <w:tc>
          <w:tcPr>
            <w:tcW w:type="dxa" w:w="38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Valve commands vulnerable to replay attacks</w:t>
            </w:r>
          </w:p>
        </w:tc>
        <w:tc>
          <w:tcPr>
            <w:tcW w:type="dxa" w:w="2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I3: Insecure Ecosystem Interfaces</w:t>
            </w:r>
          </w:p>
        </w:tc>
        <w:tc>
          <w:tcPr>
            <w:tcW w:type="dxa" w:w="15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12/12 (100%)</w:t>
            </w:r>
          </w:p>
        </w:tc>
        <w:tc>
          <w:tcPr>
            <w:tcW w:type="dxa" w:w="1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High</w:t>
            </w:r>
          </w:p>
        </w:tc>
      </w:tr>
      <w:tr>
        <w:tc>
          <w:tcPr>
            <w:tcW w:type="dxa" w:w="38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OTA firmware updates without signature check</w:t>
            </w:r>
          </w:p>
        </w:tc>
        <w:tc>
          <w:tcPr>
            <w:tcW w:type="dxa" w:w="2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I4: Lack of Secure Update Mechanism</w:t>
            </w:r>
          </w:p>
        </w:tc>
        <w:tc>
          <w:tcPr>
            <w:tcW w:type="dxa" w:w="15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12/12 (100%)</w:t>
            </w:r>
          </w:p>
        </w:tc>
        <w:tc>
          <w:tcPr>
            <w:tcW w:type="dxa" w:w="1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Critical</w:t>
            </w:r>
          </w:p>
        </w:tc>
      </w:tr>
      <w:tr>
        <w:tc>
          <w:tcPr>
            <w:tcW w:type="dxa" w:w="38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Credentials hardcoded in firmware</w:t>
            </w:r>
          </w:p>
        </w:tc>
        <w:tc>
          <w:tcPr>
            <w:tcW w:type="dxa" w:w="2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I2: Insecure Network Services</w:t>
            </w:r>
          </w:p>
        </w:tc>
        <w:tc>
          <w:tcPr>
            <w:tcW w:type="dxa" w:w="15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8/12 (66.7%)</w:t>
            </w:r>
          </w:p>
        </w:tc>
        <w:tc>
          <w:tcPr>
            <w:tcW w:type="dxa" w:w="1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High</w:t>
            </w:r>
          </w:p>
        </w:tc>
      </w:tr>
      <w:tr>
        <w:tc>
          <w:tcPr>
            <w:tcW w:type="dxa" w:w="38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No rate limiting on API endpoints</w:t>
            </w:r>
          </w:p>
        </w:tc>
        <w:tc>
          <w:tcPr>
            <w:tcW w:type="dxa" w:w="2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I6: Insufficient Privacy Protection</w:t>
            </w:r>
          </w:p>
        </w:tc>
        <w:tc>
          <w:tcPr>
            <w:tcW w:type="dxa" w:w="15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12/12 (100%)</w:t>
            </w:r>
          </w:p>
        </w:tc>
        <w:tc>
          <w:tcPr>
            <w:tcW w:type="dxa" w:w="1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Medium</w:t>
            </w:r>
          </w:p>
        </w:tc>
      </w:tr>
      <w:tr>
        <w:tc>
          <w:tcPr>
            <w:tcW w:type="dxa" w:w="38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Sensor data stored unencrypted at rest</w:t>
            </w:r>
          </w:p>
        </w:tc>
        <w:tc>
          <w:tcPr>
            <w:tcW w:type="dxa" w:w="2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I9: Insecure Default Settings</w:t>
            </w:r>
          </w:p>
        </w:tc>
        <w:tc>
          <w:tcPr>
            <w:tcW w:type="dxa" w:w="15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10/12 (83.3%)</w:t>
            </w:r>
          </w:p>
        </w:tc>
        <w:tc>
          <w:tcPr>
            <w:tcW w:type="dxa" w:w="1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Medium</w:t>
            </w:r>
          </w:p>
        </w:tc>
      </w:tr>
    </w:tbl>
    <w:p>
      <w:pPr>
        <w:spacing w:after="200" w:before="120"/>
      </w:pPr>
    </w:p>
    <w:p>
      <w:pPr>
        <w:spacing w:after="160" w:before="0"/>
        <w:ind w:firstLine="720"/>
        <w:jc w:val="both"/>
      </w:pPr>
      <w:r>
        <w:rPr>
          <w:rFonts w:ascii="Times New Roman" w:cs="Times New Roman" w:eastAsia="Times New Roman" w:hAnsi="Times New Roman"/>
          <w:b w:val="false"/>
          <w:bCs w:val="false"/>
          <w:sz w:val="24"/>
          <w:szCs w:val="24"/>
        </w:rPr>
        <w:t xml:space="preserve">The most severe systemic issue is the universal absence of replay attack mitigation. Valve actuator commands in all twelve systems were transmitted as plain MQTT messages without nonces or timestamps. An attacker with passive network access could capture a "start irrigation zone A for 60 minutes" command and replay it indefinitely, consuming water resources or destroying crops. This attack requires no cryptographic knowledge and is executable with commodity hardware and freely available tools.</w:t>
      </w:r>
    </w:p>
    <w:p>
      <w:pPr>
        <w:pStyle w:val="Heading1"/>
        <w:spacing w:after="120" w:before="280"/>
      </w:pPr>
      <w:r>
        <w:rPr>
          <w:rFonts w:ascii="Times New Roman" w:cs="Times New Roman" w:eastAsia="Times New Roman" w:hAnsi="Times New Roman"/>
          <w:b/>
          <w:bCs/>
          <w:caps w:val="false"/>
          <w:sz w:val="26"/>
          <w:szCs w:val="26"/>
        </w:rPr>
        <w:t xml:space="preserve">4. AQUASYNC SYSTEM DESIGN</w:t>
      </w:r>
    </w:p>
    <w:p>
      <w:pPr>
        <w:pStyle w:val="Heading2"/>
        <w:spacing w:after="80" w:before="180"/>
      </w:pPr>
      <w:r>
        <w:rPr>
          <w:rFonts w:ascii="Times New Roman" w:cs="Times New Roman" w:eastAsia="Times New Roman" w:hAnsi="Times New Roman"/>
          <w:b/>
          <w:bCs/>
          <w:sz w:val="24"/>
          <w:szCs w:val="24"/>
        </w:rPr>
        <w:t xml:space="preserve">4.1 Design Principles</w:t>
      </w:r>
    </w:p>
    <w:p>
      <w:pPr>
        <w:spacing w:after="160" w:before="0"/>
        <w:ind w:firstLine="720"/>
        <w:jc w:val="both"/>
      </w:pPr>
      <w:r>
        <w:rPr>
          <w:rFonts w:ascii="Times New Roman" w:cs="Times New Roman" w:eastAsia="Times New Roman" w:hAnsi="Times New Roman"/>
          <w:b w:val="false"/>
          <w:bCs w:val="false"/>
          <w:sz w:val="24"/>
          <w:szCs w:val="24"/>
        </w:rPr>
        <w:t xml:space="preserve">AquaSync is designed around six core principles: (1) security by default — all communications are encrypted and authenticated from initial deployment; (2) defense in depth — multiple independent security layers ensure no single vulnerability enables system compromise; (3) minimal footprint — each component requests only the permissions required for its function; (4) physical-cyber consistency — digital actuator commands must correspond to physically plausible operations; (5) auditability — every system action is logged with sufficient context for forensic analysis; and (6) graceful degradation — the system reverts to pre-configured safe schedules if connectivity to the backend is lost.</w:t>
      </w:r>
    </w:p>
    <w:p>
      <w:pPr>
        <w:pStyle w:val="Heading2"/>
        <w:spacing w:after="80" w:before="180"/>
      </w:pPr>
      <w:r>
        <w:rPr>
          <w:rFonts w:ascii="Times New Roman" w:cs="Times New Roman" w:eastAsia="Times New Roman" w:hAnsi="Times New Roman"/>
          <w:b/>
          <w:bCs/>
          <w:sz w:val="24"/>
          <w:szCs w:val="24"/>
        </w:rPr>
        <w:t xml:space="preserve">4.2 Hardware Architecture</w:t>
      </w:r>
    </w:p>
    <w:p>
      <w:pPr>
        <w:spacing w:after="160" w:before="0"/>
        <w:ind w:firstLine="720"/>
        <w:jc w:val="both"/>
      </w:pPr>
      <w:r>
        <w:rPr>
          <w:rFonts w:ascii="Times New Roman" w:cs="Times New Roman" w:eastAsia="Times New Roman" w:hAnsi="Times New Roman"/>
          <w:b w:val="false"/>
          <w:bCs w:val="false"/>
          <w:sz w:val="24"/>
          <w:szCs w:val="24"/>
        </w:rPr>
        <w:t xml:space="preserve">Each sensor node is built around the ESP32-S3 microcontroller, selected for its hardware AES acceleration, embedded flash encryption, and eFuse-based secure boot capabilities. The node integrates a capacitive soil moisture sensor (SEN0193, DFRobot), DHT22 temperature/humidity sensor, YF-S201 hall-effect flow meter, and MPX5700 pressure transducer. Valve control is achieved via 12V solenoid valves actuated through optocoupler-isolated MOSFET drivers to prevent ground loop coupling between the control and power circuits. Node power is supplied by 18650 LiPo cells with solar charging; the ESP32-S3 deep-sleep current of 7 µA enables battery life exceeding 18 months at a 5-minute sampling interval.</w:t>
      </w:r>
    </w:p>
    <w:p>
      <w:pPr>
        <w:pStyle w:val="Heading2"/>
        <w:spacing w:after="80" w:before="180"/>
      </w:pPr>
      <w:r>
        <w:rPr>
          <w:rFonts w:ascii="Times New Roman" w:cs="Times New Roman" w:eastAsia="Times New Roman" w:hAnsi="Times New Roman"/>
          <w:b/>
          <w:bCs/>
          <w:sz w:val="24"/>
          <w:szCs w:val="24"/>
        </w:rPr>
        <w:t xml:space="preserve">4.3 Communication Security</w:t>
      </w:r>
    </w:p>
    <w:p>
      <w:pPr>
        <w:spacing w:after="160" w:before="0"/>
        <w:ind w:firstLine="720"/>
        <w:jc w:val="both"/>
      </w:pPr>
      <w:r>
        <w:rPr>
          <w:rFonts w:ascii="Times New Roman" w:cs="Times New Roman" w:eastAsia="Times New Roman" w:hAnsi="Times New Roman"/>
          <w:b w:val="false"/>
          <w:bCs w:val="false"/>
          <w:sz w:val="24"/>
          <w:szCs w:val="24"/>
        </w:rPr>
        <w:t xml:space="preserve">All MQTT communication is secured with TLS 1.3. Sensor nodes verify the broker certificate against a CA certificate stored in internal flash at provisioning time; connections to unrecognized brokers are rejected. Each sensor reading payload is signed using the Ed25519 elliptic-curve digital signature algorithm. Private keys are generated on-device during factory provisioning and stored in the ESP32-S3 NVS partition with flash encryption enabled; they are never transmitted in any form. The backend verifies the signature against the registered device public key before persisting any reading, making sensor data forgery detectable. The verification adds less than 0.3 ms of server-side latency.</w:t>
      </w:r>
    </w:p>
    <w:p>
      <w:pPr>
        <w:spacing w:after="160" w:before="0"/>
        <w:ind w:firstLine="720"/>
        <w:jc w:val="both"/>
      </w:pPr>
      <w:r>
        <w:rPr>
          <w:rFonts w:ascii="Times New Roman" w:cs="Times New Roman" w:eastAsia="Times New Roman" w:hAnsi="Times New Roman"/>
          <w:b w:val="false"/>
          <w:bCs w:val="false"/>
          <w:sz w:val="24"/>
          <w:szCs w:val="24"/>
        </w:rPr>
        <w:t xml:space="preserve">Replay attacks on actuator commands are prevented through a two-factor mechanism: each command includes a 128-bit cryptographically random nonce and a Unix millisecond timestamp. The backend maintains a set of recently seen nonces with a five-minute TTL (implemented via Redis with atomic operations to handle concurrent requests correctly) and rejects any command whose timestamp deviates by more than 300 seconds from server time or whose nonce appears in the seen-set. This window is sufficient to accommodate legitimate clock drift between field nodes (which synchronize to NTP at each wake cycle) while providing strong protection against replay.</w:t>
      </w:r>
    </w:p>
    <w:p>
      <w:pPr>
        <w:pStyle w:val="Heading2"/>
        <w:spacing w:after="80" w:before="180"/>
      </w:pPr>
      <w:r>
        <w:rPr>
          <w:rFonts w:ascii="Times New Roman" w:cs="Times New Roman" w:eastAsia="Times New Roman" w:hAnsi="Times New Roman"/>
          <w:b/>
          <w:bCs/>
          <w:sz w:val="24"/>
          <w:szCs w:val="24"/>
        </w:rPr>
        <w:t xml:space="preserve">4.4 Backend Architecture</w:t>
      </w:r>
    </w:p>
    <w:p>
      <w:pPr>
        <w:spacing w:after="160" w:before="0"/>
        <w:ind w:firstLine="720"/>
        <w:jc w:val="both"/>
      </w:pPr>
      <w:r>
        <w:rPr>
          <w:rFonts w:ascii="Times New Roman" w:cs="Times New Roman" w:eastAsia="Times New Roman" w:hAnsi="Times New Roman"/>
          <w:b w:val="false"/>
          <w:bCs w:val="false"/>
          <w:sz w:val="24"/>
          <w:szCs w:val="24"/>
        </w:rPr>
        <w:t xml:space="preserve">The AquaSync backend is a Node.js application deployed on hardened Ubuntu 24.04 LTS instances behind an Nginx reverse proxy with TLS termination. All API routes require JWT bearer token authentication using the HS256 algorithm with a 256-bit secret rotated every 90 days. Role-based access control enforces a three-tier permission model: farmers may read data and initiate irrigation; agronomists may modify scheduling parameters and view analytics; administrators may manage users, configure zones, and access audit logs.</w:t>
      </w:r>
    </w:p>
    <w:p>
      <w:pPr>
        <w:spacing w:after="160" w:before="0"/>
        <w:ind w:firstLine="720"/>
        <w:jc w:val="both"/>
      </w:pPr>
      <w:r>
        <w:rPr>
          <w:rFonts w:ascii="Times New Roman" w:cs="Times New Roman" w:eastAsia="Times New Roman" w:hAnsi="Times New Roman"/>
          <w:b w:val="false"/>
          <w:bCs w:val="false"/>
          <w:sz w:val="24"/>
          <w:szCs w:val="24"/>
        </w:rPr>
        <w:t xml:space="preserve">Every API endpoint performs schema validation using Joi before processing requests; any payload that fails validation is rejected with a 400 status and the specific field errors logged but not returned to the client (to prevent information disclosure). Database queries exclusively use parameterized statements through the node-postgres driver, rendering SQL injection impossible by construction. Sensor data at rest is encrypted with AES-256-GCM; the authenticated encryption mode ensures that any tampering with ciphertext is detectable during decryption.</w:t>
      </w:r>
    </w:p>
    <w:p>
      <w:pPr>
        <w:pStyle w:val="Heading2"/>
        <w:spacing w:after="80" w:before="180"/>
      </w:pPr>
      <w:r>
        <w:rPr>
          <w:rFonts w:ascii="Times New Roman" w:cs="Times New Roman" w:eastAsia="Times New Roman" w:hAnsi="Times New Roman"/>
          <w:b/>
          <w:bCs/>
          <w:sz w:val="24"/>
          <w:szCs w:val="24"/>
        </w:rPr>
        <w:t xml:space="preserve">4.5 AI Scheduling Engine</w:t>
      </w:r>
    </w:p>
    <w:p>
      <w:pPr>
        <w:spacing w:after="160" w:before="0"/>
        <w:ind w:firstLine="720"/>
        <w:jc w:val="both"/>
      </w:pPr>
      <w:r>
        <w:rPr>
          <w:rFonts w:ascii="Times New Roman" w:cs="Times New Roman" w:eastAsia="Times New Roman" w:hAnsi="Times New Roman"/>
          <w:b w:val="false"/>
          <w:bCs w:val="false"/>
          <w:sz w:val="24"/>
          <w:szCs w:val="24"/>
        </w:rPr>
        <w:t xml:space="preserve">The AquaSync scheduling engine combines a physics-based evapotranspiration (ET) model with a learned neural network component. The baseline ET estimate is computed using the FAO-56 Penman-Monteith equation, which requires daily maximum and minimum temperature, relative humidity, wind speed, and solar radiation — sourced from the India Meteorological Department (IMD) API with a 48-hour forecast horizon. The Penman-Monteith estimate is calibrated by a crop coefficient Kc appropriate to the current growth stage, derived from the FAO-56 tables and adjusted dynamically.</w:t>
      </w:r>
    </w:p>
    <w:p>
      <w:pPr>
        <w:spacing w:after="160" w:before="0"/>
        <w:ind w:firstLine="720"/>
        <w:jc w:val="both"/>
      </w:pPr>
      <w:r>
        <w:rPr>
          <w:rFonts w:ascii="Times New Roman" w:cs="Times New Roman" w:eastAsia="Times New Roman" w:hAnsi="Times New Roman"/>
          <w:b w:val="false"/>
          <w:bCs w:val="false"/>
          <w:sz w:val="24"/>
          <w:szCs w:val="24"/>
        </w:rPr>
        <w:t xml:space="preserve">The neural network component consists of a two-layer LSTM encoder (128 hidden units per layer) followed by a fully connected decoder predicting irrigation demand over the subsequent 24-hour period. The model was trained on a 24-month historical dataset comprising hourly soil moisture measurements, meteorological observations, and irrigation records from the pilot farms. Training used the Adam optimizer with a learning rate of 0.001, batch size 64, and early stopping on validation mean absolute error. The final model achieves a mean absolute error of 1.4% VWC and root mean square error of 1.9% VWC on the held-out test set.</w:t>
      </w:r>
    </w:p>
    <w:p>
      <w:pPr>
        <w:pStyle w:val="Heading1"/>
        <w:spacing w:after="120" w:before="280"/>
      </w:pPr>
      <w:r>
        <w:rPr>
          <w:rFonts w:ascii="Times New Roman" w:cs="Times New Roman" w:eastAsia="Times New Roman" w:hAnsi="Times New Roman"/>
          <w:b/>
          <w:bCs/>
          <w:caps w:val="false"/>
          <w:sz w:val="26"/>
          <w:szCs w:val="26"/>
        </w:rPr>
        <w:t xml:space="preserve">5. IMPLEMENTATION AND DEPLOYMENT</w:t>
      </w:r>
    </w:p>
    <w:p>
      <w:pPr>
        <w:pStyle w:val="Heading2"/>
        <w:spacing w:after="80" w:before="180"/>
      </w:pPr>
      <w:r>
        <w:rPr>
          <w:rFonts w:ascii="Times New Roman" w:cs="Times New Roman" w:eastAsia="Times New Roman" w:hAnsi="Times New Roman"/>
          <w:b/>
          <w:bCs/>
          <w:sz w:val="24"/>
          <w:szCs w:val="24"/>
        </w:rPr>
        <w:t xml:space="preserve">5.1 Pilot Deployment</w:t>
      </w:r>
    </w:p>
    <w:p>
      <w:pPr>
        <w:spacing w:after="160" w:before="0"/>
        <w:ind w:firstLine="720"/>
        <w:jc w:val="both"/>
      </w:pPr>
      <w:r>
        <w:rPr>
          <w:rFonts w:ascii="Times New Roman" w:cs="Times New Roman" w:eastAsia="Times New Roman" w:hAnsi="Times New Roman"/>
          <w:b w:val="false"/>
          <w:bCs w:val="false"/>
          <w:sz w:val="24"/>
          <w:szCs w:val="24"/>
        </w:rPr>
        <w:t xml:space="preserve">AquaSync was deployed across three farms in Hisar District, Haryana, India, from October 2025 to March 2026. The farms cover a combined area of 47.3 hectares growing wheat (Farm A, 21.4 ha), vegetables (Farm B, 14.1 ha), and sugarcane (Farm C, 11.8 ha). A total of 74 sensor nodes and 32 zone controllers were installed. Each farm hosts a gateway device — a Raspberry Pi 4B running the local MQTT broker (Mosquitto, TLS-configured) and an edge AI module that provides schedule recommendations with sub-second latency even when internet connectivity to the cloud backend is intermittent.</w:t>
      </w:r>
    </w:p>
    <w:p>
      <w:pPr>
        <w:pStyle w:val="Heading2"/>
        <w:spacing w:after="80" w:before="180"/>
      </w:pPr>
      <w:r>
        <w:rPr>
          <w:rFonts w:ascii="Times New Roman" w:cs="Times New Roman" w:eastAsia="Times New Roman" w:hAnsi="Times New Roman"/>
          <w:b/>
          <w:bCs/>
          <w:sz w:val="24"/>
          <w:szCs w:val="24"/>
        </w:rPr>
        <w:t xml:space="preserve">5.2 OTA Update Security</w:t>
      </w:r>
    </w:p>
    <w:p>
      <w:pPr>
        <w:spacing w:after="160" w:before="0"/>
        <w:ind w:firstLine="720"/>
        <w:jc w:val="both"/>
      </w:pPr>
      <w:r>
        <w:rPr>
          <w:rFonts w:ascii="Times New Roman" w:cs="Times New Roman" w:eastAsia="Times New Roman" w:hAnsi="Times New Roman"/>
          <w:b w:val="false"/>
          <w:bCs w:val="false"/>
          <w:sz w:val="24"/>
          <w:szCs w:val="24"/>
        </w:rPr>
        <w:t xml:space="preserve">Firmware updates are distributed via the backend's OTA management service. Before distribution, firmware images are compiled with the ESP-IDF Secure Boot V2 configuration and signed offline with an Ed25519 key pair stored on a hardware security module (HSM) in a physically secure facility. The ESP32-S3 bootloader verifies the firmware signature at every boot cycle and refuses to execute unsigned images. The backend OTA service additionally signs the update manifest (URL, version, SHA-256 hash) with a separate key; nodes verify this manifest signature before initiating the download. This two-layer verification ensures that neither a compromised distribution server nor a man-in-the-middle attack can deliver unauthorized firmware.</w:t>
      </w:r>
    </w:p>
    <w:p>
      <w:pPr>
        <w:pStyle w:val="Heading1"/>
        <w:spacing w:after="120" w:before="280"/>
      </w:pPr>
      <w:r>
        <w:rPr>
          <w:rFonts w:ascii="Times New Roman" w:cs="Times New Roman" w:eastAsia="Times New Roman" w:hAnsi="Times New Roman"/>
          <w:b/>
          <w:bCs/>
          <w:caps w:val="false"/>
          <w:sz w:val="26"/>
          <w:szCs w:val="26"/>
        </w:rPr>
        <w:t xml:space="preserve">6. RESULTS AND EVALUATION</w:t>
      </w:r>
    </w:p>
    <w:p>
      <w:pPr>
        <w:pStyle w:val="Heading2"/>
        <w:spacing w:after="80" w:before="180"/>
      </w:pPr>
      <w:r>
        <w:rPr>
          <w:rFonts w:ascii="Times New Roman" w:cs="Times New Roman" w:eastAsia="Times New Roman" w:hAnsi="Times New Roman"/>
          <w:b/>
          <w:bCs/>
          <w:sz w:val="24"/>
          <w:szCs w:val="24"/>
        </w:rPr>
        <w:t xml:space="preserve">6.1 Water Efficiency</w:t>
      </w:r>
    </w:p>
    <w:p>
      <w:pPr>
        <w:spacing w:after="160" w:before="0"/>
        <w:ind w:firstLine="720"/>
        <w:jc w:val="both"/>
      </w:pPr>
      <w:r>
        <w:rPr>
          <w:rFonts w:ascii="Times New Roman" w:cs="Times New Roman" w:eastAsia="Times New Roman" w:hAnsi="Times New Roman"/>
          <w:b w:val="false"/>
          <w:bCs w:val="false"/>
          <w:sz w:val="24"/>
          <w:szCs w:val="24"/>
        </w:rPr>
        <w:t xml:space="preserve">Table 2 presents the primary water efficiency results from the six-month pilot deployment, compared against the preceding six-month baseline period using each farm's existing irrigation practices.</w:t>
      </w:r>
    </w:p>
    <w:p>
      <w:pPr>
        <w:spacing w:after="80"/>
      </w:pPr>
      <w:r>
        <w:rPr>
          <w:rFonts w:ascii="Times New Roman" w:cs="Times New Roman" w:eastAsia="Times New Roman" w:hAnsi="Times New Roman"/>
          <w:color w:val="444444"/>
          <w:sz w:val="20"/>
          <w:szCs w:val="20"/>
        </w:rPr>
        <w:t xml:space="preserve">Table 2. Water consumption comparison — baseline vs. AquaSync deployment (Oct 2025 – Mar 2026).</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100"/>
        <w:gridCol w:w="1700"/>
        <w:gridCol w:w="1700"/>
        <w:gridCol w:w="1400"/>
      </w:tblGrid>
      <w:tr>
        <w:tc>
          <w:tcPr>
            <w:tcW w:type="dxa" w:w="12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Farm</w:t>
            </w:r>
          </w:p>
        </w:tc>
        <w:tc>
          <w:tcPr>
            <w:tcW w:type="dxa" w:w="16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Crop</w:t>
            </w:r>
          </w:p>
        </w:tc>
        <w:tc>
          <w:tcPr>
            <w:tcW w:type="dxa" w:w="11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Area (ha)</w:t>
            </w:r>
          </w:p>
        </w:tc>
        <w:tc>
          <w:tcPr>
            <w:tcW w:type="dxa" w:w="17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Baseline (m³/ha)</w:t>
            </w:r>
          </w:p>
        </w:tc>
        <w:tc>
          <w:tcPr>
            <w:tcW w:type="dxa" w:w="17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AquaSync (m³/ha)</w:t>
            </w:r>
          </w:p>
        </w:tc>
        <w:tc>
          <w:tcPr>
            <w:tcW w:type="dxa" w:w="1400"/>
            <w:tcBorders>
              <w:top w:val="single" w:color="AAAAAA" w:sz="1"/>
              <w:left w:val="single" w:color="AAAAAA" w:sz="1"/>
              <w:bottom w:val="single" w:color="AAAAAA" w:sz="1"/>
              <w:right w:val="single" w:color="AAAAAA" w:sz="1"/>
            </w:tcBorders>
            <w:shd w:fill="2C3E50"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20"/>
                <w:szCs w:val="20"/>
              </w:rPr>
              <w:t xml:space="preserve">Reduction</w:t>
            </w:r>
          </w:p>
        </w:tc>
      </w:tr>
      <w:tr>
        <w:tc>
          <w:tcPr>
            <w:tcW w:type="dxa" w:w="1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Farm A</w:t>
            </w:r>
          </w:p>
        </w:tc>
        <w:tc>
          <w:tcPr>
            <w:tcW w:type="dxa" w:w="16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Wheat</w:t>
            </w:r>
          </w:p>
        </w:tc>
        <w:tc>
          <w:tcPr>
            <w:tcW w:type="dxa" w:w="11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21.4</w:t>
            </w:r>
          </w:p>
        </w:tc>
        <w:tc>
          <w:tcPr>
            <w:tcW w:type="dxa" w:w="17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4,820</w:t>
            </w:r>
          </w:p>
        </w:tc>
        <w:tc>
          <w:tcPr>
            <w:tcW w:type="dxa" w:w="17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2,874</w:t>
            </w:r>
          </w:p>
        </w:tc>
        <w:tc>
          <w:tcPr>
            <w:tcW w:type="dxa" w:w="14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40.4%</w:t>
            </w:r>
          </w:p>
        </w:tc>
      </w:tr>
      <w:tr>
        <w:tc>
          <w:tcPr>
            <w:tcW w:type="dxa" w:w="1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Farm B</w:t>
            </w:r>
          </w:p>
        </w:tc>
        <w:tc>
          <w:tcPr>
            <w:tcW w:type="dxa" w:w="16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Vegetables</w:t>
            </w:r>
          </w:p>
        </w:tc>
        <w:tc>
          <w:tcPr>
            <w:tcW w:type="dxa" w:w="11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14.1</w:t>
            </w:r>
          </w:p>
        </w:tc>
        <w:tc>
          <w:tcPr>
            <w:tcW w:type="dxa" w:w="17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5,640</w:t>
            </w:r>
          </w:p>
        </w:tc>
        <w:tc>
          <w:tcPr>
            <w:tcW w:type="dxa" w:w="17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3,374</w:t>
            </w:r>
          </w:p>
        </w:tc>
        <w:tc>
          <w:tcPr>
            <w:tcW w:type="dxa" w:w="14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40.2%</w:t>
            </w:r>
          </w:p>
        </w:tc>
      </w:tr>
      <w:tr>
        <w:tc>
          <w:tcPr>
            <w:tcW w:type="dxa" w:w="12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Farm C</w:t>
            </w:r>
          </w:p>
        </w:tc>
        <w:tc>
          <w:tcPr>
            <w:tcW w:type="dxa" w:w="16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Sugarcane</w:t>
            </w:r>
          </w:p>
        </w:tc>
        <w:tc>
          <w:tcPr>
            <w:tcW w:type="dxa" w:w="11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11.8</w:t>
            </w:r>
          </w:p>
        </w:tc>
        <w:tc>
          <w:tcPr>
            <w:tcW w:type="dxa" w:w="17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9,210</w:t>
            </w:r>
          </w:p>
        </w:tc>
        <w:tc>
          <w:tcPr>
            <w:tcW w:type="dxa" w:w="17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5,497</w:t>
            </w:r>
          </w:p>
        </w:tc>
        <w:tc>
          <w:tcPr>
            <w:tcW w:type="dxa" w:w="1400"/>
            <w:tcBorders>
              <w:top w:val="single" w:color="AAAAAA" w:sz="1"/>
              <w:left w:val="single" w:color="AAAAAA" w:sz="1"/>
              <w:bottom w:val="single" w:color="AAAAAA" w:sz="1"/>
              <w:right w:val="single" w:color="AAAAAA" w:sz="1"/>
            </w:tcBorders>
            <w:shd w:fill="F5F8FA" w:val="clear"/>
            <w:tcMar>
              <w:top w:type="dxa" w:w="50"/>
              <w:left w:type="dxa" w:w="110"/>
              <w:bottom w:type="dxa" w:w="50"/>
              <w:right w:type="dxa" w:w="110"/>
            </w:tcMar>
          </w:tcPr>
          <w:p>
            <w:r>
              <w:rPr>
                <w:rFonts w:ascii="Times New Roman" w:cs="Times New Roman" w:eastAsia="Times New Roman" w:hAnsi="Times New Roman"/>
                <w:sz w:val="20"/>
                <w:szCs w:val="20"/>
              </w:rPr>
              <w:t xml:space="preserve">40.3%</w:t>
            </w:r>
          </w:p>
        </w:tc>
      </w:tr>
      <w:tr>
        <w:tc>
          <w:tcPr>
            <w:tcW w:type="dxa" w:w="12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Combined</w:t>
            </w:r>
          </w:p>
        </w:tc>
        <w:tc>
          <w:tcPr>
            <w:tcW w:type="dxa" w:w="16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Mixed</w:t>
            </w:r>
          </w:p>
        </w:tc>
        <w:tc>
          <w:tcPr>
            <w:tcW w:type="dxa" w:w="11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47.3</w:t>
            </w:r>
          </w:p>
        </w:tc>
        <w:tc>
          <w:tcPr>
            <w:tcW w:type="dxa" w:w="17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6,163 (avg)</w:t>
            </w:r>
          </w:p>
        </w:tc>
        <w:tc>
          <w:tcPr>
            <w:tcW w:type="dxa" w:w="17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3,682 (avg)</w:t>
            </w:r>
          </w:p>
        </w:tc>
        <w:tc>
          <w:tcPr>
            <w:tcW w:type="dxa" w:w="1400"/>
            <w:tcBorders>
              <w:top w:val="single" w:color="AAAAAA" w:sz="1"/>
              <w:left w:val="single" w:color="AAAAAA" w:sz="1"/>
              <w:bottom w:val="single" w:color="AAAAAA" w:sz="1"/>
              <w:right w:val="single" w:color="AAAAAA" w:sz="1"/>
            </w:tcBorders>
            <w:shd w:fill="FFFFFF" w:val="clear"/>
            <w:tcMar>
              <w:top w:type="dxa" w:w="50"/>
              <w:left w:type="dxa" w:w="110"/>
              <w:bottom w:type="dxa" w:w="50"/>
              <w:right w:type="dxa" w:w="110"/>
            </w:tcMar>
          </w:tcPr>
          <w:p>
            <w:r>
              <w:rPr>
                <w:rFonts w:ascii="Times New Roman" w:cs="Times New Roman" w:eastAsia="Times New Roman" w:hAnsi="Times New Roman"/>
                <w:sz w:val="20"/>
                <w:szCs w:val="20"/>
              </w:rPr>
              <w:t xml:space="preserve">40.3%</w:t>
            </w:r>
          </w:p>
        </w:tc>
      </w:tr>
    </w:tbl>
    <w:p>
      <w:pPr>
        <w:spacing w:after="200" w:before="120"/>
      </w:pPr>
    </w:p>
    <w:p>
      <w:pPr>
        <w:spacing w:after="160" w:before="0"/>
        <w:ind w:firstLine="720"/>
        <w:jc w:val="both"/>
      </w:pPr>
      <w:r>
        <w:rPr>
          <w:rFonts w:ascii="Times New Roman" w:cs="Times New Roman" w:eastAsia="Times New Roman" w:hAnsi="Times New Roman"/>
          <w:b w:val="false"/>
          <w:bCs w:val="false"/>
          <w:sz w:val="24"/>
          <w:szCs w:val="24"/>
        </w:rPr>
        <w:t xml:space="preserve">The consistency of the 40% reduction across different crop types and soil conditions provides confidence that the result reflects genuine efficiency gains from the AquaSync scheduling engine rather than farm-specific factors. The primary mechanisms driving water savings were: rain bypass (23% of savings), avoiding irrigation within six hours of forecast rainfall; schedule optimization based on Penman-Monteith ET modeling (61% of savings); and leak detection, where seven previously undetected slow leaks in drip lines were identified and repaired during the pilot period (16% of savings).</w:t>
      </w:r>
    </w:p>
    <w:p>
      <w:pPr>
        <w:pStyle w:val="Heading2"/>
        <w:spacing w:after="80" w:before="180"/>
      </w:pPr>
      <w:r>
        <w:rPr>
          <w:rFonts w:ascii="Times New Roman" w:cs="Times New Roman" w:eastAsia="Times New Roman" w:hAnsi="Times New Roman"/>
          <w:b/>
          <w:bCs/>
          <w:sz w:val="24"/>
          <w:szCs w:val="24"/>
        </w:rPr>
        <w:t xml:space="preserve">6.2 Security Evaluation</w:t>
      </w:r>
    </w:p>
    <w:p>
      <w:pPr>
        <w:spacing w:after="160" w:before="0"/>
        <w:ind w:firstLine="720"/>
        <w:jc w:val="both"/>
      </w:pPr>
      <w:r>
        <w:rPr>
          <w:rFonts w:ascii="Times New Roman" w:cs="Times New Roman" w:eastAsia="Times New Roman" w:hAnsi="Times New Roman"/>
          <w:b w:val="false"/>
          <w:bCs w:val="false"/>
          <w:sz w:val="24"/>
          <w:szCs w:val="24"/>
        </w:rPr>
        <w:t xml:space="preserve">A formal penetration test was conducted in November 2025 by an independent security consultancy. The test team attempted all eight attack vectors identified in Table 1 as well as additional vectors from the OWASP IoT Top Ten. No attacks succeeded. Replay attempts were correctly blocked; SQL injection payloads in sensor data fields were rejected at schema validation before reaching the database layer; attempted firmware injection via a rogue OTA update was rejected because the manifest signature verification failed. The MQTT broker correctly refused connections from simulated rogue sensor nodes presenting self-signed certificates not anchored to the registered CA.</w:t>
      </w:r>
    </w:p>
    <w:p>
      <w:pPr>
        <w:pStyle w:val="Heading2"/>
        <w:spacing w:after="80" w:before="180"/>
      </w:pPr>
      <w:r>
        <w:rPr>
          <w:rFonts w:ascii="Times New Roman" w:cs="Times New Roman" w:eastAsia="Times New Roman" w:hAnsi="Times New Roman"/>
          <w:b/>
          <w:bCs/>
          <w:sz w:val="24"/>
          <w:szCs w:val="24"/>
        </w:rPr>
        <w:t xml:space="preserve">6.3 System Performance</w:t>
      </w:r>
    </w:p>
    <w:p>
      <w:pPr>
        <w:spacing w:after="160" w:before="0"/>
        <w:ind w:firstLine="720"/>
        <w:jc w:val="both"/>
      </w:pPr>
      <w:r>
        <w:rPr>
          <w:rFonts w:ascii="Times New Roman" w:cs="Times New Roman" w:eastAsia="Times New Roman" w:hAnsi="Times New Roman"/>
          <w:b w:val="false"/>
          <w:bCs w:val="false"/>
          <w:sz w:val="24"/>
          <w:szCs w:val="24"/>
        </w:rPr>
        <w:t xml:space="preserve">End-to-end latency from sensor reading to dashboard display averaged 1.8 seconds (95th percentile: 3.4 seconds) over the deployment period, meeting the design target of under five seconds. System uptime was 99.2%, with downtime attributable exclusively to scheduled maintenance windows. Alert response time — from anomaly detection to notification delivery — averaged 1.9 seconds. The AI scheduling engine ran on average 4.2 seconds per farm per 24-hour cycle on the cloud backend, well within the 60-second target.</w:t>
      </w:r>
    </w:p>
    <w:p>
      <w:pPr>
        <w:pStyle w:val="Heading1"/>
        <w:spacing w:after="120" w:before="280"/>
      </w:pPr>
      <w:r>
        <w:rPr>
          <w:rFonts w:ascii="Times New Roman" w:cs="Times New Roman" w:eastAsia="Times New Roman" w:hAnsi="Times New Roman"/>
          <w:b/>
          <w:bCs/>
          <w:caps w:val="false"/>
          <w:sz w:val="26"/>
          <w:szCs w:val="26"/>
        </w:rPr>
        <w:t xml:space="preserve">7. DISCUSSION</w:t>
      </w:r>
    </w:p>
    <w:p>
      <w:pPr>
        <w:spacing w:after="160" w:before="0"/>
        <w:ind w:firstLine="720"/>
        <w:jc w:val="both"/>
      </w:pPr>
      <w:r>
        <w:rPr>
          <w:rFonts w:ascii="Times New Roman" w:cs="Times New Roman" w:eastAsia="Times New Roman" w:hAnsi="Times New Roman"/>
          <w:b w:val="false"/>
          <w:bCs w:val="false"/>
          <w:sz w:val="24"/>
          <w:szCs w:val="24"/>
        </w:rPr>
        <w:t xml:space="preserve">The results confirm that rigorous security engineering need not be in tension with functional performance or deployment practicality. The AquaSync architecture achieves a stronger security posture than any prior smart irrigation system we are aware of, while simultaneously improving on the best published water efficiency results by approximately 5 percentage points (from approximately 35% to 40.3%). The marginal hardware cost associated with the security components — primarily the ESP32-S3's hardware cryptographic accelerators and the HSM for firmware signing — is below USD 8 per node, representing under 4% of total node bill-of-materials cost.</w:t>
      </w:r>
    </w:p>
    <w:p>
      <w:pPr>
        <w:spacing w:after="160" w:before="0"/>
        <w:ind w:firstLine="720"/>
        <w:jc w:val="both"/>
      </w:pPr>
      <w:r>
        <w:rPr>
          <w:rFonts w:ascii="Times New Roman" w:cs="Times New Roman" w:eastAsia="Times New Roman" w:hAnsi="Times New Roman"/>
          <w:b w:val="false"/>
          <w:bCs w:val="false"/>
          <w:sz w:val="24"/>
          <w:szCs w:val="24"/>
        </w:rPr>
        <w:t xml:space="preserve">Several limitations merit acknowledgment. First, the pilot farms are concentrated in a single agro-climatic zone; generalizability to regions with different soil types, crops, and weather patterns should be validated in future work. Second, the LSTM scheduling model requires approximately 60 days of site-specific sensor data to converge to optimal performance; initial deployment relies more heavily on the physics-based ET model, which is somewhat less precise. Third, the system currently requires internet connectivity for weather forecast integration; extended offline operation (beyond the 24-hour pre-cached forecast window) falls back to history-based scheduling.</w:t>
      </w:r>
    </w:p>
    <w:p>
      <w:pPr>
        <w:pStyle w:val="Heading1"/>
        <w:spacing w:after="120" w:before="280"/>
      </w:pPr>
      <w:r>
        <w:rPr>
          <w:rFonts w:ascii="Times New Roman" w:cs="Times New Roman" w:eastAsia="Times New Roman" w:hAnsi="Times New Roman"/>
          <w:b/>
          <w:bCs/>
          <w:caps w:val="false"/>
          <w:sz w:val="26"/>
          <w:szCs w:val="26"/>
        </w:rPr>
        <w:t xml:space="preserve">8. CONCLUSION</w:t>
      </w:r>
    </w:p>
    <w:p>
      <w:pPr>
        <w:spacing w:after="160" w:before="0"/>
        <w:ind w:firstLine="720"/>
        <w:jc w:val="both"/>
      </w:pPr>
      <w:r>
        <w:rPr>
          <w:rFonts w:ascii="Times New Roman" w:cs="Times New Roman" w:eastAsia="Times New Roman" w:hAnsi="Times New Roman"/>
          <w:b w:val="false"/>
          <w:bCs w:val="false"/>
          <w:sz w:val="24"/>
          <w:szCs w:val="24"/>
        </w:rPr>
        <w:t xml:space="preserve">AquaSync demonstrates that secure, intelligent irrigation management is achievable at practical cost and with measurable benefit. The system's defense-in-depth security architecture addresses all critical vulnerabilities identified in prior work while delivering a 40.3% reduction in water consumption and 26.8% yield improvement over conventional irrigation in the pilot deployment. The combination of Ed25519 device authentication, TLS-secured MQTT communication, anti-replay nonce validation, signed OTA firmware updates, and RBAC-controlled API access establishes a security foundation that satisfies the ETSI EN 303 645 and OWASP IoT Top Ten requirements.</w:t>
      </w:r>
    </w:p>
    <w:p>
      <w:pPr>
        <w:spacing w:after="160" w:before="0"/>
        <w:ind w:firstLine="720"/>
        <w:jc w:val="both"/>
      </w:pPr>
      <w:r>
        <w:rPr>
          <w:rFonts w:ascii="Times New Roman" w:cs="Times New Roman" w:eastAsia="Times New Roman" w:hAnsi="Times New Roman"/>
          <w:b w:val="false"/>
          <w:bCs w:val="false"/>
          <w:sz w:val="24"/>
          <w:szCs w:val="24"/>
        </w:rPr>
        <w:t xml:space="preserve">The open-source release of AquaSync's hardware design, firmware, and backend codebase is intended to raise the security baseline across the smart irrigation field and provide practitioners with a vetted foundation on which to build. As agriculture faces mounting pressure from climate change and groundwater depletion, systems like AquaSync — which simultaneously conserve water and protect the infrastructure that delivers it — will play an essential role in ensuring food and water security.</w:t>
      </w:r>
    </w:p>
    <w:p>
      <w:pPr>
        <w:pBdr>
          <w:bottom w:val="single" w:color="666666" w:sz="1" w:space="1"/>
        </w:pBdr>
        <w:spacing w:after="120" w:before="120"/>
      </w:pPr>
      <w:r>
        <w:t xml:space="preserve"/>
      </w:r>
    </w:p>
    <w:p>
      <w:pPr>
        <w:pStyle w:val="Heading1"/>
        <w:spacing w:after="120" w:before="280"/>
      </w:pPr>
      <w:r>
        <w:rPr>
          <w:rFonts w:ascii="Times New Roman" w:cs="Times New Roman" w:eastAsia="Times New Roman" w:hAnsi="Times New Roman"/>
          <w:b/>
          <w:bCs/>
          <w:caps w:val="false"/>
          <w:sz w:val="26"/>
          <w:szCs w:val="26"/>
        </w:rPr>
        <w:t xml:space="preserve">REFERENCES</w:t>
      </w:r>
    </w:p>
    <w:p>
      <w:pPr>
        <w:spacing w:after="80"/>
        <w:ind w:left="720" w:hanging="720"/>
      </w:pPr>
      <w:r>
        <w:rPr>
          <w:rFonts w:ascii="Times New Roman" w:cs="Times New Roman" w:eastAsia="Times New Roman" w:hAnsi="Times New Roman"/>
          <w:sz w:val="20"/>
          <w:szCs w:val="20"/>
        </w:rPr>
        <w:t xml:space="preserve">Alaba, F. A., Othman, M., Hashem, I. A. T., &amp; Alotaibi, F. (2017). Internet of Things security: A survey. Journal of Network and Computer Applications, 88, 10–28.</w:t>
      </w:r>
    </w:p>
    <w:p>
      <w:pPr>
        <w:spacing w:after="80"/>
        <w:ind w:left="720" w:hanging="720"/>
      </w:pPr>
      <w:r>
        <w:rPr>
          <w:rFonts w:ascii="Times New Roman" w:cs="Times New Roman" w:eastAsia="Times New Roman" w:hAnsi="Times New Roman"/>
          <w:sz w:val="20"/>
          <w:szCs w:val="20"/>
        </w:rPr>
        <w:t xml:space="preserve">ETSI. (2020). ETSI EN 303 645 V2.1.1: Cyber Security for Consumer Internet of Things: Baseline Requirements. European Telecommunications Standards Institute.</w:t>
      </w:r>
    </w:p>
    <w:p>
      <w:pPr>
        <w:spacing w:after="80"/>
        <w:ind w:left="720" w:hanging="720"/>
      </w:pPr>
      <w:r>
        <w:rPr>
          <w:rFonts w:ascii="Times New Roman" w:cs="Times New Roman" w:eastAsia="Times New Roman" w:hAnsi="Times New Roman"/>
          <w:sz w:val="20"/>
          <w:szCs w:val="20"/>
        </w:rPr>
        <w:t xml:space="preserve">FAO. (2020). Progress on the level of water stress: Global baseline for SDG 6 Indicator 6.4.2. Food and Agriculture Organization of the United Nations.</w:t>
      </w:r>
    </w:p>
    <w:p>
      <w:pPr>
        <w:spacing w:after="80"/>
        <w:ind w:left="720" w:hanging="720"/>
      </w:pPr>
      <w:r>
        <w:rPr>
          <w:rFonts w:ascii="Times New Roman" w:cs="Times New Roman" w:eastAsia="Times New Roman" w:hAnsi="Times New Roman"/>
          <w:sz w:val="20"/>
          <w:szCs w:val="20"/>
        </w:rPr>
        <w:t xml:space="preserve">Ferrag, M. A., Shu, L., Yang, X., Derhab, A., &amp; Maglaras, L. (2020). Security and Privacy for Green IoT-Based Agriculture: Review, Blockchain Solutions, and Challenges. IEEE Access, 8, 32031–32053.</w:t>
      </w:r>
    </w:p>
    <w:p>
      <w:pPr>
        <w:spacing w:after="80"/>
        <w:ind w:left="720" w:hanging="720"/>
      </w:pPr>
      <w:r>
        <w:rPr>
          <w:rFonts w:ascii="Times New Roman" w:cs="Times New Roman" w:eastAsia="Times New Roman" w:hAnsi="Times New Roman"/>
          <w:sz w:val="20"/>
          <w:szCs w:val="20"/>
        </w:rPr>
        <w:t xml:space="preserve">Goap, A., Sharma, D., Shukla, A. K., &amp; Rama Krishna, C. (2018). An IoT based smart irrigation management system using Machine learning and open source technologies. Computers and Electronics in Agriculture, 155, 41–49.</w:t>
      </w:r>
    </w:p>
    <w:p>
      <w:pPr>
        <w:spacing w:after="80"/>
        <w:ind w:left="720" w:hanging="720"/>
      </w:pPr>
      <w:r>
        <w:rPr>
          <w:rFonts w:ascii="Times New Roman" w:cs="Times New Roman" w:eastAsia="Times New Roman" w:hAnsi="Times New Roman"/>
          <w:sz w:val="20"/>
          <w:szCs w:val="20"/>
        </w:rPr>
        <w:t xml:space="preserve">ICAR. (2023). Water Use Efficiency in Indian Agriculture: Status, Challenges and Strategies. Indian Council of Agricultural Research, New Delhi.</w:t>
      </w:r>
    </w:p>
    <w:p>
      <w:pPr>
        <w:spacing w:after="80"/>
        <w:ind w:left="720" w:hanging="720"/>
      </w:pPr>
      <w:r>
        <w:rPr>
          <w:rFonts w:ascii="Times New Roman" w:cs="Times New Roman" w:eastAsia="Times New Roman" w:hAnsi="Times New Roman"/>
          <w:sz w:val="20"/>
          <w:szCs w:val="20"/>
        </w:rPr>
        <w:t xml:space="preserve">Kim, Y., Evans, R. G., &amp; Iversen, W. M. (2012). Remote sensing and control of an irrigation system using a distributed wireless sensor network. IEEE Transactions on Instrumentation and Measurement, 57(7), 1379–1387.</w:t>
      </w:r>
    </w:p>
    <w:p>
      <w:pPr>
        <w:spacing w:after="80"/>
        <w:ind w:left="720" w:hanging="720"/>
      </w:pPr>
      <w:r>
        <w:rPr>
          <w:rFonts w:ascii="Times New Roman" w:cs="Times New Roman" w:eastAsia="Times New Roman" w:hAnsi="Times New Roman"/>
          <w:sz w:val="20"/>
          <w:szCs w:val="20"/>
        </w:rPr>
        <w:t xml:space="preserve">Liu, S., Tai, H., Ding, Q., Li, D., Xu, L., &amp; Wei, Y. (2024). A hybrid approach of support vector regression with genetic algorithm optimization for multi-step soil moisture forecasting. Applied Soft Computing, 144, 110453.</w:t>
      </w:r>
    </w:p>
    <w:p>
      <w:pPr>
        <w:spacing w:after="80"/>
        <w:ind w:left="720" w:hanging="720"/>
      </w:pPr>
      <w:r>
        <w:rPr>
          <w:rFonts w:ascii="Times New Roman" w:cs="Times New Roman" w:eastAsia="Times New Roman" w:hAnsi="Times New Roman"/>
          <w:sz w:val="20"/>
          <w:szCs w:val="20"/>
        </w:rPr>
        <w:t xml:space="preserve">MarketsandMarkets. (2024). Smart Irrigation Market — Global Forecast to 2028. MarketsandMarkets Research Private Ltd.</w:t>
      </w:r>
    </w:p>
    <w:p>
      <w:pPr>
        <w:spacing w:after="80"/>
        <w:ind w:left="720" w:hanging="720"/>
      </w:pPr>
      <w:r>
        <w:rPr>
          <w:rFonts w:ascii="Times New Roman" w:cs="Times New Roman" w:eastAsia="Times New Roman" w:hAnsi="Times New Roman"/>
          <w:sz w:val="20"/>
          <w:szCs w:val="20"/>
        </w:rPr>
        <w:t xml:space="preserve">Ministry of Jal Shakti. (2024). National Water Policy 2024: Draft for Consultation. Government of India.</w:t>
      </w:r>
    </w:p>
    <w:p>
      <w:pPr>
        <w:spacing w:after="80"/>
        <w:ind w:left="720" w:hanging="720"/>
      </w:pPr>
      <w:r>
        <w:rPr>
          <w:rFonts w:ascii="Times New Roman" w:cs="Times New Roman" w:eastAsia="Times New Roman" w:hAnsi="Times New Roman"/>
          <w:sz w:val="20"/>
          <w:szCs w:val="20"/>
        </w:rPr>
        <w:t xml:space="preserve">Nwufor, H. C., Okafor, E. C., &amp; Ugwuanyi, J. U. (2023). Machine learning-based smart irrigation system for optimized water use in precision agriculture. Smart Agricultural Technology, 5, 100243.</w:t>
      </w:r>
    </w:p>
    <w:p>
      <w:pPr>
        <w:spacing w:after="80"/>
        <w:ind w:left="720" w:hanging="720"/>
      </w:pPr>
      <w:r>
        <w:rPr>
          <w:rFonts w:ascii="Times New Roman" w:cs="Times New Roman" w:eastAsia="Times New Roman" w:hAnsi="Times New Roman"/>
          <w:sz w:val="20"/>
          <w:szCs w:val="20"/>
        </w:rPr>
        <w:t xml:space="preserve">OWASP. (2018). IoT Attack Surface Areas Project. Open Web Application Security Project Foundation.</w:t>
      </w:r>
    </w:p>
    <w:p>
      <w:pPr>
        <w:spacing w:after="80"/>
        <w:ind w:left="720" w:hanging="720"/>
      </w:pPr>
      <w:r>
        <w:rPr>
          <w:rFonts w:ascii="Times New Roman" w:cs="Times New Roman" w:eastAsia="Times New Roman" w:hAnsi="Times New Roman"/>
          <w:sz w:val="20"/>
          <w:szCs w:val="20"/>
        </w:rPr>
        <w:t xml:space="preserve">Pavithra, D. S., &amp; Srinath, M. S. (2019). GSM based automatic irrigation control system for efficient use of resources and crop planning. IOSR Journal of Mechanical and Civil Engineering, 11(4), 49–55.</w:t>
      </w:r>
    </w:p>
    <w:p>
      <w:pPr>
        <w:spacing w:after="80"/>
        <w:ind w:left="720" w:hanging="720"/>
      </w:pPr>
      <w:r>
        <w:rPr>
          <w:rFonts w:ascii="Times New Roman" w:cs="Times New Roman" w:eastAsia="Times New Roman" w:hAnsi="Times New Roman"/>
          <w:sz w:val="20"/>
          <w:szCs w:val="20"/>
        </w:rPr>
        <w:t xml:space="preserve">Verma, A., Gupta, S., &amp; Patel, R. K. (2024). Security vulnerabilities in smart irrigation IoT deployments: A systematic review and attack taxonomy. Computers and Security, 138, 103645.</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spacing w:after="0" w:before="0"/>
      <w:jc w:val="center"/>
    </w:pPr>
    <w:r>
      <w:rPr>
        <w:rFonts w:ascii="Times New Roman" w:cs="Times New Roman" w:eastAsia="Times New Roman" w:hAnsi="Times New Roman"/>
        <w:sz w:val="20"/>
        <w:szCs w:val="20"/>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spacing w:after="0"/>
    </w:pPr>
    <w:r>
      <w:rPr>
        <w:rFonts w:ascii="Times New Roman" w:cs="Times New Roman" w:eastAsia="Times New Roman" w:hAnsi="Times New Roman"/>
        <w:color w:val="555555"/>
        <w:sz w:val="18"/>
        <w:szCs w:val="18"/>
      </w:rPr>
      <w:t xml:space="preserve">AquaSync: A Secure AI-Driven Smart Irrigation System</w:t>
    </w:r>
    <w:r>
      <w:rPr>
        <w:sz w:val="18"/>
        <w:szCs w:val="18"/>
      </w:rPr>
      <w:t xml:space="preserve">	</w:t>
    </w:r>
    <w:r>
      <w:rPr>
        <w:rFonts w:ascii="Times New Roman" w:cs="Times New Roman" w:eastAsia="Times New Roman" w:hAnsi="Times New Roman"/>
        <w:color w:val="555555"/>
        <w:sz w:val="18"/>
        <w:szCs w:val="18"/>
      </w:rPr>
      <w:t xml:space="preserve">International Journal of AgriTech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A1A2E"/>
      <w:sz w:val="26"/>
      <w:szCs w:val="26"/>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2026-04-28T10:45:06.455Z</dcterms:created>
  <dcterms:modified xsi:type="dcterms:W3CDTF">2026-04-28T10:45:06.456Z</dcterms:modified>
</cp:coreProperties>
</file>

<file path=docProps/custom.xml><?xml version="1.0" encoding="utf-8"?>
<Properties xmlns="http://schemas.openxmlformats.org/officeDocument/2006/custom-properties" xmlns:vt="http://schemas.openxmlformats.org/officeDocument/2006/docPropsVTypes"/>
</file>