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Arial" w:cs="Arial" w:eastAsia="Arial" w:hAnsi="Arial"/>
          <w:b/>
          <w:bCs/>
          <w:color w:val="00736A"/>
          <w:sz w:val="36"/>
          <w:szCs w:val="36"/>
        </w:rPr>
        <w:t xml:space="preserve">PROJECT SYNOPSIS</w:t>
      </w:r>
    </w:p>
    <w:p>
      <w:pPr>
        <w:spacing w:after="60" w:before="0"/>
        <w:jc w:val="center"/>
      </w:pPr>
      <w:r>
        <w:rPr>
          <w:rFonts w:ascii="Arial" w:cs="Arial" w:eastAsia="Arial" w:hAnsi="Arial"/>
          <w:b/>
          <w:bCs/>
          <w:color w:val="0D1B2A"/>
          <w:sz w:val="52"/>
          <w:szCs w:val="52"/>
        </w:rPr>
        <w:t xml:space="preserve">AquaSync</w:t>
      </w:r>
    </w:p>
    <w:p>
      <w:pPr>
        <w:spacing w:after="60" w:before="0"/>
        <w:jc w:val="center"/>
      </w:pPr>
      <w:r>
        <w:rPr>
          <w:rFonts w:ascii="Arial" w:cs="Arial" w:eastAsia="Arial" w:hAnsi="Arial"/>
          <w:color w:val="444444"/>
          <w:sz w:val="28"/>
          <w:szCs w:val="28"/>
        </w:rPr>
        <w:t xml:space="preserve">A Secure, AI-Driven Smart Irrigation Control System</w:t>
      </w:r>
    </w:p>
    <w:p>
      <w:pPr>
        <w:pBdr>
          <w:bottom w:val="single" w:color="00C2A8" w:sz="2" w:space="1"/>
        </w:pBdr>
        <w:spacing w:after="120" w:before="12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500"/>
        <w:gridCol w:w="6900"/>
      </w:tblGrid>
      <w:tr>
        <w:tc>
          <w:tcPr>
            <w:tcW w:type="dxa" w:w="2500"/>
            <w:tcBorders>
              <w:top w:val="single" w:color="CCDDEE" w:sz="1"/>
              <w:left w:val="single" w:color="CCDDEE" w:sz="1"/>
              <w:bottom w:val="single" w:color="CCDDEE" w:sz="1"/>
              <w:right w:val="single" w:color="CCDDEE" w:sz="1"/>
            </w:tcBorders>
            <w:shd w:fill="0D1B2A"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Field</w:t>
            </w:r>
          </w:p>
        </w:tc>
        <w:tc>
          <w:tcPr>
            <w:tcW w:type="dxa" w:w="6900"/>
            <w:tcBorders>
              <w:top w:val="single" w:color="CCDDEE" w:sz="1"/>
              <w:left w:val="single" w:color="CCDDEE" w:sz="1"/>
              <w:bottom w:val="single" w:color="CCDDEE" w:sz="1"/>
              <w:right w:val="single" w:color="CCDDEE" w:sz="1"/>
            </w:tcBorders>
            <w:shd w:fill="0D1B2A"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Details</w:t>
            </w:r>
          </w:p>
        </w:tc>
      </w:tr>
      <w:tr>
        <w:tc>
          <w:tcPr>
            <w:tcW w:type="dxa" w:w="2500"/>
            <w:tcBorders>
              <w:top w:val="single" w:color="CCDDEE" w:sz="1"/>
              <w:left w:val="single" w:color="CCDDEE" w:sz="1"/>
              <w:bottom w:val="single" w:color="CCDDEE" w:sz="1"/>
              <w:right w:val="single" w:color="CCDDEE" w:sz="1"/>
            </w:tcBorders>
            <w:shd w:fill="EDF5F5" w:val="clear"/>
            <w:tcMar>
              <w:top w:type="dxa" w:w="70"/>
              <w:left w:type="dxa" w:w="110"/>
              <w:bottom w:type="dxa" w:w="70"/>
              <w:right w:type="dxa" w:w="110"/>
            </w:tcMar>
          </w:tcPr>
          <w:p>
            <w:pPr>
              <w:jc w:val="left"/>
            </w:pPr>
            <w:r>
              <w:rPr>
                <w:rFonts w:ascii="Arial" w:cs="Arial" w:eastAsia="Arial" w:hAnsi="Arial"/>
                <w:b w:val="false"/>
                <w:bCs w:val="false"/>
                <w:sz w:val="21"/>
                <w:szCs w:val="21"/>
              </w:rPr>
              <w:t xml:space="preserve">Project Title</w:t>
            </w:r>
          </w:p>
        </w:tc>
        <w:tc>
          <w:tcPr>
            <w:tcW w:type="dxa" w:w="6900"/>
            <w:tcBorders>
              <w:top w:val="single" w:color="CCDDEE" w:sz="1"/>
              <w:left w:val="single" w:color="CCDDEE" w:sz="1"/>
              <w:bottom w:val="single" w:color="CCDDEE" w:sz="1"/>
              <w:right w:val="single" w:color="CCDDEE" w:sz="1"/>
            </w:tcBorders>
            <w:shd w:fill="EDF5F5" w:val="clear"/>
            <w:tcMar>
              <w:top w:type="dxa" w:w="70"/>
              <w:left w:type="dxa" w:w="110"/>
              <w:bottom w:type="dxa" w:w="70"/>
              <w:right w:type="dxa" w:w="110"/>
            </w:tcMar>
          </w:tcPr>
          <w:p>
            <w:pPr>
              <w:jc w:val="center"/>
            </w:pPr>
            <w:r>
              <w:rPr>
                <w:rFonts w:ascii="Arial" w:cs="Arial" w:eastAsia="Arial" w:hAnsi="Arial"/>
                <w:b/>
                <w:bCs/>
                <w:sz w:val="21"/>
                <w:szCs w:val="21"/>
              </w:rPr>
              <w:t xml:space="preserve">AquaSync — Smart Irrigation System with Zero-Vulnerability IoT Architecture</w:t>
            </w:r>
          </w:p>
        </w:tc>
      </w:tr>
      <w:tr>
        <w:tc>
          <w:tcPr>
            <w:tcW w:type="dxa" w:w="2500"/>
            <w:tcBorders>
              <w:top w:val="single" w:color="CCDDEE" w:sz="1"/>
              <w:left w:val="single" w:color="CCDDEE" w:sz="1"/>
              <w:bottom w:val="single" w:color="CCDDEE" w:sz="1"/>
              <w:right w:val="single" w:color="CCDDEE" w:sz="1"/>
            </w:tcBorders>
            <w:shd w:fill="FFFFFF" w:val="clear"/>
            <w:tcMar>
              <w:top w:type="dxa" w:w="70"/>
              <w:left w:type="dxa" w:w="110"/>
              <w:bottom w:type="dxa" w:w="70"/>
              <w:right w:type="dxa" w:w="110"/>
            </w:tcMar>
          </w:tcPr>
          <w:p>
            <w:pPr>
              <w:jc w:val="left"/>
            </w:pPr>
            <w:r>
              <w:rPr>
                <w:rFonts w:ascii="Arial" w:cs="Arial" w:eastAsia="Arial" w:hAnsi="Arial"/>
                <w:b w:val="false"/>
                <w:bCs w:val="false"/>
                <w:sz w:val="21"/>
                <w:szCs w:val="21"/>
              </w:rPr>
              <w:t xml:space="preserve">Domain</w:t>
            </w:r>
          </w:p>
        </w:tc>
        <w:tc>
          <w:tcPr>
            <w:tcW w:type="dxa" w:w="6900"/>
            <w:tcBorders>
              <w:top w:val="single" w:color="CCDDEE" w:sz="1"/>
              <w:left w:val="single" w:color="CCDDEE" w:sz="1"/>
              <w:bottom w:val="single" w:color="CCDDEE" w:sz="1"/>
              <w:right w:val="single" w:color="CCDDEE" w:sz="1"/>
            </w:tcBorders>
            <w:shd w:fill="FFFFFF" w:val="clear"/>
            <w:tcMar>
              <w:top w:type="dxa" w:w="70"/>
              <w:left w:type="dxa" w:w="110"/>
              <w:bottom w:type="dxa" w:w="70"/>
              <w:right w:type="dxa" w:w="110"/>
            </w:tcMar>
          </w:tcPr>
          <w:p>
            <w:pPr>
              <w:jc w:val="center"/>
            </w:pPr>
            <w:r>
              <w:rPr>
                <w:rFonts w:ascii="Arial" w:cs="Arial" w:eastAsia="Arial" w:hAnsi="Arial"/>
                <w:b/>
                <w:bCs/>
                <w:sz w:val="21"/>
                <w:szCs w:val="21"/>
              </w:rPr>
              <w:t xml:space="preserve">Precision Agriculture · IoT Security · Artificial Intelligence</w:t>
            </w:r>
          </w:p>
        </w:tc>
      </w:tr>
      <w:tr>
        <w:tc>
          <w:tcPr>
            <w:tcW w:type="dxa" w:w="2500"/>
            <w:tcBorders>
              <w:top w:val="single" w:color="CCDDEE" w:sz="1"/>
              <w:left w:val="single" w:color="CCDDEE" w:sz="1"/>
              <w:bottom w:val="single" w:color="CCDDEE" w:sz="1"/>
              <w:right w:val="single" w:color="CCDDEE" w:sz="1"/>
            </w:tcBorders>
            <w:shd w:fill="EDF5F5" w:val="clear"/>
            <w:tcMar>
              <w:top w:type="dxa" w:w="70"/>
              <w:left w:type="dxa" w:w="110"/>
              <w:bottom w:type="dxa" w:w="70"/>
              <w:right w:type="dxa" w:w="110"/>
            </w:tcMar>
          </w:tcPr>
          <w:p>
            <w:pPr>
              <w:jc w:val="left"/>
            </w:pPr>
            <w:r>
              <w:rPr>
                <w:rFonts w:ascii="Arial" w:cs="Arial" w:eastAsia="Arial" w:hAnsi="Arial"/>
                <w:b w:val="false"/>
                <w:bCs w:val="false"/>
                <w:sz w:val="21"/>
                <w:szCs w:val="21"/>
              </w:rPr>
              <w:t xml:space="preserve">Team</w:t>
            </w:r>
          </w:p>
        </w:tc>
        <w:tc>
          <w:tcPr>
            <w:tcW w:type="dxa" w:w="6900"/>
            <w:tcBorders>
              <w:top w:val="single" w:color="CCDDEE" w:sz="1"/>
              <w:left w:val="single" w:color="CCDDEE" w:sz="1"/>
              <w:bottom w:val="single" w:color="CCDDEE" w:sz="1"/>
              <w:right w:val="single" w:color="CCDDEE" w:sz="1"/>
            </w:tcBorders>
            <w:shd w:fill="EDF5F5" w:val="clear"/>
            <w:tcMar>
              <w:top w:type="dxa" w:w="70"/>
              <w:left w:type="dxa" w:w="110"/>
              <w:bottom w:type="dxa" w:w="70"/>
              <w:right w:type="dxa" w:w="110"/>
            </w:tcMar>
          </w:tcPr>
          <w:p>
            <w:pPr>
              <w:jc w:val="center"/>
            </w:pPr>
            <w:r>
              <w:rPr>
                <w:rFonts w:ascii="Arial" w:cs="Arial" w:eastAsia="Arial" w:hAnsi="Arial"/>
                <w:b/>
                <w:bCs/>
                <w:sz w:val="21"/>
                <w:szCs w:val="21"/>
              </w:rPr>
              <w:t xml:space="preserve">Aryan Deshwal, Priya Mehta, Vikram Singh, Amara Osei</w:t>
            </w:r>
          </w:p>
        </w:tc>
      </w:tr>
      <w:tr>
        <w:tc>
          <w:tcPr>
            <w:tcW w:type="dxa" w:w="2500"/>
            <w:tcBorders>
              <w:top w:val="single" w:color="CCDDEE" w:sz="1"/>
              <w:left w:val="single" w:color="CCDDEE" w:sz="1"/>
              <w:bottom w:val="single" w:color="CCDDEE" w:sz="1"/>
              <w:right w:val="single" w:color="CCDDEE" w:sz="1"/>
            </w:tcBorders>
            <w:shd w:fill="FFFFFF" w:val="clear"/>
            <w:tcMar>
              <w:top w:type="dxa" w:w="70"/>
              <w:left w:type="dxa" w:w="110"/>
              <w:bottom w:type="dxa" w:w="70"/>
              <w:right w:type="dxa" w:w="110"/>
            </w:tcMar>
          </w:tcPr>
          <w:p>
            <w:pPr>
              <w:jc w:val="left"/>
            </w:pPr>
            <w:r>
              <w:rPr>
                <w:rFonts w:ascii="Arial" w:cs="Arial" w:eastAsia="Arial" w:hAnsi="Arial"/>
                <w:b w:val="false"/>
                <w:bCs w:val="false"/>
                <w:sz w:val="21"/>
                <w:szCs w:val="21"/>
              </w:rPr>
              <w:t xml:space="preserve">Institution</w:t>
            </w:r>
          </w:p>
        </w:tc>
        <w:tc>
          <w:tcPr>
            <w:tcW w:type="dxa" w:w="6900"/>
            <w:tcBorders>
              <w:top w:val="single" w:color="CCDDEE" w:sz="1"/>
              <w:left w:val="single" w:color="CCDDEE" w:sz="1"/>
              <w:bottom w:val="single" w:color="CCDDEE" w:sz="1"/>
              <w:right w:val="single" w:color="CCDDEE" w:sz="1"/>
            </w:tcBorders>
            <w:shd w:fill="FFFFFF" w:val="clear"/>
            <w:tcMar>
              <w:top w:type="dxa" w:w="70"/>
              <w:left w:type="dxa" w:w="110"/>
              <w:bottom w:type="dxa" w:w="70"/>
              <w:right w:type="dxa" w:w="110"/>
            </w:tcMar>
          </w:tcPr>
          <w:p>
            <w:pPr>
              <w:jc w:val="center"/>
            </w:pPr>
            <w:r>
              <w:rPr>
                <w:rFonts w:ascii="Arial" w:cs="Arial" w:eastAsia="Arial" w:hAnsi="Arial"/>
                <w:b/>
                <w:bCs/>
                <w:sz w:val="21"/>
                <w:szCs w:val="21"/>
              </w:rPr>
              <w:t xml:space="preserve">IIT Delhi / IARI / CDAC / NIT Kurukshetra (Collaborative)</w:t>
            </w:r>
          </w:p>
        </w:tc>
      </w:tr>
      <w:tr>
        <w:tc>
          <w:tcPr>
            <w:tcW w:type="dxa" w:w="2500"/>
            <w:tcBorders>
              <w:top w:val="single" w:color="CCDDEE" w:sz="1"/>
              <w:left w:val="single" w:color="CCDDEE" w:sz="1"/>
              <w:bottom w:val="single" w:color="CCDDEE" w:sz="1"/>
              <w:right w:val="single" w:color="CCDDEE" w:sz="1"/>
            </w:tcBorders>
            <w:shd w:fill="EDF5F5" w:val="clear"/>
            <w:tcMar>
              <w:top w:type="dxa" w:w="70"/>
              <w:left w:type="dxa" w:w="110"/>
              <w:bottom w:type="dxa" w:w="70"/>
              <w:right w:type="dxa" w:w="110"/>
            </w:tcMar>
          </w:tcPr>
          <w:p>
            <w:pPr>
              <w:jc w:val="left"/>
            </w:pPr>
            <w:r>
              <w:rPr>
                <w:rFonts w:ascii="Arial" w:cs="Arial" w:eastAsia="Arial" w:hAnsi="Arial"/>
                <w:b w:val="false"/>
                <w:bCs w:val="false"/>
                <w:sz w:val="21"/>
                <w:szCs w:val="21"/>
              </w:rPr>
              <w:t xml:space="preserve">Pilot Site</w:t>
            </w:r>
          </w:p>
        </w:tc>
        <w:tc>
          <w:tcPr>
            <w:tcW w:type="dxa" w:w="6900"/>
            <w:tcBorders>
              <w:top w:val="single" w:color="CCDDEE" w:sz="1"/>
              <w:left w:val="single" w:color="CCDDEE" w:sz="1"/>
              <w:bottom w:val="single" w:color="CCDDEE" w:sz="1"/>
              <w:right w:val="single" w:color="CCDDEE" w:sz="1"/>
            </w:tcBorders>
            <w:shd w:fill="EDF5F5" w:val="clear"/>
            <w:tcMar>
              <w:top w:type="dxa" w:w="70"/>
              <w:left w:type="dxa" w:w="110"/>
              <w:bottom w:type="dxa" w:w="70"/>
              <w:right w:type="dxa" w:w="110"/>
            </w:tcMar>
          </w:tcPr>
          <w:p>
            <w:pPr>
              <w:jc w:val="center"/>
            </w:pPr>
            <w:r>
              <w:rPr>
                <w:rFonts w:ascii="Arial" w:cs="Arial" w:eastAsia="Arial" w:hAnsi="Arial"/>
                <w:b/>
                <w:bCs/>
                <w:sz w:val="21"/>
                <w:szCs w:val="21"/>
              </w:rPr>
              <w:t xml:space="preserve">Hisar District, Haryana, India (47.3 ha, 3 farms)</w:t>
            </w:r>
          </w:p>
        </w:tc>
      </w:tr>
      <w:tr>
        <w:tc>
          <w:tcPr>
            <w:tcW w:type="dxa" w:w="2500"/>
            <w:tcBorders>
              <w:top w:val="single" w:color="CCDDEE" w:sz="1"/>
              <w:left w:val="single" w:color="CCDDEE" w:sz="1"/>
              <w:bottom w:val="single" w:color="CCDDEE" w:sz="1"/>
              <w:right w:val="single" w:color="CCDDEE" w:sz="1"/>
            </w:tcBorders>
            <w:shd w:fill="FFFFFF" w:val="clear"/>
            <w:tcMar>
              <w:top w:type="dxa" w:w="70"/>
              <w:left w:type="dxa" w:w="110"/>
              <w:bottom w:type="dxa" w:w="70"/>
              <w:right w:type="dxa" w:w="110"/>
            </w:tcMar>
          </w:tcPr>
          <w:p>
            <w:pPr>
              <w:jc w:val="left"/>
            </w:pPr>
            <w:r>
              <w:rPr>
                <w:rFonts w:ascii="Arial" w:cs="Arial" w:eastAsia="Arial" w:hAnsi="Arial"/>
                <w:b w:val="false"/>
                <w:bCs w:val="false"/>
                <w:sz w:val="21"/>
                <w:szCs w:val="21"/>
              </w:rPr>
              <w:t xml:space="preserve">Duration</w:t>
            </w:r>
          </w:p>
        </w:tc>
        <w:tc>
          <w:tcPr>
            <w:tcW w:type="dxa" w:w="6900"/>
            <w:tcBorders>
              <w:top w:val="single" w:color="CCDDEE" w:sz="1"/>
              <w:left w:val="single" w:color="CCDDEE" w:sz="1"/>
              <w:bottom w:val="single" w:color="CCDDEE" w:sz="1"/>
              <w:right w:val="single" w:color="CCDDEE" w:sz="1"/>
            </w:tcBorders>
            <w:shd w:fill="FFFFFF" w:val="clear"/>
            <w:tcMar>
              <w:top w:type="dxa" w:w="70"/>
              <w:left w:type="dxa" w:w="110"/>
              <w:bottom w:type="dxa" w:w="70"/>
              <w:right w:type="dxa" w:w="110"/>
            </w:tcMar>
          </w:tcPr>
          <w:p>
            <w:pPr>
              <w:jc w:val="center"/>
            </w:pPr>
            <w:r>
              <w:rPr>
                <w:rFonts w:ascii="Arial" w:cs="Arial" w:eastAsia="Arial" w:hAnsi="Arial"/>
                <w:b/>
                <w:bCs/>
                <w:sz w:val="21"/>
                <w:szCs w:val="21"/>
              </w:rPr>
              <w:t xml:space="preserve">October 2025 – March 2026 (6-month field evaluation)</w:t>
            </w:r>
          </w:p>
        </w:tc>
      </w:tr>
      <w:tr>
        <w:tc>
          <w:tcPr>
            <w:tcW w:type="dxa" w:w="2500"/>
            <w:tcBorders>
              <w:top w:val="single" w:color="CCDDEE" w:sz="1"/>
              <w:left w:val="single" w:color="CCDDEE" w:sz="1"/>
              <w:bottom w:val="single" w:color="CCDDEE" w:sz="1"/>
              <w:right w:val="single" w:color="CCDDEE" w:sz="1"/>
            </w:tcBorders>
            <w:shd w:fill="EDF5F5" w:val="clear"/>
            <w:tcMar>
              <w:top w:type="dxa" w:w="70"/>
              <w:left w:type="dxa" w:w="110"/>
              <w:bottom w:type="dxa" w:w="70"/>
              <w:right w:type="dxa" w:w="110"/>
            </w:tcMar>
          </w:tcPr>
          <w:p>
            <w:pPr>
              <w:jc w:val="left"/>
            </w:pPr>
            <w:r>
              <w:rPr>
                <w:rFonts w:ascii="Arial" w:cs="Arial" w:eastAsia="Arial" w:hAnsi="Arial"/>
                <w:b w:val="false"/>
                <w:bCs w:val="false"/>
                <w:sz w:val="21"/>
                <w:szCs w:val="21"/>
              </w:rPr>
              <w:t xml:space="preserve">Version</w:t>
            </w:r>
          </w:p>
        </w:tc>
        <w:tc>
          <w:tcPr>
            <w:tcW w:type="dxa" w:w="6900"/>
            <w:tcBorders>
              <w:top w:val="single" w:color="CCDDEE" w:sz="1"/>
              <w:left w:val="single" w:color="CCDDEE" w:sz="1"/>
              <w:bottom w:val="single" w:color="CCDDEE" w:sz="1"/>
              <w:right w:val="single" w:color="CCDDEE" w:sz="1"/>
            </w:tcBorders>
            <w:shd w:fill="EDF5F5" w:val="clear"/>
            <w:tcMar>
              <w:top w:type="dxa" w:w="70"/>
              <w:left w:type="dxa" w:w="110"/>
              <w:bottom w:type="dxa" w:w="70"/>
              <w:right w:type="dxa" w:w="110"/>
            </w:tcMar>
          </w:tcPr>
          <w:p>
            <w:pPr>
              <w:jc w:val="center"/>
            </w:pPr>
            <w:r>
              <w:rPr>
                <w:rFonts w:ascii="Arial" w:cs="Arial" w:eastAsia="Arial" w:hAnsi="Arial"/>
                <w:b/>
                <w:bCs/>
                <w:sz w:val="21"/>
                <w:szCs w:val="21"/>
              </w:rPr>
              <w:t xml:space="preserve">AquaSync v2.4 — April 2026</w:t>
            </w:r>
          </w:p>
        </w:tc>
      </w:tr>
      <w:tr>
        <w:tc>
          <w:tcPr>
            <w:tcW w:type="dxa" w:w="2500"/>
            <w:tcBorders>
              <w:top w:val="single" w:color="CCDDEE" w:sz="1"/>
              <w:left w:val="single" w:color="CCDDEE" w:sz="1"/>
              <w:bottom w:val="single" w:color="CCDDEE" w:sz="1"/>
              <w:right w:val="single" w:color="CCDDEE" w:sz="1"/>
            </w:tcBorders>
            <w:shd w:fill="FFFFFF" w:val="clear"/>
            <w:tcMar>
              <w:top w:type="dxa" w:w="70"/>
              <w:left w:type="dxa" w:w="110"/>
              <w:bottom w:type="dxa" w:w="70"/>
              <w:right w:type="dxa" w:w="110"/>
            </w:tcMar>
          </w:tcPr>
          <w:p>
            <w:pPr>
              <w:jc w:val="left"/>
            </w:pPr>
            <w:r>
              <w:rPr>
                <w:rFonts w:ascii="Arial" w:cs="Arial" w:eastAsia="Arial" w:hAnsi="Arial"/>
                <w:b w:val="false"/>
                <w:bCs w:val="false"/>
                <w:sz w:val="21"/>
                <w:szCs w:val="21"/>
              </w:rPr>
              <w:t xml:space="preserve">Technology Stack</w:t>
            </w:r>
          </w:p>
        </w:tc>
        <w:tc>
          <w:tcPr>
            <w:tcW w:type="dxa" w:w="6900"/>
            <w:tcBorders>
              <w:top w:val="single" w:color="CCDDEE" w:sz="1"/>
              <w:left w:val="single" w:color="CCDDEE" w:sz="1"/>
              <w:bottom w:val="single" w:color="CCDDEE" w:sz="1"/>
              <w:right w:val="single" w:color="CCDDEE" w:sz="1"/>
            </w:tcBorders>
            <w:shd w:fill="FFFFFF" w:val="clear"/>
            <w:tcMar>
              <w:top w:type="dxa" w:w="70"/>
              <w:left w:type="dxa" w:w="110"/>
              <w:bottom w:type="dxa" w:w="70"/>
              <w:right w:type="dxa" w:w="110"/>
            </w:tcMar>
          </w:tcPr>
          <w:p>
            <w:pPr>
              <w:jc w:val="center"/>
            </w:pPr>
            <w:r>
              <w:rPr>
                <w:rFonts w:ascii="Arial" w:cs="Arial" w:eastAsia="Arial" w:hAnsi="Arial"/>
                <w:b/>
                <w:bCs/>
                <w:sz w:val="21"/>
                <w:szCs w:val="21"/>
              </w:rPr>
              <w:t xml:space="preserve">ESP32-S3 · Node.js · PostgreSQL · MQTT/TLS · React · LSTM AI</w:t>
            </w:r>
          </w:p>
        </w:tc>
      </w:tr>
    </w:tbl>
    <w:p>
      <w:pPr>
        <w:spacing w:after="200"/>
      </w:pPr>
    </w:p>
    <w:p>
      <w:pPr>
        <w:pStyle w:val="Heading1"/>
        <w:spacing w:after="100" w:before="260"/>
      </w:pPr>
      <w:r>
        <w:rPr>
          <w:rFonts w:ascii="Arial" w:cs="Arial" w:eastAsia="Arial" w:hAnsi="Arial"/>
          <w:b/>
          <w:bCs/>
          <w:color w:val="0D1B2A"/>
          <w:sz w:val="28"/>
          <w:szCs w:val="28"/>
        </w:rPr>
        <w:t xml:space="preserve">1. Project Overview</w:t>
      </w:r>
    </w:p>
    <w:p>
      <w:pPr>
        <w:spacing w:after="140" w:before="0"/>
        <w:ind w:firstLine="720"/>
        <w:jc w:val="both"/>
      </w:pPr>
      <w:r>
        <w:rPr>
          <w:rFonts w:ascii="Arial" w:cs="Arial" w:eastAsia="Arial" w:hAnsi="Arial"/>
          <w:sz w:val="24"/>
          <w:szCs w:val="24"/>
        </w:rPr>
        <w:t xml:space="preserve">AquaSync is a fully integrated smart irrigation management platform that addresses two critical and interconnected challenges facing modern agriculture: the widespread inefficiency of water use in irrigated farming, and the severe cybersecurity vulnerabilities present in virtually all existing IoT-based irrigation systems.</w:t>
      </w:r>
    </w:p>
    <w:p>
      <w:pPr>
        <w:spacing w:after="140" w:before="0"/>
        <w:ind w:firstLine="720"/>
        <w:jc w:val="both"/>
      </w:pPr>
      <w:r>
        <w:rPr>
          <w:rFonts w:ascii="Arial" w:cs="Arial" w:eastAsia="Arial" w:hAnsi="Arial"/>
          <w:sz w:val="24"/>
          <w:szCs w:val="24"/>
        </w:rPr>
        <w:t xml:space="preserve">Agriculture consumes approximately 69% of global freshwater, yet conventional irrigation routinely wastes over 60% of applied water through imprecise scheduling, absence of soil feedback, and failure to account for weather events. At the same time, the rapid adoption of IoT sensors and actuators in farming has created a largely unsecured digital attack surface: our assessment of twelve published and commercial smart irrigation systems found that 100% lacked replay-attack protection, 91.7% had no device authentication, and 83.3% transmitted sensor data without encryption.</w:t>
      </w:r>
    </w:p>
    <w:p>
      <w:pPr>
        <w:spacing w:after="140" w:before="0"/>
        <w:ind w:firstLine="720"/>
        <w:jc w:val="both"/>
      </w:pPr>
      <w:r>
        <w:rPr>
          <w:rFonts w:ascii="Arial" w:cs="Arial" w:eastAsia="Arial" w:hAnsi="Arial"/>
          <w:sz w:val="24"/>
          <w:szCs w:val="24"/>
        </w:rPr>
        <w:t xml:space="preserve">AquaSync resolves both problems simultaneously. The system deploys a network of ESP32-S3 sensor nodes communicating via TLS-secured, Ed25519-signed MQTT payloads to a hardened backend. An AI scheduling engine — combining the FAO-56 Penman-Monteith evapotranspiration model with an LSTM neural network — delivers irrigation schedules that adapt in real time to soil conditions, crop growth stage, and weather forecasts.</w:t>
      </w:r>
    </w:p>
    <w:p>
      <w:pPr>
        <w:pStyle w:val="Heading1"/>
        <w:spacing w:after="100" w:before="260"/>
      </w:pPr>
      <w:r>
        <w:rPr>
          <w:rFonts w:ascii="Arial" w:cs="Arial" w:eastAsia="Arial" w:hAnsi="Arial"/>
          <w:b/>
          <w:bCs/>
          <w:color w:val="0D1B2A"/>
          <w:sz w:val="28"/>
          <w:szCs w:val="28"/>
        </w:rPr>
        <w:t xml:space="preserve">2. Problem Statement</w:t>
      </w:r>
    </w:p>
    <w:p>
      <w:pPr>
        <w:spacing w:after="80" w:before="160"/>
      </w:pPr>
      <w:r>
        <w:rPr>
          <w:rFonts w:ascii="Arial" w:cs="Arial" w:eastAsia="Arial" w:hAnsi="Arial"/>
          <w:b/>
          <w:bCs/>
          <w:color w:val="00736A"/>
          <w:sz w:val="24"/>
          <w:szCs w:val="24"/>
        </w:rPr>
        <w:t xml:space="preserve">2.1 Water Inefficiency</w:t>
      </w:r>
    </w:p>
    <w:p>
      <w:pPr>
        <w:pStyle w:val="ListParagraph"/>
        <w:numPr>
          <w:ilvl w:val="0"/>
          <w:numId w:val="2"/>
        </w:numPr>
        <w:spacing w:after="70"/>
      </w:pPr>
      <w:r>
        <w:rPr>
          <w:rFonts w:ascii="Arial" w:cs="Arial" w:eastAsia="Arial" w:hAnsi="Arial"/>
          <w:sz w:val="24"/>
          <w:szCs w:val="24"/>
        </w:rPr>
        <w:t xml:space="preserve">Global agriculture withdraws ~3,900 km³ of freshwater annually; India alone accounts for ~761 km³ (89% of freshwater use)</w:t>
      </w:r>
    </w:p>
    <w:p>
      <w:pPr>
        <w:pStyle w:val="ListParagraph"/>
        <w:numPr>
          <w:ilvl w:val="0"/>
          <w:numId w:val="2"/>
        </w:numPr>
        <w:spacing w:after="70"/>
      </w:pPr>
      <w:r>
        <w:rPr>
          <w:rFonts w:ascii="Arial" w:cs="Arial" w:eastAsia="Arial" w:hAnsi="Arial"/>
          <w:sz w:val="24"/>
          <w:szCs w:val="24"/>
        </w:rPr>
        <w:t xml:space="preserve">Traditional flood and unmanaged drip irrigation achieve only 35–65% application efficiency</w:t>
      </w:r>
    </w:p>
    <w:p>
      <w:pPr>
        <w:pStyle w:val="ListParagraph"/>
        <w:numPr>
          <w:ilvl w:val="0"/>
          <w:numId w:val="2"/>
        </w:numPr>
        <w:spacing w:after="70"/>
      </w:pPr>
      <w:r>
        <w:rPr>
          <w:rFonts w:ascii="Arial" w:cs="Arial" w:eastAsia="Arial" w:hAnsi="Arial"/>
          <w:sz w:val="24"/>
          <w:szCs w:val="24"/>
        </w:rPr>
        <w:t xml:space="preserve">Indian farmers lose an estimated ₹4.2 trillion annually to water waste, over-irrigation crop losses, and groundwater depletion</w:t>
      </w:r>
    </w:p>
    <w:p>
      <w:pPr>
        <w:pStyle w:val="ListParagraph"/>
        <w:numPr>
          <w:ilvl w:val="0"/>
          <w:numId w:val="2"/>
        </w:numPr>
        <w:spacing w:after="70"/>
      </w:pPr>
      <w:r>
        <w:rPr>
          <w:rFonts w:ascii="Arial" w:cs="Arial" w:eastAsia="Arial" w:hAnsi="Arial"/>
          <w:sz w:val="24"/>
          <w:szCs w:val="24"/>
        </w:rPr>
        <w:t xml:space="preserve">Climate change is reducing predictable rainfall patterns, making precision irrigation critical for food security</w:t>
      </w:r>
    </w:p>
    <w:p>
      <w:pPr>
        <w:spacing w:after="80" w:before="160"/>
      </w:pPr>
      <w:r>
        <w:rPr>
          <w:rFonts w:ascii="Arial" w:cs="Arial" w:eastAsia="Arial" w:hAnsi="Arial"/>
          <w:b/>
          <w:bCs/>
          <w:color w:val="00736A"/>
          <w:sz w:val="24"/>
          <w:szCs w:val="24"/>
        </w:rPr>
        <w:t xml:space="preserve">2.2 Cybersecurity Vacuum</w:t>
      </w:r>
    </w:p>
    <w:p>
      <w:pPr>
        <w:pStyle w:val="ListParagraph"/>
        <w:numPr>
          <w:ilvl w:val="0"/>
          <w:numId w:val="2"/>
        </w:numPr>
        <w:spacing w:after="70"/>
      </w:pPr>
      <w:r>
        <w:rPr>
          <w:rFonts w:ascii="Arial" w:cs="Arial" w:eastAsia="Arial" w:hAnsi="Arial"/>
          <w:sz w:val="24"/>
          <w:szCs w:val="24"/>
        </w:rPr>
        <w:t xml:space="preserve">91.7% of reviewed systems: no device authentication — any endpoint can inject false sensor data</w:t>
      </w:r>
    </w:p>
    <w:p>
      <w:pPr>
        <w:pStyle w:val="ListParagraph"/>
        <w:numPr>
          <w:ilvl w:val="0"/>
          <w:numId w:val="2"/>
        </w:numPr>
        <w:spacing w:after="70"/>
      </w:pPr>
      <w:r>
        <w:rPr>
          <w:rFonts w:ascii="Arial" w:cs="Arial" w:eastAsia="Arial" w:hAnsi="Arial"/>
          <w:sz w:val="24"/>
          <w:szCs w:val="24"/>
        </w:rPr>
        <w:t xml:space="preserve">100% of reviewed systems: valve commands vulnerable to replay attacks — attackers can flood or dry fields remotely</w:t>
      </w:r>
    </w:p>
    <w:p>
      <w:pPr>
        <w:pStyle w:val="ListParagraph"/>
        <w:numPr>
          <w:ilvl w:val="0"/>
          <w:numId w:val="2"/>
        </w:numPr>
        <w:spacing w:after="70"/>
      </w:pPr>
      <w:r>
        <w:rPr>
          <w:rFonts w:ascii="Arial" w:cs="Arial" w:eastAsia="Arial" w:hAnsi="Arial"/>
          <w:sz w:val="24"/>
          <w:szCs w:val="24"/>
        </w:rPr>
        <w:t xml:space="preserve">83.3% of reviewed systems: MQTT traffic unencrypted — farm operational data interceptable by competitors</w:t>
      </w:r>
    </w:p>
    <w:p>
      <w:pPr>
        <w:pStyle w:val="ListParagraph"/>
        <w:numPr>
          <w:ilvl w:val="0"/>
          <w:numId w:val="2"/>
        </w:numPr>
        <w:spacing w:after="70"/>
      </w:pPr>
      <w:r>
        <w:rPr>
          <w:rFonts w:ascii="Arial" w:cs="Arial" w:eastAsia="Arial" w:hAnsi="Arial"/>
          <w:sz w:val="24"/>
          <w:szCs w:val="24"/>
        </w:rPr>
        <w:t xml:space="preserve">100% of reviewed systems: firmware updates unsigned — trivial malware injection into field devices</w:t>
      </w:r>
    </w:p>
    <w:p>
      <w:pPr>
        <w:pStyle w:val="ListParagraph"/>
        <w:numPr>
          <w:ilvl w:val="0"/>
          <w:numId w:val="2"/>
        </w:numPr>
        <w:spacing w:after="70"/>
      </w:pPr>
      <w:r>
        <w:rPr>
          <w:rFonts w:ascii="Arial" w:cs="Arial" w:eastAsia="Arial" w:hAnsi="Arial"/>
          <w:sz w:val="24"/>
          <w:szCs w:val="24"/>
        </w:rPr>
        <w:t xml:space="preserve">No existing open-source smart irrigation platform satisfies OWASP IoT Top Ten or ETSI EN 303 645 requirements</w:t>
      </w:r>
    </w:p>
    <w:p>
      <w:pPr>
        <w:spacing w:after="120"/>
      </w:pPr>
    </w:p>
    <w:p>
      <w:pPr>
        <w:pStyle w:val="Heading1"/>
        <w:spacing w:after="100" w:before="260"/>
      </w:pPr>
      <w:r>
        <w:rPr>
          <w:rFonts w:ascii="Arial" w:cs="Arial" w:eastAsia="Arial" w:hAnsi="Arial"/>
          <w:b/>
          <w:bCs/>
          <w:color w:val="0D1B2A"/>
          <w:sz w:val="28"/>
          <w:szCs w:val="28"/>
        </w:rPr>
        <w:t xml:space="preserve">3. Objectives</w:t>
      </w:r>
    </w:p>
    <w:p>
      <w:pPr>
        <w:pStyle w:val="ListParagraph"/>
        <w:numPr>
          <w:ilvl w:val="0"/>
          <w:numId w:val="2"/>
        </w:numPr>
        <w:spacing w:after="70"/>
      </w:pPr>
      <w:r>
        <w:rPr>
          <w:rFonts w:ascii="Arial" w:cs="Arial" w:eastAsia="Arial" w:hAnsi="Arial"/>
          <w:sz w:val="24"/>
          <w:szCs w:val="24"/>
        </w:rPr>
        <w:t xml:space="preserve">Design and implement a complete IoT sensor network for soil moisture, temperature, flow rate, pressure, pH, and rainfall monitoring</w:t>
      </w:r>
    </w:p>
    <w:p>
      <w:pPr>
        <w:pStyle w:val="ListParagraph"/>
        <w:numPr>
          <w:ilvl w:val="0"/>
          <w:numId w:val="2"/>
        </w:numPr>
        <w:spacing w:after="70"/>
      </w:pPr>
      <w:r>
        <w:rPr>
          <w:rFonts w:ascii="Arial" w:cs="Arial" w:eastAsia="Arial" w:hAnsi="Arial"/>
          <w:sz w:val="24"/>
          <w:szCs w:val="24"/>
        </w:rPr>
        <w:t xml:space="preserve">Build a security-hardened backend API with JWT authentication, RBAC, rate limiting, anti-replay protection, and AES-256-GCM data encryption</w:t>
      </w:r>
    </w:p>
    <w:p>
      <w:pPr>
        <w:pStyle w:val="ListParagraph"/>
        <w:numPr>
          <w:ilvl w:val="0"/>
          <w:numId w:val="2"/>
        </w:numPr>
        <w:spacing w:after="70"/>
      </w:pPr>
      <w:r>
        <w:rPr>
          <w:rFonts w:ascii="Arial" w:cs="Arial" w:eastAsia="Arial" w:hAnsi="Arial"/>
          <w:sz w:val="24"/>
          <w:szCs w:val="24"/>
        </w:rPr>
        <w:t xml:space="preserve">Develop an AI-driven irrigation scheduler integrating the FAO-56 ET₀ model with an LSTM neural network for precise, adaptive water management</w:t>
      </w:r>
    </w:p>
    <w:p>
      <w:pPr>
        <w:pStyle w:val="ListParagraph"/>
        <w:numPr>
          <w:ilvl w:val="0"/>
          <w:numId w:val="2"/>
        </w:numPr>
        <w:spacing w:after="70"/>
      </w:pPr>
      <w:r>
        <w:rPr>
          <w:rFonts w:ascii="Arial" w:cs="Arial" w:eastAsia="Arial" w:hAnsi="Arial"/>
          <w:sz w:val="24"/>
          <w:szCs w:val="24"/>
        </w:rPr>
        <w:t xml:space="preserve">Secure the firmware supply chain with Ed25519-signed OTA updates and ESP32-S3 Secure Boot V2</w:t>
      </w:r>
    </w:p>
    <w:p>
      <w:pPr>
        <w:pStyle w:val="ListParagraph"/>
        <w:numPr>
          <w:ilvl w:val="0"/>
          <w:numId w:val="2"/>
        </w:numPr>
        <w:spacing w:after="70"/>
      </w:pPr>
      <w:r>
        <w:rPr>
          <w:rFonts w:ascii="Arial" w:cs="Arial" w:eastAsia="Arial" w:hAnsi="Arial"/>
          <w:sz w:val="24"/>
          <w:szCs w:val="24"/>
        </w:rPr>
        <w:t xml:space="preserve">Achieve ≥35% reduction in water consumption compared to conventional irrigation on pilot farms</w:t>
      </w:r>
    </w:p>
    <w:p>
      <w:pPr>
        <w:pStyle w:val="ListParagraph"/>
        <w:numPr>
          <w:ilvl w:val="0"/>
          <w:numId w:val="2"/>
        </w:numPr>
        <w:spacing w:after="70"/>
      </w:pPr>
      <w:r>
        <w:rPr>
          <w:rFonts w:ascii="Arial" w:cs="Arial" w:eastAsia="Arial" w:hAnsi="Arial"/>
          <w:sz w:val="24"/>
          <w:szCs w:val="24"/>
        </w:rPr>
        <w:t xml:space="preserve">Achieve zero successful security incidents during a 6-month production deployment</w:t>
      </w:r>
    </w:p>
    <w:p>
      <w:pPr>
        <w:pStyle w:val="ListParagraph"/>
        <w:numPr>
          <w:ilvl w:val="0"/>
          <w:numId w:val="2"/>
        </w:numPr>
        <w:spacing w:after="70"/>
      </w:pPr>
      <w:r>
        <w:rPr>
          <w:rFonts w:ascii="Arial" w:cs="Arial" w:eastAsia="Arial" w:hAnsi="Arial"/>
          <w:sz w:val="24"/>
          <w:szCs w:val="24"/>
        </w:rPr>
        <w:t xml:space="preserve">Deliver a real-time dashboard with WebSocket-driven zone monitoring, alert management, and usage analytics</w:t>
      </w:r>
    </w:p>
    <w:p>
      <w:pPr>
        <w:pStyle w:val="Heading1"/>
        <w:spacing w:after="100" w:before="260"/>
      </w:pPr>
      <w:r>
        <w:rPr>
          <w:rFonts w:ascii="Arial" w:cs="Arial" w:eastAsia="Arial" w:hAnsi="Arial"/>
          <w:b/>
          <w:bCs/>
          <w:color w:val="0D1B2A"/>
          <w:sz w:val="28"/>
          <w:szCs w:val="28"/>
        </w:rPr>
        <w:t xml:space="preserve">4. System Architecture</w:t>
      </w:r>
    </w:p>
    <w:p>
      <w:pPr>
        <w:spacing w:after="80" w:before="160"/>
      </w:pPr>
      <w:r>
        <w:rPr>
          <w:rFonts w:ascii="Arial" w:cs="Arial" w:eastAsia="Arial" w:hAnsi="Arial"/>
          <w:b/>
          <w:bCs/>
          <w:color w:val="00736A"/>
          <w:sz w:val="24"/>
          <w:szCs w:val="24"/>
        </w:rPr>
        <w:t xml:space="preserve">4.1 Five-Layer Architecture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3400"/>
        <w:gridCol w:w="4200"/>
      </w:tblGrid>
      <w:tr>
        <w:tc>
          <w:tcPr>
            <w:tcW w:type="dxa" w:w="1800"/>
            <w:tcBorders>
              <w:top w:val="single" w:color="CCDDEE" w:sz="1"/>
              <w:left w:val="single" w:color="CCDDEE" w:sz="1"/>
              <w:bottom w:val="single" w:color="CCDDEE" w:sz="1"/>
              <w:right w:val="single" w:color="CCDDEE" w:sz="1"/>
            </w:tcBorders>
            <w:shd w:fill="0D1B2A"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Layer</w:t>
            </w:r>
          </w:p>
        </w:tc>
        <w:tc>
          <w:tcPr>
            <w:tcW w:type="dxa" w:w="3400"/>
            <w:tcBorders>
              <w:top w:val="single" w:color="CCDDEE" w:sz="1"/>
              <w:left w:val="single" w:color="CCDDEE" w:sz="1"/>
              <w:bottom w:val="single" w:color="CCDDEE" w:sz="1"/>
              <w:right w:val="single" w:color="CCDDEE" w:sz="1"/>
            </w:tcBorders>
            <w:shd w:fill="0D1B2A"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Components</w:t>
            </w:r>
          </w:p>
        </w:tc>
        <w:tc>
          <w:tcPr>
            <w:tcW w:type="dxa" w:w="4200"/>
            <w:tcBorders>
              <w:top w:val="single" w:color="CCDDEE" w:sz="1"/>
              <w:left w:val="single" w:color="CCDDEE" w:sz="1"/>
              <w:bottom w:val="single" w:color="CCDDEE" w:sz="1"/>
              <w:right w:val="single" w:color="CCDDEE" w:sz="1"/>
            </w:tcBorders>
            <w:shd w:fill="0D1B2A"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Key Technologies</w:t>
            </w:r>
          </w:p>
        </w:tc>
      </w:tr>
      <w:tr>
        <w:tc>
          <w:tcPr>
            <w:tcW w:type="dxa" w:w="1800"/>
            <w:tcBorders>
              <w:top w:val="single" w:color="CCDDEE" w:sz="1"/>
              <w:left w:val="single" w:color="CCDDEE" w:sz="1"/>
              <w:bottom w:val="single" w:color="CCDDEE" w:sz="1"/>
              <w:right w:val="single" w:color="CCDDEE" w:sz="1"/>
            </w:tcBorders>
            <w:shd w:fill="EDF5F5" w:val="clear"/>
            <w:tcMar>
              <w:top w:type="dxa" w:w="70"/>
              <w:left w:type="dxa" w:w="110"/>
              <w:bottom w:type="dxa" w:w="70"/>
              <w:right w:type="dxa" w:w="110"/>
            </w:tcMar>
          </w:tcPr>
          <w:p>
            <w:pPr>
              <w:jc w:val="left"/>
            </w:pPr>
            <w:r>
              <w:rPr>
                <w:rFonts w:ascii="Arial" w:cs="Arial" w:eastAsia="Arial" w:hAnsi="Arial"/>
                <w:b w:val="false"/>
                <w:bCs w:val="false"/>
                <w:sz w:val="21"/>
                <w:szCs w:val="21"/>
              </w:rPr>
              <w:t xml:space="preserve">Sensor Layer</w:t>
            </w:r>
          </w:p>
        </w:tc>
        <w:tc>
          <w:tcPr>
            <w:tcW w:type="dxa" w:w="3400"/>
            <w:tcBorders>
              <w:top w:val="single" w:color="CCDDEE" w:sz="1"/>
              <w:left w:val="single" w:color="CCDDEE" w:sz="1"/>
              <w:bottom w:val="single" w:color="CCDDEE" w:sz="1"/>
              <w:right w:val="single" w:color="CCDDEE" w:sz="1"/>
            </w:tcBorders>
            <w:shd w:fill="EDF5F5" w:val="clear"/>
            <w:tcMar>
              <w:top w:type="dxa" w:w="70"/>
              <w:left w:type="dxa" w:w="110"/>
              <w:bottom w:type="dxa" w:w="70"/>
              <w:right w:type="dxa" w:w="110"/>
            </w:tcMar>
          </w:tcPr>
          <w:p>
            <w:pPr>
              <w:jc w:val="center"/>
            </w:pPr>
            <w:r>
              <w:rPr>
                <w:rFonts w:ascii="Arial" w:cs="Arial" w:eastAsia="Arial" w:hAnsi="Arial"/>
                <w:b w:val="false"/>
                <w:bCs w:val="false"/>
                <w:sz w:val="21"/>
                <w:szCs w:val="21"/>
              </w:rPr>
              <w:t xml:space="preserve">ESP32-S3 nodes, soil moisture, temp, flow, pH, rain, pressure sensors</w:t>
            </w:r>
          </w:p>
        </w:tc>
        <w:tc>
          <w:tcPr>
            <w:tcW w:type="dxa" w:w="4200"/>
            <w:tcBorders>
              <w:top w:val="single" w:color="CCDDEE" w:sz="1"/>
              <w:left w:val="single" w:color="CCDDEE" w:sz="1"/>
              <w:bottom w:val="single" w:color="CCDDEE" w:sz="1"/>
              <w:right w:val="single" w:color="CCDDEE" w:sz="1"/>
            </w:tcBorders>
            <w:shd w:fill="EDF5F5" w:val="clear"/>
            <w:tcMar>
              <w:top w:type="dxa" w:w="70"/>
              <w:left w:type="dxa" w:w="110"/>
              <w:bottom w:type="dxa" w:w="70"/>
              <w:right w:type="dxa" w:w="110"/>
            </w:tcMar>
          </w:tcPr>
          <w:p>
            <w:pPr>
              <w:jc w:val="center"/>
            </w:pPr>
            <w:r>
              <w:rPr>
                <w:rFonts w:ascii="Arial" w:cs="Arial" w:eastAsia="Arial" w:hAnsi="Arial"/>
                <w:b/>
                <w:bCs/>
                <w:sz w:val="21"/>
                <w:szCs w:val="21"/>
              </w:rPr>
              <w:t xml:space="preserve">ESP-IDF, DHT22, SEN0193, YF-S201, MPX5700</w:t>
            </w:r>
          </w:p>
        </w:tc>
      </w:tr>
      <w:tr>
        <w:tc>
          <w:tcPr>
            <w:tcW w:type="dxa" w:w="1800"/>
            <w:tcBorders>
              <w:top w:val="single" w:color="CCDDEE" w:sz="1"/>
              <w:left w:val="single" w:color="CCDDEE" w:sz="1"/>
              <w:bottom w:val="single" w:color="CCDDEE" w:sz="1"/>
              <w:right w:val="single" w:color="CCDDEE" w:sz="1"/>
            </w:tcBorders>
            <w:shd w:fill="FFFFFF" w:val="clear"/>
            <w:tcMar>
              <w:top w:type="dxa" w:w="70"/>
              <w:left w:type="dxa" w:w="110"/>
              <w:bottom w:type="dxa" w:w="70"/>
              <w:right w:type="dxa" w:w="110"/>
            </w:tcMar>
          </w:tcPr>
          <w:p>
            <w:pPr>
              <w:jc w:val="left"/>
            </w:pPr>
            <w:r>
              <w:rPr>
                <w:rFonts w:ascii="Arial" w:cs="Arial" w:eastAsia="Arial" w:hAnsi="Arial"/>
                <w:b w:val="false"/>
                <w:bCs w:val="false"/>
                <w:sz w:val="21"/>
                <w:szCs w:val="21"/>
              </w:rPr>
              <w:t xml:space="preserve">Communication Layer</w:t>
            </w:r>
          </w:p>
        </w:tc>
        <w:tc>
          <w:tcPr>
            <w:tcW w:type="dxa" w:w="3400"/>
            <w:tcBorders>
              <w:top w:val="single" w:color="CCDDEE" w:sz="1"/>
              <w:left w:val="single" w:color="CCDDEE" w:sz="1"/>
              <w:bottom w:val="single" w:color="CCDDEE" w:sz="1"/>
              <w:right w:val="single" w:color="CCDDEE" w:sz="1"/>
            </w:tcBorders>
            <w:shd w:fill="FFFFFF" w:val="clear"/>
            <w:tcMar>
              <w:top w:type="dxa" w:w="70"/>
              <w:left w:type="dxa" w:w="110"/>
              <w:bottom w:type="dxa" w:w="70"/>
              <w:right w:type="dxa" w:w="110"/>
            </w:tcMar>
          </w:tcPr>
          <w:p>
            <w:pPr>
              <w:jc w:val="center"/>
            </w:pPr>
            <w:r>
              <w:rPr>
                <w:rFonts w:ascii="Arial" w:cs="Arial" w:eastAsia="Arial" w:hAnsi="Arial"/>
                <w:b w:val="false"/>
                <w:bCs w:val="false"/>
                <w:sz w:val="21"/>
                <w:szCs w:val="21"/>
              </w:rPr>
              <w:t xml:space="preserve">TLS-MQTT broker, LoRaWAN gateway, Ed25519 signing</w:t>
            </w:r>
          </w:p>
        </w:tc>
        <w:tc>
          <w:tcPr>
            <w:tcW w:type="dxa" w:w="4200"/>
            <w:tcBorders>
              <w:top w:val="single" w:color="CCDDEE" w:sz="1"/>
              <w:left w:val="single" w:color="CCDDEE" w:sz="1"/>
              <w:bottom w:val="single" w:color="CCDDEE" w:sz="1"/>
              <w:right w:val="single" w:color="CCDDEE" w:sz="1"/>
            </w:tcBorders>
            <w:shd w:fill="FFFFFF" w:val="clear"/>
            <w:tcMar>
              <w:top w:type="dxa" w:w="70"/>
              <w:left w:type="dxa" w:w="110"/>
              <w:bottom w:type="dxa" w:w="70"/>
              <w:right w:type="dxa" w:w="110"/>
            </w:tcMar>
          </w:tcPr>
          <w:p>
            <w:pPr>
              <w:jc w:val="center"/>
            </w:pPr>
            <w:r>
              <w:rPr>
                <w:rFonts w:ascii="Arial" w:cs="Arial" w:eastAsia="Arial" w:hAnsi="Arial"/>
                <w:b/>
                <w:bCs/>
                <w:sz w:val="21"/>
                <w:szCs w:val="21"/>
              </w:rPr>
              <w:t xml:space="preserve">Mosquitto, TLS 1.3, mbed TLS, LoRa SX1276</w:t>
            </w:r>
          </w:p>
        </w:tc>
      </w:tr>
      <w:tr>
        <w:tc>
          <w:tcPr>
            <w:tcW w:type="dxa" w:w="1800"/>
            <w:tcBorders>
              <w:top w:val="single" w:color="CCDDEE" w:sz="1"/>
              <w:left w:val="single" w:color="CCDDEE" w:sz="1"/>
              <w:bottom w:val="single" w:color="CCDDEE" w:sz="1"/>
              <w:right w:val="single" w:color="CCDDEE" w:sz="1"/>
            </w:tcBorders>
            <w:shd w:fill="EDF5F5" w:val="clear"/>
            <w:tcMar>
              <w:top w:type="dxa" w:w="70"/>
              <w:left w:type="dxa" w:w="110"/>
              <w:bottom w:type="dxa" w:w="70"/>
              <w:right w:type="dxa" w:w="110"/>
            </w:tcMar>
          </w:tcPr>
          <w:p>
            <w:pPr>
              <w:jc w:val="left"/>
            </w:pPr>
            <w:r>
              <w:rPr>
                <w:rFonts w:ascii="Arial" w:cs="Arial" w:eastAsia="Arial" w:hAnsi="Arial"/>
                <w:b w:val="false"/>
                <w:bCs w:val="false"/>
                <w:sz w:val="21"/>
                <w:szCs w:val="21"/>
              </w:rPr>
              <w:t xml:space="preserve">Backend Layer</w:t>
            </w:r>
          </w:p>
        </w:tc>
        <w:tc>
          <w:tcPr>
            <w:tcW w:type="dxa" w:w="3400"/>
            <w:tcBorders>
              <w:top w:val="single" w:color="CCDDEE" w:sz="1"/>
              <w:left w:val="single" w:color="CCDDEE" w:sz="1"/>
              <w:bottom w:val="single" w:color="CCDDEE" w:sz="1"/>
              <w:right w:val="single" w:color="CCDDEE" w:sz="1"/>
            </w:tcBorders>
            <w:shd w:fill="EDF5F5" w:val="clear"/>
            <w:tcMar>
              <w:top w:type="dxa" w:w="70"/>
              <w:left w:type="dxa" w:w="110"/>
              <w:bottom w:type="dxa" w:w="70"/>
              <w:right w:type="dxa" w:w="110"/>
            </w:tcMar>
          </w:tcPr>
          <w:p>
            <w:pPr>
              <w:jc w:val="center"/>
            </w:pPr>
            <w:r>
              <w:rPr>
                <w:rFonts w:ascii="Arial" w:cs="Arial" w:eastAsia="Arial" w:hAnsi="Arial"/>
                <w:b w:val="false"/>
                <w:bCs w:val="false"/>
                <w:sz w:val="21"/>
                <w:szCs w:val="21"/>
              </w:rPr>
              <w:t xml:space="preserve">REST API, database, auth, encryption, audit</w:t>
            </w:r>
          </w:p>
        </w:tc>
        <w:tc>
          <w:tcPr>
            <w:tcW w:type="dxa" w:w="4200"/>
            <w:tcBorders>
              <w:top w:val="single" w:color="CCDDEE" w:sz="1"/>
              <w:left w:val="single" w:color="CCDDEE" w:sz="1"/>
              <w:bottom w:val="single" w:color="CCDDEE" w:sz="1"/>
              <w:right w:val="single" w:color="CCDDEE" w:sz="1"/>
            </w:tcBorders>
            <w:shd w:fill="EDF5F5" w:val="clear"/>
            <w:tcMar>
              <w:top w:type="dxa" w:w="70"/>
              <w:left w:type="dxa" w:w="110"/>
              <w:bottom w:type="dxa" w:w="70"/>
              <w:right w:type="dxa" w:w="110"/>
            </w:tcMar>
          </w:tcPr>
          <w:p>
            <w:pPr>
              <w:jc w:val="center"/>
            </w:pPr>
            <w:r>
              <w:rPr>
                <w:rFonts w:ascii="Arial" w:cs="Arial" w:eastAsia="Arial" w:hAnsi="Arial"/>
                <w:b/>
                <w:bCs/>
                <w:sz w:val="21"/>
                <w:szCs w:val="21"/>
              </w:rPr>
              <w:t xml:space="preserve">Node.js, PostgreSQL, JWT, AES-256-GCM, Helmet</w:t>
            </w:r>
          </w:p>
        </w:tc>
      </w:tr>
      <w:tr>
        <w:tc>
          <w:tcPr>
            <w:tcW w:type="dxa" w:w="1800"/>
            <w:tcBorders>
              <w:top w:val="single" w:color="CCDDEE" w:sz="1"/>
              <w:left w:val="single" w:color="CCDDEE" w:sz="1"/>
              <w:bottom w:val="single" w:color="CCDDEE" w:sz="1"/>
              <w:right w:val="single" w:color="CCDDEE" w:sz="1"/>
            </w:tcBorders>
            <w:shd w:fill="FFFFFF" w:val="clear"/>
            <w:tcMar>
              <w:top w:type="dxa" w:w="70"/>
              <w:left w:type="dxa" w:w="110"/>
              <w:bottom w:type="dxa" w:w="70"/>
              <w:right w:type="dxa" w:w="110"/>
            </w:tcMar>
          </w:tcPr>
          <w:p>
            <w:pPr>
              <w:jc w:val="left"/>
            </w:pPr>
            <w:r>
              <w:rPr>
                <w:rFonts w:ascii="Arial" w:cs="Arial" w:eastAsia="Arial" w:hAnsi="Arial"/>
                <w:b w:val="false"/>
                <w:bCs w:val="false"/>
                <w:sz w:val="21"/>
                <w:szCs w:val="21"/>
              </w:rPr>
              <w:t xml:space="preserve">AI/Analytics Layer</w:t>
            </w:r>
          </w:p>
        </w:tc>
        <w:tc>
          <w:tcPr>
            <w:tcW w:type="dxa" w:w="3400"/>
            <w:tcBorders>
              <w:top w:val="single" w:color="CCDDEE" w:sz="1"/>
              <w:left w:val="single" w:color="CCDDEE" w:sz="1"/>
              <w:bottom w:val="single" w:color="CCDDEE" w:sz="1"/>
              <w:right w:val="single" w:color="CCDDEE" w:sz="1"/>
            </w:tcBorders>
            <w:shd w:fill="FFFFFF" w:val="clear"/>
            <w:tcMar>
              <w:top w:type="dxa" w:w="70"/>
              <w:left w:type="dxa" w:w="110"/>
              <w:bottom w:type="dxa" w:w="70"/>
              <w:right w:type="dxa" w:w="110"/>
            </w:tcMar>
          </w:tcPr>
          <w:p>
            <w:pPr>
              <w:jc w:val="center"/>
            </w:pPr>
            <w:r>
              <w:rPr>
                <w:rFonts w:ascii="Arial" w:cs="Arial" w:eastAsia="Arial" w:hAnsi="Arial"/>
                <w:b w:val="false"/>
                <w:bCs w:val="false"/>
                <w:sz w:val="21"/>
                <w:szCs w:val="21"/>
              </w:rPr>
              <w:t xml:space="preserve">ET₀ model, LSTM scheduler, anomaly detection</w:t>
            </w:r>
          </w:p>
        </w:tc>
        <w:tc>
          <w:tcPr>
            <w:tcW w:type="dxa" w:w="4200"/>
            <w:tcBorders>
              <w:top w:val="single" w:color="CCDDEE" w:sz="1"/>
              <w:left w:val="single" w:color="CCDDEE" w:sz="1"/>
              <w:bottom w:val="single" w:color="CCDDEE" w:sz="1"/>
              <w:right w:val="single" w:color="CCDDEE" w:sz="1"/>
            </w:tcBorders>
            <w:shd w:fill="FFFFFF" w:val="clear"/>
            <w:tcMar>
              <w:top w:type="dxa" w:w="70"/>
              <w:left w:type="dxa" w:w="110"/>
              <w:bottom w:type="dxa" w:w="70"/>
              <w:right w:type="dxa" w:w="110"/>
            </w:tcMar>
          </w:tcPr>
          <w:p>
            <w:pPr>
              <w:jc w:val="center"/>
            </w:pPr>
            <w:r>
              <w:rPr>
                <w:rFonts w:ascii="Arial" w:cs="Arial" w:eastAsia="Arial" w:hAnsi="Arial"/>
                <w:b/>
                <w:bCs/>
                <w:sz w:val="21"/>
                <w:szCs w:val="21"/>
              </w:rPr>
              <w:t xml:space="preserve">Python, TensorFlow, FAO-56, IMD Weather API</w:t>
            </w:r>
          </w:p>
        </w:tc>
      </w:tr>
      <w:tr>
        <w:tc>
          <w:tcPr>
            <w:tcW w:type="dxa" w:w="1800"/>
            <w:tcBorders>
              <w:top w:val="single" w:color="CCDDEE" w:sz="1"/>
              <w:left w:val="single" w:color="CCDDEE" w:sz="1"/>
              <w:bottom w:val="single" w:color="CCDDEE" w:sz="1"/>
              <w:right w:val="single" w:color="CCDDEE" w:sz="1"/>
            </w:tcBorders>
            <w:shd w:fill="EDF5F5" w:val="clear"/>
            <w:tcMar>
              <w:top w:type="dxa" w:w="70"/>
              <w:left w:type="dxa" w:w="110"/>
              <w:bottom w:type="dxa" w:w="70"/>
              <w:right w:type="dxa" w:w="110"/>
            </w:tcMar>
          </w:tcPr>
          <w:p>
            <w:pPr>
              <w:jc w:val="left"/>
            </w:pPr>
            <w:r>
              <w:rPr>
                <w:rFonts w:ascii="Arial" w:cs="Arial" w:eastAsia="Arial" w:hAnsi="Arial"/>
                <w:b w:val="false"/>
                <w:bCs w:val="false"/>
                <w:sz w:val="21"/>
                <w:szCs w:val="21"/>
              </w:rPr>
              <w:t xml:space="preserve">Dashboard Layer</w:t>
            </w:r>
          </w:p>
        </w:tc>
        <w:tc>
          <w:tcPr>
            <w:tcW w:type="dxa" w:w="3400"/>
            <w:tcBorders>
              <w:top w:val="single" w:color="CCDDEE" w:sz="1"/>
              <w:left w:val="single" w:color="CCDDEE" w:sz="1"/>
              <w:bottom w:val="single" w:color="CCDDEE" w:sz="1"/>
              <w:right w:val="single" w:color="CCDDEE" w:sz="1"/>
            </w:tcBorders>
            <w:shd w:fill="EDF5F5" w:val="clear"/>
            <w:tcMar>
              <w:top w:type="dxa" w:w="70"/>
              <w:left w:type="dxa" w:w="110"/>
              <w:bottom w:type="dxa" w:w="70"/>
              <w:right w:type="dxa" w:w="110"/>
            </w:tcMar>
          </w:tcPr>
          <w:p>
            <w:pPr>
              <w:jc w:val="center"/>
            </w:pPr>
            <w:r>
              <w:rPr>
                <w:rFonts w:ascii="Arial" w:cs="Arial" w:eastAsia="Arial" w:hAnsi="Arial"/>
                <w:b w:val="false"/>
                <w:bCs w:val="false"/>
                <w:sz w:val="21"/>
                <w:szCs w:val="21"/>
              </w:rPr>
              <w:t xml:space="preserve">Real-time web app, mobile app, alerts, reports</w:t>
            </w:r>
          </w:p>
        </w:tc>
        <w:tc>
          <w:tcPr>
            <w:tcW w:type="dxa" w:w="4200"/>
            <w:tcBorders>
              <w:top w:val="single" w:color="CCDDEE" w:sz="1"/>
              <w:left w:val="single" w:color="CCDDEE" w:sz="1"/>
              <w:bottom w:val="single" w:color="CCDDEE" w:sz="1"/>
              <w:right w:val="single" w:color="CCDDEE" w:sz="1"/>
            </w:tcBorders>
            <w:shd w:fill="EDF5F5" w:val="clear"/>
            <w:tcMar>
              <w:top w:type="dxa" w:w="70"/>
              <w:left w:type="dxa" w:w="110"/>
              <w:bottom w:type="dxa" w:w="70"/>
              <w:right w:type="dxa" w:w="110"/>
            </w:tcMar>
          </w:tcPr>
          <w:p>
            <w:pPr>
              <w:jc w:val="center"/>
            </w:pPr>
            <w:r>
              <w:rPr>
                <w:rFonts w:ascii="Arial" w:cs="Arial" w:eastAsia="Arial" w:hAnsi="Arial"/>
                <w:b/>
                <w:bCs/>
                <w:sz w:val="21"/>
                <w:szCs w:val="21"/>
              </w:rPr>
              <w:t xml:space="preserve">React, WebSocket, Chart.js, PWA</w:t>
            </w:r>
          </w:p>
        </w:tc>
      </w:tr>
    </w:tbl>
    <w:p>
      <w:pPr>
        <w:spacing w:after="140"/>
      </w:pPr>
    </w:p>
    <w:p>
      <w:pPr>
        <w:spacing w:after="80" w:before="160"/>
      </w:pPr>
      <w:r>
        <w:rPr>
          <w:rFonts w:ascii="Arial" w:cs="Arial" w:eastAsia="Arial" w:hAnsi="Arial"/>
          <w:b/>
          <w:bCs/>
          <w:color w:val="00736A"/>
          <w:sz w:val="24"/>
          <w:szCs w:val="24"/>
        </w:rPr>
        <w:t xml:space="preserve">4.2 Security Architecture: 10-Layer Defense-in-Depth</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500"/>
        <w:gridCol w:w="3500"/>
        <w:gridCol w:w="5400"/>
      </w:tblGrid>
      <w:tr>
        <w:tc>
          <w:tcPr>
            <w:tcW w:type="dxa" w:w="500"/>
            <w:tcBorders>
              <w:top w:val="single" w:color="CCDDEE" w:sz="1"/>
              <w:left w:val="single" w:color="CCDDEE" w:sz="1"/>
              <w:bottom w:val="single" w:color="CCDDEE" w:sz="1"/>
              <w:right w:val="single" w:color="CCDDEE" w:sz="1"/>
            </w:tcBorders>
            <w:shd w:fill="0D1B2A"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w:t>
            </w:r>
          </w:p>
        </w:tc>
        <w:tc>
          <w:tcPr>
            <w:tcW w:type="dxa" w:w="3500"/>
            <w:tcBorders>
              <w:top w:val="single" w:color="CCDDEE" w:sz="1"/>
              <w:left w:val="single" w:color="CCDDEE" w:sz="1"/>
              <w:bottom w:val="single" w:color="CCDDEE" w:sz="1"/>
              <w:right w:val="single" w:color="CCDDEE" w:sz="1"/>
            </w:tcBorders>
            <w:shd w:fill="0D1B2A"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Security Control</w:t>
            </w:r>
          </w:p>
        </w:tc>
        <w:tc>
          <w:tcPr>
            <w:tcW w:type="dxa" w:w="5400"/>
            <w:tcBorders>
              <w:top w:val="single" w:color="CCDDEE" w:sz="1"/>
              <w:left w:val="single" w:color="CCDDEE" w:sz="1"/>
              <w:bottom w:val="single" w:color="CCDDEE" w:sz="1"/>
              <w:right w:val="single" w:color="CCDDEE" w:sz="1"/>
            </w:tcBorders>
            <w:shd w:fill="0D1B2A"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Vulnerability Addressed</w:t>
            </w:r>
          </w:p>
        </w:tc>
      </w:tr>
      <w:tr>
        <w:tc>
          <w:tcPr>
            <w:tcW w:type="dxa" w:w="500"/>
            <w:tcBorders>
              <w:top w:val="single" w:color="CCDDEE" w:sz="1"/>
              <w:left w:val="single" w:color="CCDDEE" w:sz="1"/>
              <w:bottom w:val="single" w:color="CCDDEE" w:sz="1"/>
              <w:right w:val="single" w:color="CCDDEE" w:sz="1"/>
            </w:tcBorders>
            <w:shd w:fill="EDF5F5" w:val="clear"/>
            <w:tcMar>
              <w:top w:type="dxa" w:w="70"/>
              <w:left w:type="dxa" w:w="110"/>
              <w:bottom w:type="dxa" w:w="70"/>
              <w:right w:type="dxa" w:w="110"/>
            </w:tcMar>
          </w:tcPr>
          <w:p>
            <w:pPr>
              <w:jc w:val="left"/>
            </w:pPr>
            <w:r>
              <w:rPr>
                <w:rFonts w:ascii="Arial" w:cs="Arial" w:eastAsia="Arial" w:hAnsi="Arial"/>
                <w:b w:val="false"/>
                <w:bCs w:val="false"/>
                <w:sz w:val="21"/>
                <w:szCs w:val="21"/>
              </w:rPr>
              <w:t xml:space="preserve">1</w:t>
            </w:r>
          </w:p>
        </w:tc>
        <w:tc>
          <w:tcPr>
            <w:tcW w:type="dxa" w:w="3500"/>
            <w:tcBorders>
              <w:top w:val="single" w:color="CCDDEE" w:sz="1"/>
              <w:left w:val="single" w:color="CCDDEE" w:sz="1"/>
              <w:bottom w:val="single" w:color="CCDDEE" w:sz="1"/>
              <w:right w:val="single" w:color="CCDDEE" w:sz="1"/>
            </w:tcBorders>
            <w:shd w:fill="EDF5F5" w:val="clear"/>
            <w:tcMar>
              <w:top w:type="dxa" w:w="70"/>
              <w:left w:type="dxa" w:w="110"/>
              <w:bottom w:type="dxa" w:w="70"/>
              <w:right w:type="dxa" w:w="110"/>
            </w:tcMar>
          </w:tcPr>
          <w:p>
            <w:pPr>
              <w:jc w:val="center"/>
            </w:pPr>
            <w:r>
              <w:rPr>
                <w:rFonts w:ascii="Arial" w:cs="Arial" w:eastAsia="Arial" w:hAnsi="Arial"/>
                <w:b w:val="false"/>
                <w:bCs w:val="false"/>
                <w:sz w:val="21"/>
                <w:szCs w:val="21"/>
              </w:rPr>
              <w:t xml:space="preserve">JWT + Role-Based Access Control (RBAC)</w:t>
            </w:r>
          </w:p>
        </w:tc>
        <w:tc>
          <w:tcPr>
            <w:tcW w:type="dxa" w:w="5400"/>
            <w:tcBorders>
              <w:top w:val="single" w:color="CCDDEE" w:sz="1"/>
              <w:left w:val="single" w:color="CCDDEE" w:sz="1"/>
              <w:bottom w:val="single" w:color="CCDDEE" w:sz="1"/>
              <w:right w:val="single" w:color="CCDDEE" w:sz="1"/>
            </w:tcBorders>
            <w:shd w:fill="EDF5F5" w:val="clear"/>
            <w:tcMar>
              <w:top w:type="dxa" w:w="70"/>
              <w:left w:type="dxa" w:w="110"/>
              <w:bottom w:type="dxa" w:w="70"/>
              <w:right w:type="dxa" w:w="110"/>
            </w:tcMar>
          </w:tcPr>
          <w:p>
            <w:pPr>
              <w:jc w:val="center"/>
            </w:pPr>
            <w:r>
              <w:rPr>
                <w:rFonts w:ascii="Arial" w:cs="Arial" w:eastAsia="Arial" w:hAnsi="Arial"/>
                <w:b/>
                <w:bCs/>
                <w:sz w:val="21"/>
                <w:szCs w:val="21"/>
              </w:rPr>
              <w:t xml:space="preserve">Unauthenticated API access</w:t>
            </w:r>
          </w:p>
        </w:tc>
      </w:tr>
      <w:tr>
        <w:tc>
          <w:tcPr>
            <w:tcW w:type="dxa" w:w="500"/>
            <w:tcBorders>
              <w:top w:val="single" w:color="CCDDEE" w:sz="1"/>
              <w:left w:val="single" w:color="CCDDEE" w:sz="1"/>
              <w:bottom w:val="single" w:color="CCDDEE" w:sz="1"/>
              <w:right w:val="single" w:color="CCDDEE" w:sz="1"/>
            </w:tcBorders>
            <w:shd w:fill="FFFFFF" w:val="clear"/>
            <w:tcMar>
              <w:top w:type="dxa" w:w="70"/>
              <w:left w:type="dxa" w:w="110"/>
              <w:bottom w:type="dxa" w:w="70"/>
              <w:right w:type="dxa" w:w="110"/>
            </w:tcMar>
          </w:tcPr>
          <w:p>
            <w:pPr>
              <w:jc w:val="left"/>
            </w:pPr>
            <w:r>
              <w:rPr>
                <w:rFonts w:ascii="Arial" w:cs="Arial" w:eastAsia="Arial" w:hAnsi="Arial"/>
                <w:b w:val="false"/>
                <w:bCs w:val="false"/>
                <w:sz w:val="21"/>
                <w:szCs w:val="21"/>
              </w:rPr>
              <w:t xml:space="preserve">2</w:t>
            </w:r>
          </w:p>
        </w:tc>
        <w:tc>
          <w:tcPr>
            <w:tcW w:type="dxa" w:w="3500"/>
            <w:tcBorders>
              <w:top w:val="single" w:color="CCDDEE" w:sz="1"/>
              <w:left w:val="single" w:color="CCDDEE" w:sz="1"/>
              <w:bottom w:val="single" w:color="CCDDEE" w:sz="1"/>
              <w:right w:val="single" w:color="CCDDEE" w:sz="1"/>
            </w:tcBorders>
            <w:shd w:fill="FFFFFF" w:val="clear"/>
            <w:tcMar>
              <w:top w:type="dxa" w:w="70"/>
              <w:left w:type="dxa" w:w="110"/>
              <w:bottom w:type="dxa" w:w="70"/>
              <w:right w:type="dxa" w:w="110"/>
            </w:tcMar>
          </w:tcPr>
          <w:p>
            <w:pPr>
              <w:jc w:val="center"/>
            </w:pPr>
            <w:r>
              <w:rPr>
                <w:rFonts w:ascii="Arial" w:cs="Arial" w:eastAsia="Arial" w:hAnsi="Arial"/>
                <w:b w:val="false"/>
                <w:bCs w:val="false"/>
                <w:sz w:val="21"/>
                <w:szCs w:val="21"/>
              </w:rPr>
              <w:t xml:space="preserve">TLS 1.3 for all MQTT, HTTP, WebSocket</w:t>
            </w:r>
          </w:p>
        </w:tc>
        <w:tc>
          <w:tcPr>
            <w:tcW w:type="dxa" w:w="5400"/>
            <w:tcBorders>
              <w:top w:val="single" w:color="CCDDEE" w:sz="1"/>
              <w:left w:val="single" w:color="CCDDEE" w:sz="1"/>
              <w:bottom w:val="single" w:color="CCDDEE" w:sz="1"/>
              <w:right w:val="single" w:color="CCDDEE" w:sz="1"/>
            </w:tcBorders>
            <w:shd w:fill="FFFFFF" w:val="clear"/>
            <w:tcMar>
              <w:top w:type="dxa" w:w="70"/>
              <w:left w:type="dxa" w:w="110"/>
              <w:bottom w:type="dxa" w:w="70"/>
              <w:right w:type="dxa" w:w="110"/>
            </w:tcMar>
          </w:tcPr>
          <w:p>
            <w:pPr>
              <w:jc w:val="center"/>
            </w:pPr>
            <w:r>
              <w:rPr>
                <w:rFonts w:ascii="Arial" w:cs="Arial" w:eastAsia="Arial" w:hAnsi="Arial"/>
                <w:b/>
                <w:bCs/>
                <w:sz w:val="21"/>
                <w:szCs w:val="21"/>
              </w:rPr>
              <w:t xml:space="preserve">Plain-text interception</w:t>
            </w:r>
          </w:p>
        </w:tc>
      </w:tr>
      <w:tr>
        <w:tc>
          <w:tcPr>
            <w:tcW w:type="dxa" w:w="500"/>
            <w:tcBorders>
              <w:top w:val="single" w:color="CCDDEE" w:sz="1"/>
              <w:left w:val="single" w:color="CCDDEE" w:sz="1"/>
              <w:bottom w:val="single" w:color="CCDDEE" w:sz="1"/>
              <w:right w:val="single" w:color="CCDDEE" w:sz="1"/>
            </w:tcBorders>
            <w:shd w:fill="EDF5F5" w:val="clear"/>
            <w:tcMar>
              <w:top w:type="dxa" w:w="70"/>
              <w:left w:type="dxa" w:w="110"/>
              <w:bottom w:type="dxa" w:w="70"/>
              <w:right w:type="dxa" w:w="110"/>
            </w:tcMar>
          </w:tcPr>
          <w:p>
            <w:pPr>
              <w:jc w:val="left"/>
            </w:pPr>
            <w:r>
              <w:rPr>
                <w:rFonts w:ascii="Arial" w:cs="Arial" w:eastAsia="Arial" w:hAnsi="Arial"/>
                <w:b w:val="false"/>
                <w:bCs w:val="false"/>
                <w:sz w:val="21"/>
                <w:szCs w:val="21"/>
              </w:rPr>
              <w:t xml:space="preserve">3</w:t>
            </w:r>
          </w:p>
        </w:tc>
        <w:tc>
          <w:tcPr>
            <w:tcW w:type="dxa" w:w="3500"/>
            <w:tcBorders>
              <w:top w:val="single" w:color="CCDDEE" w:sz="1"/>
              <w:left w:val="single" w:color="CCDDEE" w:sz="1"/>
              <w:bottom w:val="single" w:color="CCDDEE" w:sz="1"/>
              <w:right w:val="single" w:color="CCDDEE" w:sz="1"/>
            </w:tcBorders>
            <w:shd w:fill="EDF5F5" w:val="clear"/>
            <w:tcMar>
              <w:top w:type="dxa" w:w="70"/>
              <w:left w:type="dxa" w:w="110"/>
              <w:bottom w:type="dxa" w:w="70"/>
              <w:right w:type="dxa" w:w="110"/>
            </w:tcMar>
          </w:tcPr>
          <w:p>
            <w:pPr>
              <w:jc w:val="center"/>
            </w:pPr>
            <w:r>
              <w:rPr>
                <w:rFonts w:ascii="Arial" w:cs="Arial" w:eastAsia="Arial" w:hAnsi="Arial"/>
                <w:b w:val="false"/>
                <w:bCs w:val="false"/>
                <w:sz w:val="21"/>
                <w:szCs w:val="21"/>
              </w:rPr>
              <w:t xml:space="preserve">Ed25519 device signatures on every reading</w:t>
            </w:r>
          </w:p>
        </w:tc>
        <w:tc>
          <w:tcPr>
            <w:tcW w:type="dxa" w:w="5400"/>
            <w:tcBorders>
              <w:top w:val="single" w:color="CCDDEE" w:sz="1"/>
              <w:left w:val="single" w:color="CCDDEE" w:sz="1"/>
              <w:bottom w:val="single" w:color="CCDDEE" w:sz="1"/>
              <w:right w:val="single" w:color="CCDDEE" w:sz="1"/>
            </w:tcBorders>
            <w:shd w:fill="EDF5F5" w:val="clear"/>
            <w:tcMar>
              <w:top w:type="dxa" w:w="70"/>
              <w:left w:type="dxa" w:w="110"/>
              <w:bottom w:type="dxa" w:w="70"/>
              <w:right w:type="dxa" w:w="110"/>
            </w:tcMar>
          </w:tcPr>
          <w:p>
            <w:pPr>
              <w:jc w:val="center"/>
            </w:pPr>
            <w:r>
              <w:rPr>
                <w:rFonts w:ascii="Arial" w:cs="Arial" w:eastAsia="Arial" w:hAnsi="Arial"/>
                <w:b/>
                <w:bCs/>
                <w:sz w:val="21"/>
                <w:szCs w:val="21"/>
              </w:rPr>
              <w:t xml:space="preserve">Sensor data forgery</w:t>
            </w:r>
          </w:p>
        </w:tc>
      </w:tr>
      <w:tr>
        <w:tc>
          <w:tcPr>
            <w:tcW w:type="dxa" w:w="500"/>
            <w:tcBorders>
              <w:top w:val="single" w:color="CCDDEE" w:sz="1"/>
              <w:left w:val="single" w:color="CCDDEE" w:sz="1"/>
              <w:bottom w:val="single" w:color="CCDDEE" w:sz="1"/>
              <w:right w:val="single" w:color="CCDDEE" w:sz="1"/>
            </w:tcBorders>
            <w:shd w:fill="FFFFFF" w:val="clear"/>
            <w:tcMar>
              <w:top w:type="dxa" w:w="70"/>
              <w:left w:type="dxa" w:w="110"/>
              <w:bottom w:type="dxa" w:w="70"/>
              <w:right w:type="dxa" w:w="110"/>
            </w:tcMar>
          </w:tcPr>
          <w:p>
            <w:pPr>
              <w:jc w:val="left"/>
            </w:pPr>
            <w:r>
              <w:rPr>
                <w:rFonts w:ascii="Arial" w:cs="Arial" w:eastAsia="Arial" w:hAnsi="Arial"/>
                <w:b w:val="false"/>
                <w:bCs w:val="false"/>
                <w:sz w:val="21"/>
                <w:szCs w:val="21"/>
              </w:rPr>
              <w:t xml:space="preserve">4</w:t>
            </w:r>
          </w:p>
        </w:tc>
        <w:tc>
          <w:tcPr>
            <w:tcW w:type="dxa" w:w="3500"/>
            <w:tcBorders>
              <w:top w:val="single" w:color="CCDDEE" w:sz="1"/>
              <w:left w:val="single" w:color="CCDDEE" w:sz="1"/>
              <w:bottom w:val="single" w:color="CCDDEE" w:sz="1"/>
              <w:right w:val="single" w:color="CCDDEE" w:sz="1"/>
            </w:tcBorders>
            <w:shd w:fill="FFFFFF" w:val="clear"/>
            <w:tcMar>
              <w:top w:type="dxa" w:w="70"/>
              <w:left w:type="dxa" w:w="110"/>
              <w:bottom w:type="dxa" w:w="70"/>
              <w:right w:type="dxa" w:w="110"/>
            </w:tcMar>
          </w:tcPr>
          <w:p>
            <w:pPr>
              <w:jc w:val="center"/>
            </w:pPr>
            <w:r>
              <w:rPr>
                <w:rFonts w:ascii="Arial" w:cs="Arial" w:eastAsia="Arial" w:hAnsi="Arial"/>
                <w:b w:val="false"/>
                <w:bCs w:val="false"/>
                <w:sz w:val="21"/>
                <w:szCs w:val="21"/>
              </w:rPr>
              <w:t xml:space="preserve">Nonce + timestamp anti-replay mechanism</w:t>
            </w:r>
          </w:p>
        </w:tc>
        <w:tc>
          <w:tcPr>
            <w:tcW w:type="dxa" w:w="5400"/>
            <w:tcBorders>
              <w:top w:val="single" w:color="CCDDEE" w:sz="1"/>
              <w:left w:val="single" w:color="CCDDEE" w:sz="1"/>
              <w:bottom w:val="single" w:color="CCDDEE" w:sz="1"/>
              <w:right w:val="single" w:color="CCDDEE" w:sz="1"/>
            </w:tcBorders>
            <w:shd w:fill="FFFFFF" w:val="clear"/>
            <w:tcMar>
              <w:top w:type="dxa" w:w="70"/>
              <w:left w:type="dxa" w:w="110"/>
              <w:bottom w:type="dxa" w:w="70"/>
              <w:right w:type="dxa" w:w="110"/>
            </w:tcMar>
          </w:tcPr>
          <w:p>
            <w:pPr>
              <w:jc w:val="center"/>
            </w:pPr>
            <w:r>
              <w:rPr>
                <w:rFonts w:ascii="Arial" w:cs="Arial" w:eastAsia="Arial" w:hAnsi="Arial"/>
                <w:b/>
                <w:bCs/>
                <w:sz w:val="21"/>
                <w:szCs w:val="21"/>
              </w:rPr>
              <w:t xml:space="preserve">Command replay attacks</w:t>
            </w:r>
          </w:p>
        </w:tc>
      </w:tr>
      <w:tr>
        <w:tc>
          <w:tcPr>
            <w:tcW w:type="dxa" w:w="500"/>
            <w:tcBorders>
              <w:top w:val="single" w:color="CCDDEE" w:sz="1"/>
              <w:left w:val="single" w:color="CCDDEE" w:sz="1"/>
              <w:bottom w:val="single" w:color="CCDDEE" w:sz="1"/>
              <w:right w:val="single" w:color="CCDDEE" w:sz="1"/>
            </w:tcBorders>
            <w:shd w:fill="EDF5F5" w:val="clear"/>
            <w:tcMar>
              <w:top w:type="dxa" w:w="70"/>
              <w:left w:type="dxa" w:w="110"/>
              <w:bottom w:type="dxa" w:w="70"/>
              <w:right w:type="dxa" w:w="110"/>
            </w:tcMar>
          </w:tcPr>
          <w:p>
            <w:pPr>
              <w:jc w:val="left"/>
            </w:pPr>
            <w:r>
              <w:rPr>
                <w:rFonts w:ascii="Arial" w:cs="Arial" w:eastAsia="Arial" w:hAnsi="Arial"/>
                <w:b w:val="false"/>
                <w:bCs w:val="false"/>
                <w:sz w:val="21"/>
                <w:szCs w:val="21"/>
              </w:rPr>
              <w:t xml:space="preserve">5</w:t>
            </w:r>
          </w:p>
        </w:tc>
        <w:tc>
          <w:tcPr>
            <w:tcW w:type="dxa" w:w="3500"/>
            <w:tcBorders>
              <w:top w:val="single" w:color="CCDDEE" w:sz="1"/>
              <w:left w:val="single" w:color="CCDDEE" w:sz="1"/>
              <w:bottom w:val="single" w:color="CCDDEE" w:sz="1"/>
              <w:right w:val="single" w:color="CCDDEE" w:sz="1"/>
            </w:tcBorders>
            <w:shd w:fill="EDF5F5" w:val="clear"/>
            <w:tcMar>
              <w:top w:type="dxa" w:w="70"/>
              <w:left w:type="dxa" w:w="110"/>
              <w:bottom w:type="dxa" w:w="70"/>
              <w:right w:type="dxa" w:w="110"/>
            </w:tcMar>
          </w:tcPr>
          <w:p>
            <w:pPr>
              <w:jc w:val="center"/>
            </w:pPr>
            <w:r>
              <w:rPr>
                <w:rFonts w:ascii="Arial" w:cs="Arial" w:eastAsia="Arial" w:hAnsi="Arial"/>
                <w:b w:val="false"/>
                <w:bCs w:val="false"/>
                <w:sz w:val="21"/>
                <w:szCs w:val="21"/>
              </w:rPr>
              <w:t xml:space="preserve">AES-256-GCM encrypted data at rest</w:t>
            </w:r>
          </w:p>
        </w:tc>
        <w:tc>
          <w:tcPr>
            <w:tcW w:type="dxa" w:w="5400"/>
            <w:tcBorders>
              <w:top w:val="single" w:color="CCDDEE" w:sz="1"/>
              <w:left w:val="single" w:color="CCDDEE" w:sz="1"/>
              <w:bottom w:val="single" w:color="CCDDEE" w:sz="1"/>
              <w:right w:val="single" w:color="CCDDEE" w:sz="1"/>
            </w:tcBorders>
            <w:shd w:fill="EDF5F5" w:val="clear"/>
            <w:tcMar>
              <w:top w:type="dxa" w:w="70"/>
              <w:left w:type="dxa" w:w="110"/>
              <w:bottom w:type="dxa" w:w="70"/>
              <w:right w:type="dxa" w:w="110"/>
            </w:tcMar>
          </w:tcPr>
          <w:p>
            <w:pPr>
              <w:jc w:val="center"/>
            </w:pPr>
            <w:r>
              <w:rPr>
                <w:rFonts w:ascii="Arial" w:cs="Arial" w:eastAsia="Arial" w:hAnsi="Arial"/>
                <w:b/>
                <w:bCs/>
                <w:sz w:val="21"/>
                <w:szCs w:val="21"/>
              </w:rPr>
              <w:t xml:space="preserve">Database exfiltration</w:t>
            </w:r>
          </w:p>
        </w:tc>
      </w:tr>
      <w:tr>
        <w:tc>
          <w:tcPr>
            <w:tcW w:type="dxa" w:w="500"/>
            <w:tcBorders>
              <w:top w:val="single" w:color="CCDDEE" w:sz="1"/>
              <w:left w:val="single" w:color="CCDDEE" w:sz="1"/>
              <w:bottom w:val="single" w:color="CCDDEE" w:sz="1"/>
              <w:right w:val="single" w:color="CCDDEE" w:sz="1"/>
            </w:tcBorders>
            <w:shd w:fill="FFFFFF" w:val="clear"/>
            <w:tcMar>
              <w:top w:type="dxa" w:w="70"/>
              <w:left w:type="dxa" w:w="110"/>
              <w:bottom w:type="dxa" w:w="70"/>
              <w:right w:type="dxa" w:w="110"/>
            </w:tcMar>
          </w:tcPr>
          <w:p>
            <w:pPr>
              <w:jc w:val="left"/>
            </w:pPr>
            <w:r>
              <w:rPr>
                <w:rFonts w:ascii="Arial" w:cs="Arial" w:eastAsia="Arial" w:hAnsi="Arial"/>
                <w:b w:val="false"/>
                <w:bCs w:val="false"/>
                <w:sz w:val="21"/>
                <w:szCs w:val="21"/>
              </w:rPr>
              <w:t xml:space="preserve">6</w:t>
            </w:r>
          </w:p>
        </w:tc>
        <w:tc>
          <w:tcPr>
            <w:tcW w:type="dxa" w:w="3500"/>
            <w:tcBorders>
              <w:top w:val="single" w:color="CCDDEE" w:sz="1"/>
              <w:left w:val="single" w:color="CCDDEE" w:sz="1"/>
              <w:bottom w:val="single" w:color="CCDDEE" w:sz="1"/>
              <w:right w:val="single" w:color="CCDDEE" w:sz="1"/>
            </w:tcBorders>
            <w:shd w:fill="FFFFFF" w:val="clear"/>
            <w:tcMar>
              <w:top w:type="dxa" w:w="70"/>
              <w:left w:type="dxa" w:w="110"/>
              <w:bottom w:type="dxa" w:w="70"/>
              <w:right w:type="dxa" w:w="110"/>
            </w:tcMar>
          </w:tcPr>
          <w:p>
            <w:pPr>
              <w:jc w:val="center"/>
            </w:pPr>
            <w:r>
              <w:rPr>
                <w:rFonts w:ascii="Arial" w:cs="Arial" w:eastAsia="Arial" w:hAnsi="Arial"/>
                <w:b w:val="false"/>
                <w:bCs w:val="false"/>
                <w:sz w:val="21"/>
                <w:szCs w:val="21"/>
              </w:rPr>
              <w:t xml:space="preserve">Rate limiting (10 auth / 300 global per 15 min)</w:t>
            </w:r>
          </w:p>
        </w:tc>
        <w:tc>
          <w:tcPr>
            <w:tcW w:type="dxa" w:w="5400"/>
            <w:tcBorders>
              <w:top w:val="single" w:color="CCDDEE" w:sz="1"/>
              <w:left w:val="single" w:color="CCDDEE" w:sz="1"/>
              <w:bottom w:val="single" w:color="CCDDEE" w:sz="1"/>
              <w:right w:val="single" w:color="CCDDEE" w:sz="1"/>
            </w:tcBorders>
            <w:shd w:fill="FFFFFF" w:val="clear"/>
            <w:tcMar>
              <w:top w:type="dxa" w:w="70"/>
              <w:left w:type="dxa" w:w="110"/>
              <w:bottom w:type="dxa" w:w="70"/>
              <w:right w:type="dxa" w:w="110"/>
            </w:tcMar>
          </w:tcPr>
          <w:p>
            <w:pPr>
              <w:jc w:val="center"/>
            </w:pPr>
            <w:r>
              <w:rPr>
                <w:rFonts w:ascii="Arial" w:cs="Arial" w:eastAsia="Arial" w:hAnsi="Arial"/>
                <w:b/>
                <w:bCs/>
                <w:sz w:val="21"/>
                <w:szCs w:val="21"/>
              </w:rPr>
              <w:t xml:space="preserve">DoS / brute-force attacks</w:t>
            </w:r>
          </w:p>
        </w:tc>
      </w:tr>
      <w:tr>
        <w:tc>
          <w:tcPr>
            <w:tcW w:type="dxa" w:w="500"/>
            <w:tcBorders>
              <w:top w:val="single" w:color="CCDDEE" w:sz="1"/>
              <w:left w:val="single" w:color="CCDDEE" w:sz="1"/>
              <w:bottom w:val="single" w:color="CCDDEE" w:sz="1"/>
              <w:right w:val="single" w:color="CCDDEE" w:sz="1"/>
            </w:tcBorders>
            <w:shd w:fill="EDF5F5" w:val="clear"/>
            <w:tcMar>
              <w:top w:type="dxa" w:w="70"/>
              <w:left w:type="dxa" w:w="110"/>
              <w:bottom w:type="dxa" w:w="70"/>
              <w:right w:type="dxa" w:w="110"/>
            </w:tcMar>
          </w:tcPr>
          <w:p>
            <w:pPr>
              <w:jc w:val="left"/>
            </w:pPr>
            <w:r>
              <w:rPr>
                <w:rFonts w:ascii="Arial" w:cs="Arial" w:eastAsia="Arial" w:hAnsi="Arial"/>
                <w:b w:val="false"/>
                <w:bCs w:val="false"/>
                <w:sz w:val="21"/>
                <w:szCs w:val="21"/>
              </w:rPr>
              <w:t xml:space="preserve">7</w:t>
            </w:r>
          </w:p>
        </w:tc>
        <w:tc>
          <w:tcPr>
            <w:tcW w:type="dxa" w:w="3500"/>
            <w:tcBorders>
              <w:top w:val="single" w:color="CCDDEE" w:sz="1"/>
              <w:left w:val="single" w:color="CCDDEE" w:sz="1"/>
              <w:bottom w:val="single" w:color="CCDDEE" w:sz="1"/>
              <w:right w:val="single" w:color="CCDDEE" w:sz="1"/>
            </w:tcBorders>
            <w:shd w:fill="EDF5F5" w:val="clear"/>
            <w:tcMar>
              <w:top w:type="dxa" w:w="70"/>
              <w:left w:type="dxa" w:w="110"/>
              <w:bottom w:type="dxa" w:w="70"/>
              <w:right w:type="dxa" w:w="110"/>
            </w:tcMar>
          </w:tcPr>
          <w:p>
            <w:pPr>
              <w:jc w:val="center"/>
            </w:pPr>
            <w:r>
              <w:rPr>
                <w:rFonts w:ascii="Arial" w:cs="Arial" w:eastAsia="Arial" w:hAnsi="Arial"/>
                <w:b w:val="false"/>
                <w:bCs w:val="false"/>
                <w:sz w:val="21"/>
                <w:szCs w:val="21"/>
              </w:rPr>
              <w:t xml:space="preserve">Joi schema validation on all endpoints</w:t>
            </w:r>
          </w:p>
        </w:tc>
        <w:tc>
          <w:tcPr>
            <w:tcW w:type="dxa" w:w="5400"/>
            <w:tcBorders>
              <w:top w:val="single" w:color="CCDDEE" w:sz="1"/>
              <w:left w:val="single" w:color="CCDDEE" w:sz="1"/>
              <w:bottom w:val="single" w:color="CCDDEE" w:sz="1"/>
              <w:right w:val="single" w:color="CCDDEE" w:sz="1"/>
            </w:tcBorders>
            <w:shd w:fill="EDF5F5" w:val="clear"/>
            <w:tcMar>
              <w:top w:type="dxa" w:w="70"/>
              <w:left w:type="dxa" w:w="110"/>
              <w:bottom w:type="dxa" w:w="70"/>
              <w:right w:type="dxa" w:w="110"/>
            </w:tcMar>
          </w:tcPr>
          <w:p>
            <w:pPr>
              <w:jc w:val="center"/>
            </w:pPr>
            <w:r>
              <w:rPr>
                <w:rFonts w:ascii="Arial" w:cs="Arial" w:eastAsia="Arial" w:hAnsi="Arial"/>
                <w:b/>
                <w:bCs/>
                <w:sz w:val="21"/>
                <w:szCs w:val="21"/>
              </w:rPr>
              <w:t xml:space="preserve">SQL injection / buffer overflow</w:t>
            </w:r>
          </w:p>
        </w:tc>
      </w:tr>
      <w:tr>
        <w:tc>
          <w:tcPr>
            <w:tcW w:type="dxa" w:w="500"/>
            <w:tcBorders>
              <w:top w:val="single" w:color="CCDDEE" w:sz="1"/>
              <w:left w:val="single" w:color="CCDDEE" w:sz="1"/>
              <w:bottom w:val="single" w:color="CCDDEE" w:sz="1"/>
              <w:right w:val="single" w:color="CCDDEE" w:sz="1"/>
            </w:tcBorders>
            <w:shd w:fill="FFFFFF" w:val="clear"/>
            <w:tcMar>
              <w:top w:type="dxa" w:w="70"/>
              <w:left w:type="dxa" w:w="110"/>
              <w:bottom w:type="dxa" w:w="70"/>
              <w:right w:type="dxa" w:w="110"/>
            </w:tcMar>
          </w:tcPr>
          <w:p>
            <w:pPr>
              <w:jc w:val="left"/>
            </w:pPr>
            <w:r>
              <w:rPr>
                <w:rFonts w:ascii="Arial" w:cs="Arial" w:eastAsia="Arial" w:hAnsi="Arial"/>
                <w:b w:val="false"/>
                <w:bCs w:val="false"/>
                <w:sz w:val="21"/>
                <w:szCs w:val="21"/>
              </w:rPr>
              <w:t xml:space="preserve">8</w:t>
            </w:r>
          </w:p>
        </w:tc>
        <w:tc>
          <w:tcPr>
            <w:tcW w:type="dxa" w:w="3500"/>
            <w:tcBorders>
              <w:top w:val="single" w:color="CCDDEE" w:sz="1"/>
              <w:left w:val="single" w:color="CCDDEE" w:sz="1"/>
              <w:bottom w:val="single" w:color="CCDDEE" w:sz="1"/>
              <w:right w:val="single" w:color="CCDDEE" w:sz="1"/>
            </w:tcBorders>
            <w:shd w:fill="FFFFFF" w:val="clear"/>
            <w:tcMar>
              <w:top w:type="dxa" w:w="70"/>
              <w:left w:type="dxa" w:w="110"/>
              <w:bottom w:type="dxa" w:w="70"/>
              <w:right w:type="dxa" w:w="110"/>
            </w:tcMar>
          </w:tcPr>
          <w:p>
            <w:pPr>
              <w:jc w:val="center"/>
            </w:pPr>
            <w:r>
              <w:rPr>
                <w:rFonts w:ascii="Arial" w:cs="Arial" w:eastAsia="Arial" w:hAnsi="Arial"/>
                <w:b w:val="false"/>
                <w:bCs w:val="false"/>
                <w:sz w:val="21"/>
                <w:szCs w:val="21"/>
              </w:rPr>
              <w:t xml:space="preserve">Ed25519-signed OTA + ESP32 Secure Boot V2</w:t>
            </w:r>
          </w:p>
        </w:tc>
        <w:tc>
          <w:tcPr>
            <w:tcW w:type="dxa" w:w="5400"/>
            <w:tcBorders>
              <w:top w:val="single" w:color="CCDDEE" w:sz="1"/>
              <w:left w:val="single" w:color="CCDDEE" w:sz="1"/>
              <w:bottom w:val="single" w:color="CCDDEE" w:sz="1"/>
              <w:right w:val="single" w:color="CCDDEE" w:sz="1"/>
            </w:tcBorders>
            <w:shd w:fill="FFFFFF" w:val="clear"/>
            <w:tcMar>
              <w:top w:type="dxa" w:w="70"/>
              <w:left w:type="dxa" w:w="110"/>
              <w:bottom w:type="dxa" w:w="70"/>
              <w:right w:type="dxa" w:w="110"/>
            </w:tcMar>
          </w:tcPr>
          <w:p>
            <w:pPr>
              <w:jc w:val="center"/>
            </w:pPr>
            <w:r>
              <w:rPr>
                <w:rFonts w:ascii="Arial" w:cs="Arial" w:eastAsia="Arial" w:hAnsi="Arial"/>
                <w:b/>
                <w:bCs/>
                <w:sz w:val="21"/>
                <w:szCs w:val="21"/>
              </w:rPr>
              <w:t xml:space="preserve">Unsigned firmware injection</w:t>
            </w:r>
          </w:p>
        </w:tc>
      </w:tr>
      <w:tr>
        <w:tc>
          <w:tcPr>
            <w:tcW w:type="dxa" w:w="500"/>
            <w:tcBorders>
              <w:top w:val="single" w:color="CCDDEE" w:sz="1"/>
              <w:left w:val="single" w:color="CCDDEE" w:sz="1"/>
              <w:bottom w:val="single" w:color="CCDDEE" w:sz="1"/>
              <w:right w:val="single" w:color="CCDDEE" w:sz="1"/>
            </w:tcBorders>
            <w:shd w:fill="EDF5F5" w:val="clear"/>
            <w:tcMar>
              <w:top w:type="dxa" w:w="70"/>
              <w:left w:type="dxa" w:w="110"/>
              <w:bottom w:type="dxa" w:w="70"/>
              <w:right w:type="dxa" w:w="110"/>
            </w:tcMar>
          </w:tcPr>
          <w:p>
            <w:pPr>
              <w:jc w:val="left"/>
            </w:pPr>
            <w:r>
              <w:rPr>
                <w:rFonts w:ascii="Arial" w:cs="Arial" w:eastAsia="Arial" w:hAnsi="Arial"/>
                <w:b w:val="false"/>
                <w:bCs w:val="false"/>
                <w:sz w:val="21"/>
                <w:szCs w:val="21"/>
              </w:rPr>
              <w:t xml:space="preserve">9</w:t>
            </w:r>
          </w:p>
        </w:tc>
        <w:tc>
          <w:tcPr>
            <w:tcW w:type="dxa" w:w="3500"/>
            <w:tcBorders>
              <w:top w:val="single" w:color="CCDDEE" w:sz="1"/>
              <w:left w:val="single" w:color="CCDDEE" w:sz="1"/>
              <w:bottom w:val="single" w:color="CCDDEE" w:sz="1"/>
              <w:right w:val="single" w:color="CCDDEE" w:sz="1"/>
            </w:tcBorders>
            <w:shd w:fill="EDF5F5" w:val="clear"/>
            <w:tcMar>
              <w:top w:type="dxa" w:w="70"/>
              <w:left w:type="dxa" w:w="110"/>
              <w:bottom w:type="dxa" w:w="70"/>
              <w:right w:type="dxa" w:w="110"/>
            </w:tcMar>
          </w:tcPr>
          <w:p>
            <w:pPr>
              <w:jc w:val="center"/>
            </w:pPr>
            <w:r>
              <w:rPr>
                <w:rFonts w:ascii="Arial" w:cs="Arial" w:eastAsia="Arial" w:hAnsi="Arial"/>
                <w:b w:val="false"/>
                <w:bCs w:val="false"/>
                <w:sz w:val="21"/>
                <w:szCs w:val="21"/>
              </w:rPr>
              <w:t xml:space="preserve">NVS secure partition for private key storage</w:t>
            </w:r>
          </w:p>
        </w:tc>
        <w:tc>
          <w:tcPr>
            <w:tcW w:type="dxa" w:w="5400"/>
            <w:tcBorders>
              <w:top w:val="single" w:color="CCDDEE" w:sz="1"/>
              <w:left w:val="single" w:color="CCDDEE" w:sz="1"/>
              <w:bottom w:val="single" w:color="CCDDEE" w:sz="1"/>
              <w:right w:val="single" w:color="CCDDEE" w:sz="1"/>
            </w:tcBorders>
            <w:shd w:fill="EDF5F5" w:val="clear"/>
            <w:tcMar>
              <w:top w:type="dxa" w:w="70"/>
              <w:left w:type="dxa" w:w="110"/>
              <w:bottom w:type="dxa" w:w="70"/>
              <w:right w:type="dxa" w:w="110"/>
            </w:tcMar>
          </w:tcPr>
          <w:p>
            <w:pPr>
              <w:jc w:val="center"/>
            </w:pPr>
            <w:r>
              <w:rPr>
                <w:rFonts w:ascii="Arial" w:cs="Arial" w:eastAsia="Arial" w:hAnsi="Arial"/>
                <w:b/>
                <w:bCs/>
                <w:sz w:val="21"/>
                <w:szCs w:val="21"/>
              </w:rPr>
              <w:t xml:space="preserve">Hardcoded credentials</w:t>
            </w:r>
          </w:p>
        </w:tc>
      </w:tr>
      <w:tr>
        <w:tc>
          <w:tcPr>
            <w:tcW w:type="dxa" w:w="500"/>
            <w:tcBorders>
              <w:top w:val="single" w:color="CCDDEE" w:sz="1"/>
              <w:left w:val="single" w:color="CCDDEE" w:sz="1"/>
              <w:bottom w:val="single" w:color="CCDDEE" w:sz="1"/>
              <w:right w:val="single" w:color="CCDDEE" w:sz="1"/>
            </w:tcBorders>
            <w:shd w:fill="FFFFFF" w:val="clear"/>
            <w:tcMar>
              <w:top w:type="dxa" w:w="70"/>
              <w:left w:type="dxa" w:w="110"/>
              <w:bottom w:type="dxa" w:w="70"/>
              <w:right w:type="dxa" w:w="110"/>
            </w:tcMar>
          </w:tcPr>
          <w:p>
            <w:pPr>
              <w:jc w:val="left"/>
            </w:pPr>
            <w:r>
              <w:rPr>
                <w:rFonts w:ascii="Arial" w:cs="Arial" w:eastAsia="Arial" w:hAnsi="Arial"/>
                <w:b w:val="false"/>
                <w:bCs w:val="false"/>
                <w:sz w:val="21"/>
                <w:szCs w:val="21"/>
              </w:rPr>
              <w:t xml:space="preserve">10</w:t>
            </w:r>
          </w:p>
        </w:tc>
        <w:tc>
          <w:tcPr>
            <w:tcW w:type="dxa" w:w="3500"/>
            <w:tcBorders>
              <w:top w:val="single" w:color="CCDDEE" w:sz="1"/>
              <w:left w:val="single" w:color="CCDDEE" w:sz="1"/>
              <w:bottom w:val="single" w:color="CCDDEE" w:sz="1"/>
              <w:right w:val="single" w:color="CCDDEE" w:sz="1"/>
            </w:tcBorders>
            <w:shd w:fill="FFFFFF" w:val="clear"/>
            <w:tcMar>
              <w:top w:type="dxa" w:w="70"/>
              <w:left w:type="dxa" w:w="110"/>
              <w:bottom w:type="dxa" w:w="70"/>
              <w:right w:type="dxa" w:w="110"/>
            </w:tcMar>
          </w:tcPr>
          <w:p>
            <w:pPr>
              <w:jc w:val="center"/>
            </w:pPr>
            <w:r>
              <w:rPr>
                <w:rFonts w:ascii="Arial" w:cs="Arial" w:eastAsia="Arial" w:hAnsi="Arial"/>
                <w:b w:val="false"/>
                <w:bCs w:val="false"/>
                <w:sz w:val="21"/>
                <w:szCs w:val="21"/>
              </w:rPr>
              <w:t xml:space="preserve">Full immutable audit log (user/time/zone/action)</w:t>
            </w:r>
          </w:p>
        </w:tc>
        <w:tc>
          <w:tcPr>
            <w:tcW w:type="dxa" w:w="5400"/>
            <w:tcBorders>
              <w:top w:val="single" w:color="CCDDEE" w:sz="1"/>
              <w:left w:val="single" w:color="CCDDEE" w:sz="1"/>
              <w:bottom w:val="single" w:color="CCDDEE" w:sz="1"/>
              <w:right w:val="single" w:color="CCDDEE" w:sz="1"/>
            </w:tcBorders>
            <w:shd w:fill="FFFFFF" w:val="clear"/>
            <w:tcMar>
              <w:top w:type="dxa" w:w="70"/>
              <w:left w:type="dxa" w:w="110"/>
              <w:bottom w:type="dxa" w:w="70"/>
              <w:right w:type="dxa" w:w="110"/>
            </w:tcMar>
          </w:tcPr>
          <w:p>
            <w:pPr>
              <w:jc w:val="center"/>
            </w:pPr>
            <w:r>
              <w:rPr>
                <w:rFonts w:ascii="Arial" w:cs="Arial" w:eastAsia="Arial" w:hAnsi="Arial"/>
                <w:b/>
                <w:bCs/>
                <w:sz w:val="21"/>
                <w:szCs w:val="21"/>
              </w:rPr>
              <w:t xml:space="preserve">Undetected unauthorized access</w:t>
            </w:r>
          </w:p>
        </w:tc>
      </w:tr>
    </w:tbl>
    <w:p>
      <w:pPr>
        <w:spacing w:after="140"/>
      </w:pPr>
    </w:p>
    <w:p>
      <w:pPr>
        <w:pStyle w:val="Heading1"/>
        <w:spacing w:after="100" w:before="260"/>
      </w:pPr>
      <w:r>
        <w:rPr>
          <w:rFonts w:ascii="Arial" w:cs="Arial" w:eastAsia="Arial" w:hAnsi="Arial"/>
          <w:b/>
          <w:bCs/>
          <w:color w:val="0D1B2A"/>
          <w:sz w:val="28"/>
          <w:szCs w:val="28"/>
        </w:rPr>
        <w:t xml:space="preserve">5. Sensor Network Specifications</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1600"/>
        <w:gridCol w:w="1300"/>
        <w:gridCol w:w="1300"/>
        <w:gridCol w:w="1300"/>
        <w:gridCol w:w="1100"/>
        <w:gridCol w:w="1200"/>
      </w:tblGrid>
      <w:tr>
        <w:tc>
          <w:tcPr>
            <w:tcW w:type="dxa" w:w="1600"/>
            <w:tcBorders>
              <w:top w:val="single" w:color="CCDDEE" w:sz="1"/>
              <w:left w:val="single" w:color="CCDDEE" w:sz="1"/>
              <w:bottom w:val="single" w:color="CCDDEE" w:sz="1"/>
              <w:right w:val="single" w:color="CCDDEE" w:sz="1"/>
            </w:tcBorders>
            <w:shd w:fill="0D1B2A"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Sensor</w:t>
            </w:r>
          </w:p>
        </w:tc>
        <w:tc>
          <w:tcPr>
            <w:tcW w:type="dxa" w:w="1300"/>
            <w:tcBorders>
              <w:top w:val="single" w:color="CCDDEE" w:sz="1"/>
              <w:left w:val="single" w:color="CCDDEE" w:sz="1"/>
              <w:bottom w:val="single" w:color="CCDDEE" w:sz="1"/>
              <w:right w:val="single" w:color="CCDDEE" w:sz="1"/>
            </w:tcBorders>
            <w:shd w:fill="0D1B2A"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Model</w:t>
            </w:r>
          </w:p>
        </w:tc>
        <w:tc>
          <w:tcPr>
            <w:tcW w:type="dxa" w:w="1300"/>
            <w:tcBorders>
              <w:top w:val="single" w:color="CCDDEE" w:sz="1"/>
              <w:left w:val="single" w:color="CCDDEE" w:sz="1"/>
              <w:bottom w:val="single" w:color="CCDDEE" w:sz="1"/>
              <w:right w:val="single" w:color="CCDDEE" w:sz="1"/>
            </w:tcBorders>
            <w:shd w:fill="0D1B2A"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Parameter</w:t>
            </w:r>
          </w:p>
        </w:tc>
        <w:tc>
          <w:tcPr>
            <w:tcW w:type="dxa" w:w="1300"/>
            <w:tcBorders>
              <w:top w:val="single" w:color="CCDDEE" w:sz="1"/>
              <w:left w:val="single" w:color="CCDDEE" w:sz="1"/>
              <w:bottom w:val="single" w:color="CCDDEE" w:sz="1"/>
              <w:right w:val="single" w:color="CCDDEE" w:sz="1"/>
            </w:tcBorders>
            <w:shd w:fill="0D1B2A"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Range</w:t>
            </w:r>
          </w:p>
        </w:tc>
        <w:tc>
          <w:tcPr>
            <w:tcW w:type="dxa" w:w="1100"/>
            <w:tcBorders>
              <w:top w:val="single" w:color="CCDDEE" w:sz="1"/>
              <w:left w:val="single" w:color="CCDDEE" w:sz="1"/>
              <w:bottom w:val="single" w:color="CCDDEE" w:sz="1"/>
              <w:right w:val="single" w:color="CCDDEE" w:sz="1"/>
            </w:tcBorders>
            <w:shd w:fill="0D1B2A"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Accuracy</w:t>
            </w:r>
          </w:p>
        </w:tc>
        <w:tc>
          <w:tcPr>
            <w:tcW w:type="dxa" w:w="1200"/>
            <w:tcBorders>
              <w:top w:val="single" w:color="CCDDEE" w:sz="1"/>
              <w:left w:val="single" w:color="CCDDEE" w:sz="1"/>
              <w:bottom w:val="single" w:color="CCDDEE" w:sz="1"/>
              <w:right w:val="single" w:color="CCDDEE" w:sz="1"/>
            </w:tcBorders>
            <w:shd w:fill="0D1B2A"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Sample Rate</w:t>
            </w:r>
          </w:p>
        </w:tc>
      </w:tr>
      <w:tr>
        <w:tc>
          <w:tcPr>
            <w:tcW w:type="dxa" w:w="1600"/>
            <w:tcBorders>
              <w:top w:val="single" w:color="CCDDEE" w:sz="1"/>
              <w:left w:val="single" w:color="CCDDEE" w:sz="1"/>
              <w:bottom w:val="single" w:color="CCDDEE" w:sz="1"/>
              <w:right w:val="single" w:color="CCDDEE" w:sz="1"/>
            </w:tcBorders>
            <w:shd w:fill="EDF5F5" w:val="clear"/>
            <w:tcMar>
              <w:top w:type="dxa" w:w="70"/>
              <w:left w:type="dxa" w:w="110"/>
              <w:bottom w:type="dxa" w:w="70"/>
              <w:right w:type="dxa" w:w="110"/>
            </w:tcMar>
          </w:tcPr>
          <w:p>
            <w:pPr>
              <w:jc w:val="left"/>
            </w:pPr>
            <w:r>
              <w:rPr>
                <w:rFonts w:ascii="Arial" w:cs="Arial" w:eastAsia="Arial" w:hAnsi="Arial"/>
                <w:b w:val="false"/>
                <w:bCs w:val="false"/>
                <w:sz w:val="21"/>
                <w:szCs w:val="21"/>
              </w:rPr>
              <w:t xml:space="preserve">Soil Moisture</w:t>
            </w:r>
          </w:p>
        </w:tc>
        <w:tc>
          <w:tcPr>
            <w:tcW w:type="dxa" w:w="1300"/>
            <w:tcBorders>
              <w:top w:val="single" w:color="CCDDEE" w:sz="1"/>
              <w:left w:val="single" w:color="CCDDEE" w:sz="1"/>
              <w:bottom w:val="single" w:color="CCDDEE" w:sz="1"/>
              <w:right w:val="single" w:color="CCDDEE" w:sz="1"/>
            </w:tcBorders>
            <w:shd w:fill="EDF5F5" w:val="clear"/>
            <w:tcMar>
              <w:top w:type="dxa" w:w="70"/>
              <w:left w:type="dxa" w:w="110"/>
              <w:bottom w:type="dxa" w:w="70"/>
              <w:right w:type="dxa" w:w="110"/>
            </w:tcMar>
          </w:tcPr>
          <w:p>
            <w:pPr>
              <w:jc w:val="center"/>
            </w:pPr>
            <w:r>
              <w:rPr>
                <w:rFonts w:ascii="Arial" w:cs="Arial" w:eastAsia="Arial" w:hAnsi="Arial"/>
                <w:b w:val="false"/>
                <w:bCs w:val="false"/>
                <w:sz w:val="21"/>
                <w:szCs w:val="21"/>
              </w:rPr>
              <w:t xml:space="preserve">SEN0193</w:t>
            </w:r>
          </w:p>
        </w:tc>
        <w:tc>
          <w:tcPr>
            <w:tcW w:type="dxa" w:w="1300"/>
            <w:tcBorders>
              <w:top w:val="single" w:color="CCDDEE" w:sz="1"/>
              <w:left w:val="single" w:color="CCDDEE" w:sz="1"/>
              <w:bottom w:val="single" w:color="CCDDEE" w:sz="1"/>
              <w:right w:val="single" w:color="CCDDEE" w:sz="1"/>
            </w:tcBorders>
            <w:shd w:fill="EDF5F5" w:val="clear"/>
            <w:tcMar>
              <w:top w:type="dxa" w:w="70"/>
              <w:left w:type="dxa" w:w="110"/>
              <w:bottom w:type="dxa" w:w="70"/>
              <w:right w:type="dxa" w:w="110"/>
            </w:tcMar>
          </w:tcPr>
          <w:p>
            <w:pPr>
              <w:jc w:val="center"/>
            </w:pPr>
            <w:r>
              <w:rPr>
                <w:rFonts w:ascii="Arial" w:cs="Arial" w:eastAsia="Arial" w:hAnsi="Arial"/>
                <w:b w:val="false"/>
                <w:bCs w:val="false"/>
                <w:sz w:val="21"/>
                <w:szCs w:val="21"/>
              </w:rPr>
              <w:t xml:space="preserve">VWC %</w:t>
            </w:r>
          </w:p>
        </w:tc>
        <w:tc>
          <w:tcPr>
            <w:tcW w:type="dxa" w:w="1300"/>
            <w:tcBorders>
              <w:top w:val="single" w:color="CCDDEE" w:sz="1"/>
              <w:left w:val="single" w:color="CCDDEE" w:sz="1"/>
              <w:bottom w:val="single" w:color="CCDDEE" w:sz="1"/>
              <w:right w:val="single" w:color="CCDDEE" w:sz="1"/>
            </w:tcBorders>
            <w:shd w:fill="EDF5F5" w:val="clear"/>
            <w:tcMar>
              <w:top w:type="dxa" w:w="70"/>
              <w:left w:type="dxa" w:w="110"/>
              <w:bottom w:type="dxa" w:w="70"/>
              <w:right w:type="dxa" w:w="110"/>
            </w:tcMar>
          </w:tcPr>
          <w:p>
            <w:pPr>
              <w:jc w:val="center"/>
            </w:pPr>
            <w:r>
              <w:rPr>
                <w:rFonts w:ascii="Arial" w:cs="Arial" w:eastAsia="Arial" w:hAnsi="Arial"/>
                <w:b w:val="false"/>
                <w:bCs w:val="false"/>
                <w:sz w:val="21"/>
                <w:szCs w:val="21"/>
              </w:rPr>
              <w:t xml:space="preserve">0–100%</w:t>
            </w:r>
          </w:p>
        </w:tc>
        <w:tc>
          <w:tcPr>
            <w:tcW w:type="dxa" w:w="1100"/>
            <w:tcBorders>
              <w:top w:val="single" w:color="CCDDEE" w:sz="1"/>
              <w:left w:val="single" w:color="CCDDEE" w:sz="1"/>
              <w:bottom w:val="single" w:color="CCDDEE" w:sz="1"/>
              <w:right w:val="single" w:color="CCDDEE" w:sz="1"/>
            </w:tcBorders>
            <w:shd w:fill="EDF5F5" w:val="clear"/>
            <w:tcMar>
              <w:top w:type="dxa" w:w="70"/>
              <w:left w:type="dxa" w:w="110"/>
              <w:bottom w:type="dxa" w:w="70"/>
              <w:right w:type="dxa" w:w="110"/>
            </w:tcMar>
          </w:tcPr>
          <w:p>
            <w:pPr>
              <w:jc w:val="center"/>
            </w:pPr>
            <w:r>
              <w:rPr>
                <w:rFonts w:ascii="Arial" w:cs="Arial" w:eastAsia="Arial" w:hAnsi="Arial"/>
                <w:b w:val="false"/>
                <w:bCs w:val="false"/>
                <w:sz w:val="21"/>
                <w:szCs w:val="21"/>
              </w:rPr>
              <w:t xml:space="preserve">±2%</w:t>
            </w:r>
          </w:p>
        </w:tc>
        <w:tc>
          <w:tcPr>
            <w:tcW w:type="dxa" w:w="1200"/>
            <w:tcBorders>
              <w:top w:val="single" w:color="CCDDEE" w:sz="1"/>
              <w:left w:val="single" w:color="CCDDEE" w:sz="1"/>
              <w:bottom w:val="single" w:color="CCDDEE" w:sz="1"/>
              <w:right w:val="single" w:color="CCDDEE" w:sz="1"/>
            </w:tcBorders>
            <w:shd w:fill="EDF5F5" w:val="clear"/>
            <w:tcMar>
              <w:top w:type="dxa" w:w="70"/>
              <w:left w:type="dxa" w:w="110"/>
              <w:bottom w:type="dxa" w:w="70"/>
              <w:right w:type="dxa" w:w="110"/>
            </w:tcMar>
          </w:tcPr>
          <w:p>
            <w:pPr>
              <w:jc w:val="center"/>
            </w:pPr>
            <w:r>
              <w:rPr>
                <w:rFonts w:ascii="Arial" w:cs="Arial" w:eastAsia="Arial" w:hAnsi="Arial"/>
                <w:b/>
                <w:bCs/>
                <w:sz w:val="21"/>
                <w:szCs w:val="21"/>
              </w:rPr>
              <w:t xml:space="preserve">5 min</w:t>
            </w:r>
          </w:p>
        </w:tc>
      </w:tr>
      <w:tr>
        <w:tc>
          <w:tcPr>
            <w:tcW w:type="dxa" w:w="1600"/>
            <w:tcBorders>
              <w:top w:val="single" w:color="CCDDEE" w:sz="1"/>
              <w:left w:val="single" w:color="CCDDEE" w:sz="1"/>
              <w:bottom w:val="single" w:color="CCDDEE" w:sz="1"/>
              <w:right w:val="single" w:color="CCDDEE" w:sz="1"/>
            </w:tcBorders>
            <w:shd w:fill="FFFFFF" w:val="clear"/>
            <w:tcMar>
              <w:top w:type="dxa" w:w="70"/>
              <w:left w:type="dxa" w:w="110"/>
              <w:bottom w:type="dxa" w:w="70"/>
              <w:right w:type="dxa" w:w="110"/>
            </w:tcMar>
          </w:tcPr>
          <w:p>
            <w:pPr>
              <w:jc w:val="left"/>
            </w:pPr>
            <w:r>
              <w:rPr>
                <w:rFonts w:ascii="Arial" w:cs="Arial" w:eastAsia="Arial" w:hAnsi="Arial"/>
                <w:b w:val="false"/>
                <w:bCs w:val="false"/>
                <w:sz w:val="21"/>
                <w:szCs w:val="21"/>
              </w:rPr>
              <w:t xml:space="preserve">Temperature/RH</w:t>
            </w:r>
          </w:p>
        </w:tc>
        <w:tc>
          <w:tcPr>
            <w:tcW w:type="dxa" w:w="1300"/>
            <w:tcBorders>
              <w:top w:val="single" w:color="CCDDEE" w:sz="1"/>
              <w:left w:val="single" w:color="CCDDEE" w:sz="1"/>
              <w:bottom w:val="single" w:color="CCDDEE" w:sz="1"/>
              <w:right w:val="single" w:color="CCDDEE" w:sz="1"/>
            </w:tcBorders>
            <w:shd w:fill="FFFFFF" w:val="clear"/>
            <w:tcMar>
              <w:top w:type="dxa" w:w="70"/>
              <w:left w:type="dxa" w:w="110"/>
              <w:bottom w:type="dxa" w:w="70"/>
              <w:right w:type="dxa" w:w="110"/>
            </w:tcMar>
          </w:tcPr>
          <w:p>
            <w:pPr>
              <w:jc w:val="center"/>
            </w:pPr>
            <w:r>
              <w:rPr>
                <w:rFonts w:ascii="Arial" w:cs="Arial" w:eastAsia="Arial" w:hAnsi="Arial"/>
                <w:b w:val="false"/>
                <w:bCs w:val="false"/>
                <w:sz w:val="21"/>
                <w:szCs w:val="21"/>
              </w:rPr>
              <w:t xml:space="preserve">DHT22</w:t>
            </w:r>
          </w:p>
        </w:tc>
        <w:tc>
          <w:tcPr>
            <w:tcW w:type="dxa" w:w="1300"/>
            <w:tcBorders>
              <w:top w:val="single" w:color="CCDDEE" w:sz="1"/>
              <w:left w:val="single" w:color="CCDDEE" w:sz="1"/>
              <w:bottom w:val="single" w:color="CCDDEE" w:sz="1"/>
              <w:right w:val="single" w:color="CCDDEE" w:sz="1"/>
            </w:tcBorders>
            <w:shd w:fill="FFFFFF" w:val="clear"/>
            <w:tcMar>
              <w:top w:type="dxa" w:w="70"/>
              <w:left w:type="dxa" w:w="110"/>
              <w:bottom w:type="dxa" w:w="70"/>
              <w:right w:type="dxa" w:w="110"/>
            </w:tcMar>
          </w:tcPr>
          <w:p>
            <w:pPr>
              <w:jc w:val="center"/>
            </w:pPr>
            <w:r>
              <w:rPr>
                <w:rFonts w:ascii="Arial" w:cs="Arial" w:eastAsia="Arial" w:hAnsi="Arial"/>
                <w:b w:val="false"/>
                <w:bCs w:val="false"/>
                <w:sz w:val="21"/>
                <w:szCs w:val="21"/>
              </w:rPr>
              <w:t xml:space="preserve">°C / %RH</w:t>
            </w:r>
          </w:p>
        </w:tc>
        <w:tc>
          <w:tcPr>
            <w:tcW w:type="dxa" w:w="1300"/>
            <w:tcBorders>
              <w:top w:val="single" w:color="CCDDEE" w:sz="1"/>
              <w:left w:val="single" w:color="CCDDEE" w:sz="1"/>
              <w:bottom w:val="single" w:color="CCDDEE" w:sz="1"/>
              <w:right w:val="single" w:color="CCDDEE" w:sz="1"/>
            </w:tcBorders>
            <w:shd w:fill="FFFFFF" w:val="clear"/>
            <w:tcMar>
              <w:top w:type="dxa" w:w="70"/>
              <w:left w:type="dxa" w:w="110"/>
              <w:bottom w:type="dxa" w:w="70"/>
              <w:right w:type="dxa" w:w="110"/>
            </w:tcMar>
          </w:tcPr>
          <w:p>
            <w:pPr>
              <w:jc w:val="center"/>
            </w:pPr>
            <w:r>
              <w:rPr>
                <w:rFonts w:ascii="Arial" w:cs="Arial" w:eastAsia="Arial" w:hAnsi="Arial"/>
                <w:b w:val="false"/>
                <w:bCs w:val="false"/>
                <w:sz w:val="21"/>
                <w:szCs w:val="21"/>
              </w:rPr>
              <w:t xml:space="preserve">-40–80°C</w:t>
            </w:r>
          </w:p>
        </w:tc>
        <w:tc>
          <w:tcPr>
            <w:tcW w:type="dxa" w:w="1100"/>
            <w:tcBorders>
              <w:top w:val="single" w:color="CCDDEE" w:sz="1"/>
              <w:left w:val="single" w:color="CCDDEE" w:sz="1"/>
              <w:bottom w:val="single" w:color="CCDDEE" w:sz="1"/>
              <w:right w:val="single" w:color="CCDDEE" w:sz="1"/>
            </w:tcBorders>
            <w:shd w:fill="FFFFFF" w:val="clear"/>
            <w:tcMar>
              <w:top w:type="dxa" w:w="70"/>
              <w:left w:type="dxa" w:w="110"/>
              <w:bottom w:type="dxa" w:w="70"/>
              <w:right w:type="dxa" w:w="110"/>
            </w:tcMar>
          </w:tcPr>
          <w:p>
            <w:pPr>
              <w:jc w:val="center"/>
            </w:pPr>
            <w:r>
              <w:rPr>
                <w:rFonts w:ascii="Arial" w:cs="Arial" w:eastAsia="Arial" w:hAnsi="Arial"/>
                <w:b w:val="false"/>
                <w:bCs w:val="false"/>
                <w:sz w:val="21"/>
                <w:szCs w:val="21"/>
              </w:rPr>
              <w:t xml:space="preserve">±0.5°C</w:t>
            </w:r>
          </w:p>
        </w:tc>
        <w:tc>
          <w:tcPr>
            <w:tcW w:type="dxa" w:w="1200"/>
            <w:tcBorders>
              <w:top w:val="single" w:color="CCDDEE" w:sz="1"/>
              <w:left w:val="single" w:color="CCDDEE" w:sz="1"/>
              <w:bottom w:val="single" w:color="CCDDEE" w:sz="1"/>
              <w:right w:val="single" w:color="CCDDEE" w:sz="1"/>
            </w:tcBorders>
            <w:shd w:fill="FFFFFF" w:val="clear"/>
            <w:tcMar>
              <w:top w:type="dxa" w:w="70"/>
              <w:left w:type="dxa" w:w="110"/>
              <w:bottom w:type="dxa" w:w="70"/>
              <w:right w:type="dxa" w:w="110"/>
            </w:tcMar>
          </w:tcPr>
          <w:p>
            <w:pPr>
              <w:jc w:val="center"/>
            </w:pPr>
            <w:r>
              <w:rPr>
                <w:rFonts w:ascii="Arial" w:cs="Arial" w:eastAsia="Arial" w:hAnsi="Arial"/>
                <w:b/>
                <w:bCs/>
                <w:sz w:val="21"/>
                <w:szCs w:val="21"/>
              </w:rPr>
              <w:t xml:space="preserve">5 min</w:t>
            </w:r>
          </w:p>
        </w:tc>
      </w:tr>
      <w:tr>
        <w:tc>
          <w:tcPr>
            <w:tcW w:type="dxa" w:w="1600"/>
            <w:tcBorders>
              <w:top w:val="single" w:color="CCDDEE" w:sz="1"/>
              <w:left w:val="single" w:color="CCDDEE" w:sz="1"/>
              <w:bottom w:val="single" w:color="CCDDEE" w:sz="1"/>
              <w:right w:val="single" w:color="CCDDEE" w:sz="1"/>
            </w:tcBorders>
            <w:shd w:fill="EDF5F5" w:val="clear"/>
            <w:tcMar>
              <w:top w:type="dxa" w:w="70"/>
              <w:left w:type="dxa" w:w="110"/>
              <w:bottom w:type="dxa" w:w="70"/>
              <w:right w:type="dxa" w:w="110"/>
            </w:tcMar>
          </w:tcPr>
          <w:p>
            <w:pPr>
              <w:jc w:val="left"/>
            </w:pPr>
            <w:r>
              <w:rPr>
                <w:rFonts w:ascii="Arial" w:cs="Arial" w:eastAsia="Arial" w:hAnsi="Arial"/>
                <w:b w:val="false"/>
                <w:bCs w:val="false"/>
                <w:sz w:val="21"/>
                <w:szCs w:val="21"/>
              </w:rPr>
              <w:t xml:space="preserve">Flow Meter</w:t>
            </w:r>
          </w:p>
        </w:tc>
        <w:tc>
          <w:tcPr>
            <w:tcW w:type="dxa" w:w="1300"/>
            <w:tcBorders>
              <w:top w:val="single" w:color="CCDDEE" w:sz="1"/>
              <w:left w:val="single" w:color="CCDDEE" w:sz="1"/>
              <w:bottom w:val="single" w:color="CCDDEE" w:sz="1"/>
              <w:right w:val="single" w:color="CCDDEE" w:sz="1"/>
            </w:tcBorders>
            <w:shd w:fill="EDF5F5" w:val="clear"/>
            <w:tcMar>
              <w:top w:type="dxa" w:w="70"/>
              <w:left w:type="dxa" w:w="110"/>
              <w:bottom w:type="dxa" w:w="70"/>
              <w:right w:type="dxa" w:w="110"/>
            </w:tcMar>
          </w:tcPr>
          <w:p>
            <w:pPr>
              <w:jc w:val="center"/>
            </w:pPr>
            <w:r>
              <w:rPr>
                <w:rFonts w:ascii="Arial" w:cs="Arial" w:eastAsia="Arial" w:hAnsi="Arial"/>
                <w:b w:val="false"/>
                <w:bCs w:val="false"/>
                <w:sz w:val="21"/>
                <w:szCs w:val="21"/>
              </w:rPr>
              <w:t xml:space="preserve">YF-S201</w:t>
            </w:r>
          </w:p>
        </w:tc>
        <w:tc>
          <w:tcPr>
            <w:tcW w:type="dxa" w:w="1300"/>
            <w:tcBorders>
              <w:top w:val="single" w:color="CCDDEE" w:sz="1"/>
              <w:left w:val="single" w:color="CCDDEE" w:sz="1"/>
              <w:bottom w:val="single" w:color="CCDDEE" w:sz="1"/>
              <w:right w:val="single" w:color="CCDDEE" w:sz="1"/>
            </w:tcBorders>
            <w:shd w:fill="EDF5F5" w:val="clear"/>
            <w:tcMar>
              <w:top w:type="dxa" w:w="70"/>
              <w:left w:type="dxa" w:w="110"/>
              <w:bottom w:type="dxa" w:w="70"/>
              <w:right w:type="dxa" w:w="110"/>
            </w:tcMar>
          </w:tcPr>
          <w:p>
            <w:pPr>
              <w:jc w:val="center"/>
            </w:pPr>
            <w:r>
              <w:rPr>
                <w:rFonts w:ascii="Arial" w:cs="Arial" w:eastAsia="Arial" w:hAnsi="Arial"/>
                <w:b w:val="false"/>
                <w:bCs w:val="false"/>
                <w:sz w:val="21"/>
                <w:szCs w:val="21"/>
              </w:rPr>
              <w:t xml:space="preserve">L/min</w:t>
            </w:r>
          </w:p>
        </w:tc>
        <w:tc>
          <w:tcPr>
            <w:tcW w:type="dxa" w:w="1300"/>
            <w:tcBorders>
              <w:top w:val="single" w:color="CCDDEE" w:sz="1"/>
              <w:left w:val="single" w:color="CCDDEE" w:sz="1"/>
              <w:bottom w:val="single" w:color="CCDDEE" w:sz="1"/>
              <w:right w:val="single" w:color="CCDDEE" w:sz="1"/>
            </w:tcBorders>
            <w:shd w:fill="EDF5F5" w:val="clear"/>
            <w:tcMar>
              <w:top w:type="dxa" w:w="70"/>
              <w:left w:type="dxa" w:w="110"/>
              <w:bottom w:type="dxa" w:w="70"/>
              <w:right w:type="dxa" w:w="110"/>
            </w:tcMar>
          </w:tcPr>
          <w:p>
            <w:pPr>
              <w:jc w:val="center"/>
            </w:pPr>
            <w:r>
              <w:rPr>
                <w:rFonts w:ascii="Arial" w:cs="Arial" w:eastAsia="Arial" w:hAnsi="Arial"/>
                <w:b w:val="false"/>
                <w:bCs w:val="false"/>
                <w:sz w:val="21"/>
                <w:szCs w:val="21"/>
              </w:rPr>
              <w:t xml:space="preserve">1–30 L/min</w:t>
            </w:r>
          </w:p>
        </w:tc>
        <w:tc>
          <w:tcPr>
            <w:tcW w:type="dxa" w:w="1100"/>
            <w:tcBorders>
              <w:top w:val="single" w:color="CCDDEE" w:sz="1"/>
              <w:left w:val="single" w:color="CCDDEE" w:sz="1"/>
              <w:bottom w:val="single" w:color="CCDDEE" w:sz="1"/>
              <w:right w:val="single" w:color="CCDDEE" w:sz="1"/>
            </w:tcBorders>
            <w:shd w:fill="EDF5F5" w:val="clear"/>
            <w:tcMar>
              <w:top w:type="dxa" w:w="70"/>
              <w:left w:type="dxa" w:w="110"/>
              <w:bottom w:type="dxa" w:w="70"/>
              <w:right w:type="dxa" w:w="110"/>
            </w:tcMar>
          </w:tcPr>
          <w:p>
            <w:pPr>
              <w:jc w:val="center"/>
            </w:pPr>
            <w:r>
              <w:rPr>
                <w:rFonts w:ascii="Arial" w:cs="Arial" w:eastAsia="Arial" w:hAnsi="Arial"/>
                <w:b w:val="false"/>
                <w:bCs w:val="false"/>
                <w:sz w:val="21"/>
                <w:szCs w:val="21"/>
              </w:rPr>
              <w:t xml:space="preserve">±3%</w:t>
            </w:r>
          </w:p>
        </w:tc>
        <w:tc>
          <w:tcPr>
            <w:tcW w:type="dxa" w:w="1200"/>
            <w:tcBorders>
              <w:top w:val="single" w:color="CCDDEE" w:sz="1"/>
              <w:left w:val="single" w:color="CCDDEE" w:sz="1"/>
              <w:bottom w:val="single" w:color="CCDDEE" w:sz="1"/>
              <w:right w:val="single" w:color="CCDDEE" w:sz="1"/>
            </w:tcBorders>
            <w:shd w:fill="EDF5F5" w:val="clear"/>
            <w:tcMar>
              <w:top w:type="dxa" w:w="70"/>
              <w:left w:type="dxa" w:w="110"/>
              <w:bottom w:type="dxa" w:w="70"/>
              <w:right w:type="dxa" w:w="110"/>
            </w:tcMar>
          </w:tcPr>
          <w:p>
            <w:pPr>
              <w:jc w:val="center"/>
            </w:pPr>
            <w:r>
              <w:rPr>
                <w:rFonts w:ascii="Arial" w:cs="Arial" w:eastAsia="Arial" w:hAnsi="Arial"/>
                <w:b/>
                <w:bCs/>
                <w:sz w:val="21"/>
                <w:szCs w:val="21"/>
              </w:rPr>
              <w:t xml:space="preserve">1 sec</w:t>
            </w:r>
          </w:p>
        </w:tc>
      </w:tr>
      <w:tr>
        <w:tc>
          <w:tcPr>
            <w:tcW w:type="dxa" w:w="1600"/>
            <w:tcBorders>
              <w:top w:val="single" w:color="CCDDEE" w:sz="1"/>
              <w:left w:val="single" w:color="CCDDEE" w:sz="1"/>
              <w:bottom w:val="single" w:color="CCDDEE" w:sz="1"/>
              <w:right w:val="single" w:color="CCDDEE" w:sz="1"/>
            </w:tcBorders>
            <w:shd w:fill="FFFFFF" w:val="clear"/>
            <w:tcMar>
              <w:top w:type="dxa" w:w="70"/>
              <w:left w:type="dxa" w:w="110"/>
              <w:bottom w:type="dxa" w:w="70"/>
              <w:right w:type="dxa" w:w="110"/>
            </w:tcMar>
          </w:tcPr>
          <w:p>
            <w:pPr>
              <w:jc w:val="left"/>
            </w:pPr>
            <w:r>
              <w:rPr>
                <w:rFonts w:ascii="Arial" w:cs="Arial" w:eastAsia="Arial" w:hAnsi="Arial"/>
                <w:b w:val="false"/>
                <w:bCs w:val="false"/>
                <w:sz w:val="21"/>
                <w:szCs w:val="21"/>
              </w:rPr>
              <w:t xml:space="preserve">Pressure</w:t>
            </w:r>
          </w:p>
        </w:tc>
        <w:tc>
          <w:tcPr>
            <w:tcW w:type="dxa" w:w="1300"/>
            <w:tcBorders>
              <w:top w:val="single" w:color="CCDDEE" w:sz="1"/>
              <w:left w:val="single" w:color="CCDDEE" w:sz="1"/>
              <w:bottom w:val="single" w:color="CCDDEE" w:sz="1"/>
              <w:right w:val="single" w:color="CCDDEE" w:sz="1"/>
            </w:tcBorders>
            <w:shd w:fill="FFFFFF" w:val="clear"/>
            <w:tcMar>
              <w:top w:type="dxa" w:w="70"/>
              <w:left w:type="dxa" w:w="110"/>
              <w:bottom w:type="dxa" w:w="70"/>
              <w:right w:type="dxa" w:w="110"/>
            </w:tcMar>
          </w:tcPr>
          <w:p>
            <w:pPr>
              <w:jc w:val="center"/>
            </w:pPr>
            <w:r>
              <w:rPr>
                <w:rFonts w:ascii="Arial" w:cs="Arial" w:eastAsia="Arial" w:hAnsi="Arial"/>
                <w:b w:val="false"/>
                <w:bCs w:val="false"/>
                <w:sz w:val="21"/>
                <w:szCs w:val="21"/>
              </w:rPr>
              <w:t xml:space="preserve">MPX5700AP</w:t>
            </w:r>
          </w:p>
        </w:tc>
        <w:tc>
          <w:tcPr>
            <w:tcW w:type="dxa" w:w="1300"/>
            <w:tcBorders>
              <w:top w:val="single" w:color="CCDDEE" w:sz="1"/>
              <w:left w:val="single" w:color="CCDDEE" w:sz="1"/>
              <w:bottom w:val="single" w:color="CCDDEE" w:sz="1"/>
              <w:right w:val="single" w:color="CCDDEE" w:sz="1"/>
            </w:tcBorders>
            <w:shd w:fill="FFFFFF" w:val="clear"/>
            <w:tcMar>
              <w:top w:type="dxa" w:w="70"/>
              <w:left w:type="dxa" w:w="110"/>
              <w:bottom w:type="dxa" w:w="70"/>
              <w:right w:type="dxa" w:w="110"/>
            </w:tcMar>
          </w:tcPr>
          <w:p>
            <w:pPr>
              <w:jc w:val="center"/>
            </w:pPr>
            <w:r>
              <w:rPr>
                <w:rFonts w:ascii="Arial" w:cs="Arial" w:eastAsia="Arial" w:hAnsi="Arial"/>
                <w:b w:val="false"/>
                <w:bCs w:val="false"/>
                <w:sz w:val="21"/>
                <w:szCs w:val="21"/>
              </w:rPr>
              <w:t xml:space="preserve">kPa</w:t>
            </w:r>
          </w:p>
        </w:tc>
        <w:tc>
          <w:tcPr>
            <w:tcW w:type="dxa" w:w="1300"/>
            <w:tcBorders>
              <w:top w:val="single" w:color="CCDDEE" w:sz="1"/>
              <w:left w:val="single" w:color="CCDDEE" w:sz="1"/>
              <w:bottom w:val="single" w:color="CCDDEE" w:sz="1"/>
              <w:right w:val="single" w:color="CCDDEE" w:sz="1"/>
            </w:tcBorders>
            <w:shd w:fill="FFFFFF" w:val="clear"/>
            <w:tcMar>
              <w:top w:type="dxa" w:w="70"/>
              <w:left w:type="dxa" w:w="110"/>
              <w:bottom w:type="dxa" w:w="70"/>
              <w:right w:type="dxa" w:w="110"/>
            </w:tcMar>
          </w:tcPr>
          <w:p>
            <w:pPr>
              <w:jc w:val="center"/>
            </w:pPr>
            <w:r>
              <w:rPr>
                <w:rFonts w:ascii="Arial" w:cs="Arial" w:eastAsia="Arial" w:hAnsi="Arial"/>
                <w:b w:val="false"/>
                <w:bCs w:val="false"/>
                <w:sz w:val="21"/>
                <w:szCs w:val="21"/>
              </w:rPr>
              <w:t xml:space="preserve">0–700 kPa</w:t>
            </w:r>
          </w:p>
        </w:tc>
        <w:tc>
          <w:tcPr>
            <w:tcW w:type="dxa" w:w="1100"/>
            <w:tcBorders>
              <w:top w:val="single" w:color="CCDDEE" w:sz="1"/>
              <w:left w:val="single" w:color="CCDDEE" w:sz="1"/>
              <w:bottom w:val="single" w:color="CCDDEE" w:sz="1"/>
              <w:right w:val="single" w:color="CCDDEE" w:sz="1"/>
            </w:tcBorders>
            <w:shd w:fill="FFFFFF" w:val="clear"/>
            <w:tcMar>
              <w:top w:type="dxa" w:w="70"/>
              <w:left w:type="dxa" w:w="110"/>
              <w:bottom w:type="dxa" w:w="70"/>
              <w:right w:type="dxa" w:w="110"/>
            </w:tcMar>
          </w:tcPr>
          <w:p>
            <w:pPr>
              <w:jc w:val="center"/>
            </w:pPr>
            <w:r>
              <w:rPr>
                <w:rFonts w:ascii="Arial" w:cs="Arial" w:eastAsia="Arial" w:hAnsi="Arial"/>
                <w:b w:val="false"/>
                <w:bCs w:val="false"/>
                <w:sz w:val="21"/>
                <w:szCs w:val="21"/>
              </w:rPr>
              <w:t xml:space="preserve">±2.5%</w:t>
            </w:r>
          </w:p>
        </w:tc>
        <w:tc>
          <w:tcPr>
            <w:tcW w:type="dxa" w:w="1200"/>
            <w:tcBorders>
              <w:top w:val="single" w:color="CCDDEE" w:sz="1"/>
              <w:left w:val="single" w:color="CCDDEE" w:sz="1"/>
              <w:bottom w:val="single" w:color="CCDDEE" w:sz="1"/>
              <w:right w:val="single" w:color="CCDDEE" w:sz="1"/>
            </w:tcBorders>
            <w:shd w:fill="FFFFFF" w:val="clear"/>
            <w:tcMar>
              <w:top w:type="dxa" w:w="70"/>
              <w:left w:type="dxa" w:w="110"/>
              <w:bottom w:type="dxa" w:w="70"/>
              <w:right w:type="dxa" w:w="110"/>
            </w:tcMar>
          </w:tcPr>
          <w:p>
            <w:pPr>
              <w:jc w:val="center"/>
            </w:pPr>
            <w:r>
              <w:rPr>
                <w:rFonts w:ascii="Arial" w:cs="Arial" w:eastAsia="Arial" w:hAnsi="Arial"/>
                <w:b/>
                <w:bCs/>
                <w:sz w:val="21"/>
                <w:szCs w:val="21"/>
              </w:rPr>
              <w:t xml:space="preserve">10 sec</w:t>
            </w:r>
          </w:p>
        </w:tc>
      </w:tr>
      <w:tr>
        <w:tc>
          <w:tcPr>
            <w:tcW w:type="dxa" w:w="1600"/>
            <w:tcBorders>
              <w:top w:val="single" w:color="CCDDEE" w:sz="1"/>
              <w:left w:val="single" w:color="CCDDEE" w:sz="1"/>
              <w:bottom w:val="single" w:color="CCDDEE" w:sz="1"/>
              <w:right w:val="single" w:color="CCDDEE" w:sz="1"/>
            </w:tcBorders>
            <w:shd w:fill="EDF5F5" w:val="clear"/>
            <w:tcMar>
              <w:top w:type="dxa" w:w="70"/>
              <w:left w:type="dxa" w:w="110"/>
              <w:bottom w:type="dxa" w:w="70"/>
              <w:right w:type="dxa" w:w="110"/>
            </w:tcMar>
          </w:tcPr>
          <w:p>
            <w:pPr>
              <w:jc w:val="left"/>
            </w:pPr>
            <w:r>
              <w:rPr>
                <w:rFonts w:ascii="Arial" w:cs="Arial" w:eastAsia="Arial" w:hAnsi="Arial"/>
                <w:b w:val="false"/>
                <w:bCs w:val="false"/>
                <w:sz w:val="21"/>
                <w:szCs w:val="21"/>
              </w:rPr>
              <w:t xml:space="preserve">Rain Gauge</w:t>
            </w:r>
          </w:p>
        </w:tc>
        <w:tc>
          <w:tcPr>
            <w:tcW w:type="dxa" w:w="1300"/>
            <w:tcBorders>
              <w:top w:val="single" w:color="CCDDEE" w:sz="1"/>
              <w:left w:val="single" w:color="CCDDEE" w:sz="1"/>
              <w:bottom w:val="single" w:color="CCDDEE" w:sz="1"/>
              <w:right w:val="single" w:color="CCDDEE" w:sz="1"/>
            </w:tcBorders>
            <w:shd w:fill="EDF5F5" w:val="clear"/>
            <w:tcMar>
              <w:top w:type="dxa" w:w="70"/>
              <w:left w:type="dxa" w:w="110"/>
              <w:bottom w:type="dxa" w:w="70"/>
              <w:right w:type="dxa" w:w="110"/>
            </w:tcMar>
          </w:tcPr>
          <w:p>
            <w:pPr>
              <w:jc w:val="center"/>
            </w:pPr>
            <w:r>
              <w:rPr>
                <w:rFonts w:ascii="Arial" w:cs="Arial" w:eastAsia="Arial" w:hAnsi="Arial"/>
                <w:b w:val="false"/>
                <w:bCs w:val="false"/>
                <w:sz w:val="21"/>
                <w:szCs w:val="21"/>
              </w:rPr>
              <w:t xml:space="preserve">RG11</w:t>
            </w:r>
          </w:p>
        </w:tc>
        <w:tc>
          <w:tcPr>
            <w:tcW w:type="dxa" w:w="1300"/>
            <w:tcBorders>
              <w:top w:val="single" w:color="CCDDEE" w:sz="1"/>
              <w:left w:val="single" w:color="CCDDEE" w:sz="1"/>
              <w:bottom w:val="single" w:color="CCDDEE" w:sz="1"/>
              <w:right w:val="single" w:color="CCDDEE" w:sz="1"/>
            </w:tcBorders>
            <w:shd w:fill="EDF5F5" w:val="clear"/>
            <w:tcMar>
              <w:top w:type="dxa" w:w="70"/>
              <w:left w:type="dxa" w:w="110"/>
              <w:bottom w:type="dxa" w:w="70"/>
              <w:right w:type="dxa" w:w="110"/>
            </w:tcMar>
          </w:tcPr>
          <w:p>
            <w:pPr>
              <w:jc w:val="center"/>
            </w:pPr>
            <w:r>
              <w:rPr>
                <w:rFonts w:ascii="Arial" w:cs="Arial" w:eastAsia="Arial" w:hAnsi="Arial"/>
                <w:b w:val="false"/>
                <w:bCs w:val="false"/>
                <w:sz w:val="21"/>
                <w:szCs w:val="21"/>
              </w:rPr>
              <w:t xml:space="preserve">mm/hr</w:t>
            </w:r>
          </w:p>
        </w:tc>
        <w:tc>
          <w:tcPr>
            <w:tcW w:type="dxa" w:w="1300"/>
            <w:tcBorders>
              <w:top w:val="single" w:color="CCDDEE" w:sz="1"/>
              <w:left w:val="single" w:color="CCDDEE" w:sz="1"/>
              <w:bottom w:val="single" w:color="CCDDEE" w:sz="1"/>
              <w:right w:val="single" w:color="CCDDEE" w:sz="1"/>
            </w:tcBorders>
            <w:shd w:fill="EDF5F5" w:val="clear"/>
            <w:tcMar>
              <w:top w:type="dxa" w:w="70"/>
              <w:left w:type="dxa" w:w="110"/>
              <w:bottom w:type="dxa" w:w="70"/>
              <w:right w:type="dxa" w:w="110"/>
            </w:tcMar>
          </w:tcPr>
          <w:p>
            <w:pPr>
              <w:jc w:val="center"/>
            </w:pPr>
            <w:r>
              <w:rPr>
                <w:rFonts w:ascii="Arial" w:cs="Arial" w:eastAsia="Arial" w:hAnsi="Arial"/>
                <w:b w:val="false"/>
                <w:bCs w:val="false"/>
                <w:sz w:val="21"/>
                <w:szCs w:val="21"/>
              </w:rPr>
              <w:t xml:space="preserve">0–300 mm/hr</w:t>
            </w:r>
          </w:p>
        </w:tc>
        <w:tc>
          <w:tcPr>
            <w:tcW w:type="dxa" w:w="1100"/>
            <w:tcBorders>
              <w:top w:val="single" w:color="CCDDEE" w:sz="1"/>
              <w:left w:val="single" w:color="CCDDEE" w:sz="1"/>
              <w:bottom w:val="single" w:color="CCDDEE" w:sz="1"/>
              <w:right w:val="single" w:color="CCDDEE" w:sz="1"/>
            </w:tcBorders>
            <w:shd w:fill="EDF5F5" w:val="clear"/>
            <w:tcMar>
              <w:top w:type="dxa" w:w="70"/>
              <w:left w:type="dxa" w:w="110"/>
              <w:bottom w:type="dxa" w:w="70"/>
              <w:right w:type="dxa" w:w="110"/>
            </w:tcMar>
          </w:tcPr>
          <w:p>
            <w:pPr>
              <w:jc w:val="center"/>
            </w:pPr>
            <w:r>
              <w:rPr>
                <w:rFonts w:ascii="Arial" w:cs="Arial" w:eastAsia="Arial" w:hAnsi="Arial"/>
                <w:b w:val="false"/>
                <w:bCs w:val="false"/>
                <w:sz w:val="21"/>
                <w:szCs w:val="21"/>
              </w:rPr>
              <w:t xml:space="preserve">±2%</w:t>
            </w:r>
          </w:p>
        </w:tc>
        <w:tc>
          <w:tcPr>
            <w:tcW w:type="dxa" w:w="1200"/>
            <w:tcBorders>
              <w:top w:val="single" w:color="CCDDEE" w:sz="1"/>
              <w:left w:val="single" w:color="CCDDEE" w:sz="1"/>
              <w:bottom w:val="single" w:color="CCDDEE" w:sz="1"/>
              <w:right w:val="single" w:color="CCDDEE" w:sz="1"/>
            </w:tcBorders>
            <w:shd w:fill="EDF5F5" w:val="clear"/>
            <w:tcMar>
              <w:top w:type="dxa" w:w="70"/>
              <w:left w:type="dxa" w:w="110"/>
              <w:bottom w:type="dxa" w:w="70"/>
              <w:right w:type="dxa" w:w="110"/>
            </w:tcMar>
          </w:tcPr>
          <w:p>
            <w:pPr>
              <w:jc w:val="center"/>
            </w:pPr>
            <w:r>
              <w:rPr>
                <w:rFonts w:ascii="Arial" w:cs="Arial" w:eastAsia="Arial" w:hAnsi="Arial"/>
                <w:b/>
                <w:bCs/>
                <w:sz w:val="21"/>
                <w:szCs w:val="21"/>
              </w:rPr>
              <w:t xml:space="preserve">Event</w:t>
            </w:r>
          </w:p>
        </w:tc>
      </w:tr>
      <w:tr>
        <w:tc>
          <w:tcPr>
            <w:tcW w:type="dxa" w:w="1600"/>
            <w:tcBorders>
              <w:top w:val="single" w:color="CCDDEE" w:sz="1"/>
              <w:left w:val="single" w:color="CCDDEE" w:sz="1"/>
              <w:bottom w:val="single" w:color="CCDDEE" w:sz="1"/>
              <w:right w:val="single" w:color="CCDDEE" w:sz="1"/>
            </w:tcBorders>
            <w:shd w:fill="FFFFFF" w:val="clear"/>
            <w:tcMar>
              <w:top w:type="dxa" w:w="70"/>
              <w:left w:type="dxa" w:w="110"/>
              <w:bottom w:type="dxa" w:w="70"/>
              <w:right w:type="dxa" w:w="110"/>
            </w:tcMar>
          </w:tcPr>
          <w:p>
            <w:pPr>
              <w:jc w:val="left"/>
            </w:pPr>
            <w:r>
              <w:rPr>
                <w:rFonts w:ascii="Arial" w:cs="Arial" w:eastAsia="Arial" w:hAnsi="Arial"/>
                <w:b w:val="false"/>
                <w:bCs w:val="false"/>
                <w:sz w:val="21"/>
                <w:szCs w:val="21"/>
              </w:rPr>
              <w:t xml:space="preserve">Soil pH</w:t>
            </w:r>
          </w:p>
        </w:tc>
        <w:tc>
          <w:tcPr>
            <w:tcW w:type="dxa" w:w="1300"/>
            <w:tcBorders>
              <w:top w:val="single" w:color="CCDDEE" w:sz="1"/>
              <w:left w:val="single" w:color="CCDDEE" w:sz="1"/>
              <w:bottom w:val="single" w:color="CCDDEE" w:sz="1"/>
              <w:right w:val="single" w:color="CCDDEE" w:sz="1"/>
            </w:tcBorders>
            <w:shd w:fill="FFFFFF" w:val="clear"/>
            <w:tcMar>
              <w:top w:type="dxa" w:w="70"/>
              <w:left w:type="dxa" w:w="110"/>
              <w:bottom w:type="dxa" w:w="70"/>
              <w:right w:type="dxa" w:w="110"/>
            </w:tcMar>
          </w:tcPr>
          <w:p>
            <w:pPr>
              <w:jc w:val="center"/>
            </w:pPr>
            <w:r>
              <w:rPr>
                <w:rFonts w:ascii="Arial" w:cs="Arial" w:eastAsia="Arial" w:hAnsi="Arial"/>
                <w:b w:val="false"/>
                <w:bCs w:val="false"/>
                <w:sz w:val="21"/>
                <w:szCs w:val="21"/>
              </w:rPr>
              <w:t xml:space="preserve">E-201C</w:t>
            </w:r>
          </w:p>
        </w:tc>
        <w:tc>
          <w:tcPr>
            <w:tcW w:type="dxa" w:w="1300"/>
            <w:tcBorders>
              <w:top w:val="single" w:color="CCDDEE" w:sz="1"/>
              <w:left w:val="single" w:color="CCDDEE" w:sz="1"/>
              <w:bottom w:val="single" w:color="CCDDEE" w:sz="1"/>
              <w:right w:val="single" w:color="CCDDEE" w:sz="1"/>
            </w:tcBorders>
            <w:shd w:fill="FFFFFF" w:val="clear"/>
            <w:tcMar>
              <w:top w:type="dxa" w:w="70"/>
              <w:left w:type="dxa" w:w="110"/>
              <w:bottom w:type="dxa" w:w="70"/>
              <w:right w:type="dxa" w:w="110"/>
            </w:tcMar>
          </w:tcPr>
          <w:p>
            <w:pPr>
              <w:jc w:val="center"/>
            </w:pPr>
            <w:r>
              <w:rPr>
                <w:rFonts w:ascii="Arial" w:cs="Arial" w:eastAsia="Arial" w:hAnsi="Arial"/>
                <w:b w:val="false"/>
                <w:bCs w:val="false"/>
                <w:sz w:val="21"/>
                <w:szCs w:val="21"/>
              </w:rPr>
              <w:t xml:space="preserve">pH</w:t>
            </w:r>
          </w:p>
        </w:tc>
        <w:tc>
          <w:tcPr>
            <w:tcW w:type="dxa" w:w="1300"/>
            <w:tcBorders>
              <w:top w:val="single" w:color="CCDDEE" w:sz="1"/>
              <w:left w:val="single" w:color="CCDDEE" w:sz="1"/>
              <w:bottom w:val="single" w:color="CCDDEE" w:sz="1"/>
              <w:right w:val="single" w:color="CCDDEE" w:sz="1"/>
            </w:tcBorders>
            <w:shd w:fill="FFFFFF" w:val="clear"/>
            <w:tcMar>
              <w:top w:type="dxa" w:w="70"/>
              <w:left w:type="dxa" w:w="110"/>
              <w:bottom w:type="dxa" w:w="70"/>
              <w:right w:type="dxa" w:w="110"/>
            </w:tcMar>
          </w:tcPr>
          <w:p>
            <w:pPr>
              <w:jc w:val="center"/>
            </w:pPr>
            <w:r>
              <w:rPr>
                <w:rFonts w:ascii="Arial" w:cs="Arial" w:eastAsia="Arial" w:hAnsi="Arial"/>
                <w:b w:val="false"/>
                <w:bCs w:val="false"/>
                <w:sz w:val="21"/>
                <w:szCs w:val="21"/>
              </w:rPr>
              <w:t xml:space="preserve">0–14 pH</w:t>
            </w:r>
          </w:p>
        </w:tc>
        <w:tc>
          <w:tcPr>
            <w:tcW w:type="dxa" w:w="1100"/>
            <w:tcBorders>
              <w:top w:val="single" w:color="CCDDEE" w:sz="1"/>
              <w:left w:val="single" w:color="CCDDEE" w:sz="1"/>
              <w:bottom w:val="single" w:color="CCDDEE" w:sz="1"/>
              <w:right w:val="single" w:color="CCDDEE" w:sz="1"/>
            </w:tcBorders>
            <w:shd w:fill="FFFFFF" w:val="clear"/>
            <w:tcMar>
              <w:top w:type="dxa" w:w="70"/>
              <w:left w:type="dxa" w:w="110"/>
              <w:bottom w:type="dxa" w:w="70"/>
              <w:right w:type="dxa" w:w="110"/>
            </w:tcMar>
          </w:tcPr>
          <w:p>
            <w:pPr>
              <w:jc w:val="center"/>
            </w:pPr>
            <w:r>
              <w:rPr>
                <w:rFonts w:ascii="Arial" w:cs="Arial" w:eastAsia="Arial" w:hAnsi="Arial"/>
                <w:b w:val="false"/>
                <w:bCs w:val="false"/>
                <w:sz w:val="21"/>
                <w:szCs w:val="21"/>
              </w:rPr>
              <w:t xml:space="preserve">±0.1</w:t>
            </w:r>
          </w:p>
        </w:tc>
        <w:tc>
          <w:tcPr>
            <w:tcW w:type="dxa" w:w="1200"/>
            <w:tcBorders>
              <w:top w:val="single" w:color="CCDDEE" w:sz="1"/>
              <w:left w:val="single" w:color="CCDDEE" w:sz="1"/>
              <w:bottom w:val="single" w:color="CCDDEE" w:sz="1"/>
              <w:right w:val="single" w:color="CCDDEE" w:sz="1"/>
            </w:tcBorders>
            <w:shd w:fill="FFFFFF" w:val="clear"/>
            <w:tcMar>
              <w:top w:type="dxa" w:w="70"/>
              <w:left w:type="dxa" w:w="110"/>
              <w:bottom w:type="dxa" w:w="70"/>
              <w:right w:type="dxa" w:w="110"/>
            </w:tcMar>
          </w:tcPr>
          <w:p>
            <w:pPr>
              <w:jc w:val="center"/>
            </w:pPr>
            <w:r>
              <w:rPr>
                <w:rFonts w:ascii="Arial" w:cs="Arial" w:eastAsia="Arial" w:hAnsi="Arial"/>
                <w:b/>
                <w:bCs/>
                <w:sz w:val="21"/>
                <w:szCs w:val="21"/>
              </w:rPr>
              <w:t xml:space="preserve">15 min</w:t>
            </w:r>
          </w:p>
        </w:tc>
      </w:tr>
    </w:tbl>
    <w:p>
      <w:pPr>
        <w:spacing w:after="140"/>
      </w:pPr>
    </w:p>
    <w:p>
      <w:pPr>
        <w:spacing w:after="140" w:before="0"/>
        <w:ind w:firstLine="720"/>
        <w:jc w:val="both"/>
      </w:pPr>
      <w:r>
        <w:rPr>
          <w:rFonts w:ascii="Arial" w:cs="Arial" w:eastAsia="Arial" w:hAnsi="Arial"/>
          <w:sz w:val="24"/>
          <w:szCs w:val="24"/>
        </w:rPr>
        <w:t xml:space="preserve">Each node runs on an 18650 LiPo cell with integrated solar charging. The ESP32-S3 enters deep sleep between readings, achieving 7 µA standby current and projected battery life exceeding 18 months at 5-minute sampling intervals. Nodes communicate via WiFi (short range) or LoRaWAN SX1276 (up to 10 km rural coverage), with automatic failover between protocols.</w:t>
      </w:r>
    </w:p>
    <w:p>
      <w:pPr>
        <w:pStyle w:val="Heading1"/>
        <w:spacing w:after="100" w:before="260"/>
      </w:pPr>
      <w:r>
        <w:rPr>
          <w:rFonts w:ascii="Arial" w:cs="Arial" w:eastAsia="Arial" w:hAnsi="Arial"/>
          <w:b/>
          <w:bCs/>
          <w:color w:val="0D1B2A"/>
          <w:sz w:val="28"/>
          <w:szCs w:val="28"/>
        </w:rPr>
        <w:t xml:space="preserve">6. AI Scheduling Engine</w:t>
      </w:r>
    </w:p>
    <w:p>
      <w:pPr>
        <w:spacing w:after="80" w:before="160"/>
      </w:pPr>
      <w:r>
        <w:rPr>
          <w:rFonts w:ascii="Arial" w:cs="Arial" w:eastAsia="Arial" w:hAnsi="Arial"/>
          <w:b/>
          <w:bCs/>
          <w:color w:val="00736A"/>
          <w:sz w:val="24"/>
          <w:szCs w:val="24"/>
        </w:rPr>
        <w:t xml:space="preserve">6.1 Evapotranspiration Modeling</w:t>
      </w:r>
    </w:p>
    <w:p>
      <w:pPr>
        <w:spacing w:after="140" w:before="0"/>
        <w:ind w:firstLine="720"/>
        <w:jc w:val="both"/>
      </w:pPr>
      <w:r>
        <w:rPr>
          <w:rFonts w:ascii="Arial" w:cs="Arial" w:eastAsia="Arial" w:hAnsi="Arial"/>
          <w:sz w:val="24"/>
          <w:szCs w:val="24"/>
        </w:rPr>
        <w:t xml:space="preserve">The primary crop water demand estimate is computed using the FAO-56 Penman-Monteith equation, the internationally recognized standard for reference evapotranspiration (ET₀). Inputs are sourced from the India Meteorological Department (IMD) API (48-hour forecast) and local weather station readings. Crop-specific water demand is computed by multiplying ET₀ by a crop coefficient (Kc) calibrated to the current growth stage, automatically updated from a built-in FAO-56 crop calendar database.</w:t>
      </w:r>
    </w:p>
    <w:p>
      <w:pPr>
        <w:spacing w:after="80" w:before="160"/>
      </w:pPr>
      <w:r>
        <w:rPr>
          <w:rFonts w:ascii="Arial" w:cs="Arial" w:eastAsia="Arial" w:hAnsi="Arial"/>
          <w:b/>
          <w:bCs/>
          <w:color w:val="00736A"/>
          <w:sz w:val="24"/>
          <w:szCs w:val="24"/>
        </w:rPr>
        <w:t xml:space="preserve">6.2 LSTM Neural Network</w:t>
      </w:r>
    </w:p>
    <w:p>
      <w:pPr>
        <w:spacing w:after="140" w:before="0"/>
        <w:ind w:firstLine="720"/>
        <w:jc w:val="both"/>
      </w:pPr>
      <w:r>
        <w:rPr>
          <w:rFonts w:ascii="Arial" w:cs="Arial" w:eastAsia="Arial" w:hAnsi="Arial"/>
          <w:sz w:val="24"/>
          <w:szCs w:val="24"/>
        </w:rPr>
        <w:t xml:space="preserve">A two-layer Long Short-Term Memory (LSTM) network (128 hidden units per layer, trained on 24 months of site-specific data) refines the ET₀ estimate by learning systematic biases and microclimate effects not captured by the physics model. The model predicts irrigation demand for the following 24-hour period at 30-minute granularity, achieving a mean absolute error of 1.4% VWC on the held-out test set, outperforming pure ET₀-based scheduling by 23%.</w:t>
      </w:r>
    </w:p>
    <w:p>
      <w:pPr>
        <w:spacing w:after="80" w:before="160"/>
      </w:pPr>
      <w:r>
        <w:rPr>
          <w:rFonts w:ascii="Arial" w:cs="Arial" w:eastAsia="Arial" w:hAnsi="Arial"/>
          <w:b/>
          <w:bCs/>
          <w:color w:val="00736A"/>
          <w:sz w:val="24"/>
          <w:szCs w:val="24"/>
        </w:rPr>
        <w:t xml:space="preserve">6.3 Additional AI Capabilities</w:t>
      </w:r>
    </w:p>
    <w:p>
      <w:pPr>
        <w:pStyle w:val="ListParagraph"/>
        <w:numPr>
          <w:ilvl w:val="0"/>
          <w:numId w:val="2"/>
        </w:numPr>
        <w:spacing w:after="70"/>
      </w:pPr>
      <w:r>
        <w:rPr>
          <w:rFonts w:ascii="Arial" w:cs="Arial" w:eastAsia="Arial" w:hAnsi="Arial"/>
          <w:sz w:val="24"/>
          <w:szCs w:val="24"/>
        </w:rPr>
        <w:t xml:space="preserve">Rain bypass: integrates weather forecast; automatically skips or delays irrigation when precipitation probability &gt; 70%</w:t>
      </w:r>
    </w:p>
    <w:p>
      <w:pPr>
        <w:pStyle w:val="ListParagraph"/>
        <w:numPr>
          <w:ilvl w:val="0"/>
          <w:numId w:val="2"/>
        </w:numPr>
        <w:spacing w:after="70"/>
      </w:pPr>
      <w:r>
        <w:rPr>
          <w:rFonts w:ascii="Arial" w:cs="Arial" w:eastAsia="Arial" w:hAnsi="Arial"/>
          <w:sz w:val="24"/>
          <w:szCs w:val="24"/>
        </w:rPr>
        <w:t xml:space="preserve">Leak detection: Isolation Forest algorithm identifies abnormal flow patterns (leaks, broken valves) in &lt; 2 seconds</w:t>
      </w:r>
    </w:p>
    <w:p>
      <w:pPr>
        <w:pStyle w:val="ListParagraph"/>
        <w:numPr>
          <w:ilvl w:val="0"/>
          <w:numId w:val="2"/>
        </w:numPr>
        <w:spacing w:after="70"/>
      </w:pPr>
      <w:r>
        <w:rPr>
          <w:rFonts w:ascii="Arial" w:cs="Arial" w:eastAsia="Arial" w:hAnsi="Arial"/>
          <w:sz w:val="24"/>
          <w:szCs w:val="24"/>
        </w:rPr>
        <w:t xml:space="preserve">Soil saturation guard: prevents irrigation when soil moisture exceeds field capacity to avoid root disease</w:t>
      </w:r>
    </w:p>
    <w:p>
      <w:pPr>
        <w:pStyle w:val="ListParagraph"/>
        <w:numPr>
          <w:ilvl w:val="0"/>
          <w:numId w:val="2"/>
        </w:numPr>
        <w:spacing w:after="70"/>
      </w:pPr>
      <w:r>
        <w:rPr>
          <w:rFonts w:ascii="Arial" w:cs="Arial" w:eastAsia="Arial" w:hAnsi="Arial"/>
          <w:sz w:val="24"/>
          <w:szCs w:val="24"/>
        </w:rPr>
        <w:t xml:space="preserve">Adaptive crop coefficients: Kc values update automatically as growth stage progresses based on days-after-sowing calendar</w:t>
      </w:r>
    </w:p>
    <w:p>
      <w:pPr>
        <w:spacing w:after="120"/>
      </w:pPr>
    </w:p>
    <w:p>
      <w:pPr>
        <w:pStyle w:val="Heading1"/>
        <w:spacing w:after="100" w:before="260"/>
      </w:pPr>
      <w:r>
        <w:rPr>
          <w:rFonts w:ascii="Arial" w:cs="Arial" w:eastAsia="Arial" w:hAnsi="Arial"/>
          <w:b/>
          <w:bCs/>
          <w:color w:val="0D1B2A"/>
          <w:sz w:val="28"/>
          <w:szCs w:val="28"/>
        </w:rPr>
        <w:t xml:space="preserve">7. Results — Pilot Deployment (6 Months)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400"/>
        <w:gridCol w:w="2000"/>
        <w:gridCol w:w="2000"/>
        <w:gridCol w:w="2000"/>
      </w:tblGrid>
      <w:tr>
        <w:tc>
          <w:tcPr>
            <w:tcW w:type="dxa" w:w="3400"/>
            <w:tcBorders>
              <w:top w:val="single" w:color="CCDDEE" w:sz="1"/>
              <w:left w:val="single" w:color="CCDDEE" w:sz="1"/>
              <w:bottom w:val="single" w:color="CCDDEE" w:sz="1"/>
              <w:right w:val="single" w:color="CCDDEE" w:sz="1"/>
            </w:tcBorders>
            <w:shd w:fill="0D1B2A"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Metric</w:t>
            </w:r>
          </w:p>
        </w:tc>
        <w:tc>
          <w:tcPr>
            <w:tcW w:type="dxa" w:w="2000"/>
            <w:tcBorders>
              <w:top w:val="single" w:color="CCDDEE" w:sz="1"/>
              <w:left w:val="single" w:color="CCDDEE" w:sz="1"/>
              <w:bottom w:val="single" w:color="CCDDEE" w:sz="1"/>
              <w:right w:val="single" w:color="CCDDEE" w:sz="1"/>
            </w:tcBorders>
            <w:shd w:fill="0D1B2A"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Baseline</w:t>
            </w:r>
          </w:p>
        </w:tc>
        <w:tc>
          <w:tcPr>
            <w:tcW w:type="dxa" w:w="2000"/>
            <w:tcBorders>
              <w:top w:val="single" w:color="CCDDEE" w:sz="1"/>
              <w:left w:val="single" w:color="CCDDEE" w:sz="1"/>
              <w:bottom w:val="single" w:color="CCDDEE" w:sz="1"/>
              <w:right w:val="single" w:color="CCDDEE" w:sz="1"/>
            </w:tcBorders>
            <w:shd w:fill="0D1B2A"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AquaSync</w:t>
            </w:r>
          </w:p>
        </w:tc>
        <w:tc>
          <w:tcPr>
            <w:tcW w:type="dxa" w:w="2000"/>
            <w:tcBorders>
              <w:top w:val="single" w:color="CCDDEE" w:sz="1"/>
              <w:left w:val="single" w:color="CCDDEE" w:sz="1"/>
              <w:bottom w:val="single" w:color="CCDDEE" w:sz="1"/>
              <w:right w:val="single" w:color="CCDDEE" w:sz="1"/>
            </w:tcBorders>
            <w:shd w:fill="0D1B2A"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Improvement</w:t>
            </w:r>
          </w:p>
        </w:tc>
      </w:tr>
      <w:tr>
        <w:tc>
          <w:tcPr>
            <w:tcW w:type="dxa" w:w="3400"/>
            <w:tcBorders>
              <w:top w:val="single" w:color="CCDDEE" w:sz="1"/>
              <w:left w:val="single" w:color="CCDDEE" w:sz="1"/>
              <w:bottom w:val="single" w:color="CCDDEE" w:sz="1"/>
              <w:right w:val="single" w:color="CCDDEE" w:sz="1"/>
            </w:tcBorders>
            <w:shd w:fill="EDF5F5" w:val="clear"/>
            <w:tcMar>
              <w:top w:type="dxa" w:w="70"/>
              <w:left w:type="dxa" w:w="110"/>
              <w:bottom w:type="dxa" w:w="70"/>
              <w:right w:type="dxa" w:w="110"/>
            </w:tcMar>
          </w:tcPr>
          <w:p>
            <w:pPr>
              <w:jc w:val="left"/>
            </w:pPr>
            <w:r>
              <w:rPr>
                <w:rFonts w:ascii="Arial" w:cs="Arial" w:eastAsia="Arial" w:hAnsi="Arial"/>
                <w:b w:val="false"/>
                <w:bCs w:val="false"/>
                <w:sz w:val="21"/>
                <w:szCs w:val="21"/>
              </w:rPr>
              <w:t xml:space="preserve">Water consumption (avg, m³/ha)</w:t>
            </w:r>
          </w:p>
        </w:tc>
        <w:tc>
          <w:tcPr>
            <w:tcW w:type="dxa" w:w="2000"/>
            <w:tcBorders>
              <w:top w:val="single" w:color="CCDDEE" w:sz="1"/>
              <w:left w:val="single" w:color="CCDDEE" w:sz="1"/>
              <w:bottom w:val="single" w:color="CCDDEE" w:sz="1"/>
              <w:right w:val="single" w:color="CCDDEE" w:sz="1"/>
            </w:tcBorders>
            <w:shd w:fill="EDF5F5" w:val="clear"/>
            <w:tcMar>
              <w:top w:type="dxa" w:w="70"/>
              <w:left w:type="dxa" w:w="110"/>
              <w:bottom w:type="dxa" w:w="70"/>
              <w:right w:type="dxa" w:w="110"/>
            </w:tcMar>
          </w:tcPr>
          <w:p>
            <w:pPr>
              <w:jc w:val="center"/>
            </w:pPr>
            <w:r>
              <w:rPr>
                <w:rFonts w:ascii="Arial" w:cs="Arial" w:eastAsia="Arial" w:hAnsi="Arial"/>
                <w:b w:val="false"/>
                <w:bCs w:val="false"/>
                <w:sz w:val="21"/>
                <w:szCs w:val="21"/>
              </w:rPr>
              <w:t xml:space="preserve">6,163</w:t>
            </w:r>
          </w:p>
        </w:tc>
        <w:tc>
          <w:tcPr>
            <w:tcW w:type="dxa" w:w="2000"/>
            <w:tcBorders>
              <w:top w:val="single" w:color="CCDDEE" w:sz="1"/>
              <w:left w:val="single" w:color="CCDDEE" w:sz="1"/>
              <w:bottom w:val="single" w:color="CCDDEE" w:sz="1"/>
              <w:right w:val="single" w:color="CCDDEE" w:sz="1"/>
            </w:tcBorders>
            <w:shd w:fill="EDF5F5" w:val="clear"/>
            <w:tcMar>
              <w:top w:type="dxa" w:w="70"/>
              <w:left w:type="dxa" w:w="110"/>
              <w:bottom w:type="dxa" w:w="70"/>
              <w:right w:type="dxa" w:w="110"/>
            </w:tcMar>
          </w:tcPr>
          <w:p>
            <w:pPr>
              <w:jc w:val="center"/>
            </w:pPr>
            <w:r>
              <w:rPr>
                <w:rFonts w:ascii="Arial" w:cs="Arial" w:eastAsia="Arial" w:hAnsi="Arial"/>
                <w:b w:val="false"/>
                <w:bCs w:val="false"/>
                <w:sz w:val="21"/>
                <w:szCs w:val="21"/>
              </w:rPr>
              <w:t xml:space="preserve">3,682</w:t>
            </w:r>
          </w:p>
        </w:tc>
        <w:tc>
          <w:tcPr>
            <w:tcW w:type="dxa" w:w="2000"/>
            <w:tcBorders>
              <w:top w:val="single" w:color="CCDDEE" w:sz="1"/>
              <w:left w:val="single" w:color="CCDDEE" w:sz="1"/>
              <w:bottom w:val="single" w:color="CCDDEE" w:sz="1"/>
              <w:right w:val="single" w:color="CCDDEE" w:sz="1"/>
            </w:tcBorders>
            <w:shd w:fill="EDF5F5" w:val="clear"/>
            <w:tcMar>
              <w:top w:type="dxa" w:w="70"/>
              <w:left w:type="dxa" w:w="110"/>
              <w:bottom w:type="dxa" w:w="70"/>
              <w:right w:type="dxa" w:w="110"/>
            </w:tcMar>
          </w:tcPr>
          <w:p>
            <w:pPr>
              <w:jc w:val="center"/>
            </w:pPr>
            <w:r>
              <w:rPr>
                <w:rFonts w:ascii="Arial" w:cs="Arial" w:eastAsia="Arial" w:hAnsi="Arial"/>
                <w:b/>
                <w:bCs/>
                <w:sz w:val="21"/>
                <w:szCs w:val="21"/>
              </w:rPr>
              <w:t xml:space="preserve">↓ 40.3%</w:t>
            </w:r>
          </w:p>
        </w:tc>
      </w:tr>
      <w:tr>
        <w:tc>
          <w:tcPr>
            <w:tcW w:type="dxa" w:w="3400"/>
            <w:tcBorders>
              <w:top w:val="single" w:color="CCDDEE" w:sz="1"/>
              <w:left w:val="single" w:color="CCDDEE" w:sz="1"/>
              <w:bottom w:val="single" w:color="CCDDEE" w:sz="1"/>
              <w:right w:val="single" w:color="CCDDEE" w:sz="1"/>
            </w:tcBorders>
            <w:shd w:fill="FFFFFF" w:val="clear"/>
            <w:tcMar>
              <w:top w:type="dxa" w:w="70"/>
              <w:left w:type="dxa" w:w="110"/>
              <w:bottom w:type="dxa" w:w="70"/>
              <w:right w:type="dxa" w:w="110"/>
            </w:tcMar>
          </w:tcPr>
          <w:p>
            <w:pPr>
              <w:jc w:val="left"/>
            </w:pPr>
            <w:r>
              <w:rPr>
                <w:rFonts w:ascii="Arial" w:cs="Arial" w:eastAsia="Arial" w:hAnsi="Arial"/>
                <w:b w:val="false"/>
                <w:bCs w:val="false"/>
                <w:sz w:val="21"/>
                <w:szCs w:val="21"/>
              </w:rPr>
              <w:t xml:space="preserve">Crop yield (normalized)</w:t>
            </w:r>
          </w:p>
        </w:tc>
        <w:tc>
          <w:tcPr>
            <w:tcW w:type="dxa" w:w="2000"/>
            <w:tcBorders>
              <w:top w:val="single" w:color="CCDDEE" w:sz="1"/>
              <w:left w:val="single" w:color="CCDDEE" w:sz="1"/>
              <w:bottom w:val="single" w:color="CCDDEE" w:sz="1"/>
              <w:right w:val="single" w:color="CCDDEE" w:sz="1"/>
            </w:tcBorders>
            <w:shd w:fill="FFFFFF" w:val="clear"/>
            <w:tcMar>
              <w:top w:type="dxa" w:w="70"/>
              <w:left w:type="dxa" w:w="110"/>
              <w:bottom w:type="dxa" w:w="70"/>
              <w:right w:type="dxa" w:w="110"/>
            </w:tcMar>
          </w:tcPr>
          <w:p>
            <w:pPr>
              <w:jc w:val="center"/>
            </w:pPr>
            <w:r>
              <w:rPr>
                <w:rFonts w:ascii="Arial" w:cs="Arial" w:eastAsia="Arial" w:hAnsi="Arial"/>
                <w:b w:val="false"/>
                <w:bCs w:val="false"/>
                <w:sz w:val="21"/>
                <w:szCs w:val="21"/>
              </w:rPr>
              <w:t xml:space="preserve">100%</w:t>
            </w:r>
          </w:p>
        </w:tc>
        <w:tc>
          <w:tcPr>
            <w:tcW w:type="dxa" w:w="2000"/>
            <w:tcBorders>
              <w:top w:val="single" w:color="CCDDEE" w:sz="1"/>
              <w:left w:val="single" w:color="CCDDEE" w:sz="1"/>
              <w:bottom w:val="single" w:color="CCDDEE" w:sz="1"/>
              <w:right w:val="single" w:color="CCDDEE" w:sz="1"/>
            </w:tcBorders>
            <w:shd w:fill="FFFFFF" w:val="clear"/>
            <w:tcMar>
              <w:top w:type="dxa" w:w="70"/>
              <w:left w:type="dxa" w:w="110"/>
              <w:bottom w:type="dxa" w:w="70"/>
              <w:right w:type="dxa" w:w="110"/>
            </w:tcMar>
          </w:tcPr>
          <w:p>
            <w:pPr>
              <w:jc w:val="center"/>
            </w:pPr>
            <w:r>
              <w:rPr>
                <w:rFonts w:ascii="Arial" w:cs="Arial" w:eastAsia="Arial" w:hAnsi="Arial"/>
                <w:b w:val="false"/>
                <w:bCs w:val="false"/>
                <w:sz w:val="21"/>
                <w:szCs w:val="21"/>
              </w:rPr>
              <w:t xml:space="preserve">126.8%</w:t>
            </w:r>
          </w:p>
        </w:tc>
        <w:tc>
          <w:tcPr>
            <w:tcW w:type="dxa" w:w="2000"/>
            <w:tcBorders>
              <w:top w:val="single" w:color="CCDDEE" w:sz="1"/>
              <w:left w:val="single" w:color="CCDDEE" w:sz="1"/>
              <w:bottom w:val="single" w:color="CCDDEE" w:sz="1"/>
              <w:right w:val="single" w:color="CCDDEE" w:sz="1"/>
            </w:tcBorders>
            <w:shd w:fill="FFFFFF" w:val="clear"/>
            <w:tcMar>
              <w:top w:type="dxa" w:w="70"/>
              <w:left w:type="dxa" w:w="110"/>
              <w:bottom w:type="dxa" w:w="70"/>
              <w:right w:type="dxa" w:w="110"/>
            </w:tcMar>
          </w:tcPr>
          <w:p>
            <w:pPr>
              <w:jc w:val="center"/>
            </w:pPr>
            <w:r>
              <w:rPr>
                <w:rFonts w:ascii="Arial" w:cs="Arial" w:eastAsia="Arial" w:hAnsi="Arial"/>
                <w:b/>
                <w:bCs/>
                <w:sz w:val="21"/>
                <w:szCs w:val="21"/>
              </w:rPr>
              <w:t xml:space="preserve">↑ 26.8%</w:t>
            </w:r>
          </w:p>
        </w:tc>
      </w:tr>
      <w:tr>
        <w:tc>
          <w:tcPr>
            <w:tcW w:type="dxa" w:w="3400"/>
            <w:tcBorders>
              <w:top w:val="single" w:color="CCDDEE" w:sz="1"/>
              <w:left w:val="single" w:color="CCDDEE" w:sz="1"/>
              <w:bottom w:val="single" w:color="CCDDEE" w:sz="1"/>
              <w:right w:val="single" w:color="CCDDEE" w:sz="1"/>
            </w:tcBorders>
            <w:shd w:fill="EDF5F5" w:val="clear"/>
            <w:tcMar>
              <w:top w:type="dxa" w:w="70"/>
              <w:left w:type="dxa" w:w="110"/>
              <w:bottom w:type="dxa" w:w="70"/>
              <w:right w:type="dxa" w:w="110"/>
            </w:tcMar>
          </w:tcPr>
          <w:p>
            <w:pPr>
              <w:jc w:val="left"/>
            </w:pPr>
            <w:r>
              <w:rPr>
                <w:rFonts w:ascii="Arial" w:cs="Arial" w:eastAsia="Arial" w:hAnsi="Arial"/>
                <w:b w:val="false"/>
                <w:bCs w:val="false"/>
                <w:sz w:val="21"/>
                <w:szCs w:val="21"/>
              </w:rPr>
              <w:t xml:space="preserve">Irrigation cost per hectare (₹)</w:t>
            </w:r>
          </w:p>
        </w:tc>
        <w:tc>
          <w:tcPr>
            <w:tcW w:type="dxa" w:w="2000"/>
            <w:tcBorders>
              <w:top w:val="single" w:color="CCDDEE" w:sz="1"/>
              <w:left w:val="single" w:color="CCDDEE" w:sz="1"/>
              <w:bottom w:val="single" w:color="CCDDEE" w:sz="1"/>
              <w:right w:val="single" w:color="CCDDEE" w:sz="1"/>
            </w:tcBorders>
            <w:shd w:fill="EDF5F5" w:val="clear"/>
            <w:tcMar>
              <w:top w:type="dxa" w:w="70"/>
              <w:left w:type="dxa" w:w="110"/>
              <w:bottom w:type="dxa" w:w="70"/>
              <w:right w:type="dxa" w:w="110"/>
            </w:tcMar>
          </w:tcPr>
          <w:p>
            <w:pPr>
              <w:jc w:val="center"/>
            </w:pPr>
            <w:r>
              <w:rPr>
                <w:rFonts w:ascii="Arial" w:cs="Arial" w:eastAsia="Arial" w:hAnsi="Arial"/>
                <w:b w:val="false"/>
                <w:bCs w:val="false"/>
                <w:sz w:val="21"/>
                <w:szCs w:val="21"/>
              </w:rPr>
              <w:t xml:space="preserve">18,400</w:t>
            </w:r>
          </w:p>
        </w:tc>
        <w:tc>
          <w:tcPr>
            <w:tcW w:type="dxa" w:w="2000"/>
            <w:tcBorders>
              <w:top w:val="single" w:color="CCDDEE" w:sz="1"/>
              <w:left w:val="single" w:color="CCDDEE" w:sz="1"/>
              <w:bottom w:val="single" w:color="CCDDEE" w:sz="1"/>
              <w:right w:val="single" w:color="CCDDEE" w:sz="1"/>
            </w:tcBorders>
            <w:shd w:fill="EDF5F5" w:val="clear"/>
            <w:tcMar>
              <w:top w:type="dxa" w:w="70"/>
              <w:left w:type="dxa" w:w="110"/>
              <w:bottom w:type="dxa" w:w="70"/>
              <w:right w:type="dxa" w:w="110"/>
            </w:tcMar>
          </w:tcPr>
          <w:p>
            <w:pPr>
              <w:jc w:val="center"/>
            </w:pPr>
            <w:r>
              <w:rPr>
                <w:rFonts w:ascii="Arial" w:cs="Arial" w:eastAsia="Arial" w:hAnsi="Arial"/>
                <w:b w:val="false"/>
                <w:bCs w:val="false"/>
                <w:sz w:val="21"/>
                <w:szCs w:val="21"/>
              </w:rPr>
              <w:t xml:space="preserve">11,020</w:t>
            </w:r>
          </w:p>
        </w:tc>
        <w:tc>
          <w:tcPr>
            <w:tcW w:type="dxa" w:w="2000"/>
            <w:tcBorders>
              <w:top w:val="single" w:color="CCDDEE" w:sz="1"/>
              <w:left w:val="single" w:color="CCDDEE" w:sz="1"/>
              <w:bottom w:val="single" w:color="CCDDEE" w:sz="1"/>
              <w:right w:val="single" w:color="CCDDEE" w:sz="1"/>
            </w:tcBorders>
            <w:shd w:fill="EDF5F5" w:val="clear"/>
            <w:tcMar>
              <w:top w:type="dxa" w:w="70"/>
              <w:left w:type="dxa" w:w="110"/>
              <w:bottom w:type="dxa" w:w="70"/>
              <w:right w:type="dxa" w:w="110"/>
            </w:tcMar>
          </w:tcPr>
          <w:p>
            <w:pPr>
              <w:jc w:val="center"/>
            </w:pPr>
            <w:r>
              <w:rPr>
                <w:rFonts w:ascii="Arial" w:cs="Arial" w:eastAsia="Arial" w:hAnsi="Arial"/>
                <w:b/>
                <w:bCs/>
                <w:sz w:val="21"/>
                <w:szCs w:val="21"/>
              </w:rPr>
              <w:t xml:space="preserve">↓ 40.1%</w:t>
            </w:r>
          </w:p>
        </w:tc>
      </w:tr>
      <w:tr>
        <w:tc>
          <w:tcPr>
            <w:tcW w:type="dxa" w:w="3400"/>
            <w:tcBorders>
              <w:top w:val="single" w:color="CCDDEE" w:sz="1"/>
              <w:left w:val="single" w:color="CCDDEE" w:sz="1"/>
              <w:bottom w:val="single" w:color="CCDDEE" w:sz="1"/>
              <w:right w:val="single" w:color="CCDDEE" w:sz="1"/>
            </w:tcBorders>
            <w:shd w:fill="FFFFFF" w:val="clear"/>
            <w:tcMar>
              <w:top w:type="dxa" w:w="70"/>
              <w:left w:type="dxa" w:w="110"/>
              <w:bottom w:type="dxa" w:w="70"/>
              <w:right w:type="dxa" w:w="110"/>
            </w:tcMar>
          </w:tcPr>
          <w:p>
            <w:pPr>
              <w:jc w:val="left"/>
            </w:pPr>
            <w:r>
              <w:rPr>
                <w:rFonts w:ascii="Arial" w:cs="Arial" w:eastAsia="Arial" w:hAnsi="Arial"/>
                <w:b w:val="false"/>
                <w:bCs w:val="false"/>
                <w:sz w:val="21"/>
                <w:szCs w:val="21"/>
              </w:rPr>
              <w:t xml:space="preserve">Undetected leaks (count)</w:t>
            </w:r>
          </w:p>
        </w:tc>
        <w:tc>
          <w:tcPr>
            <w:tcW w:type="dxa" w:w="2000"/>
            <w:tcBorders>
              <w:top w:val="single" w:color="CCDDEE" w:sz="1"/>
              <w:left w:val="single" w:color="CCDDEE" w:sz="1"/>
              <w:bottom w:val="single" w:color="CCDDEE" w:sz="1"/>
              <w:right w:val="single" w:color="CCDDEE" w:sz="1"/>
            </w:tcBorders>
            <w:shd w:fill="FFFFFF" w:val="clear"/>
            <w:tcMar>
              <w:top w:type="dxa" w:w="70"/>
              <w:left w:type="dxa" w:w="110"/>
              <w:bottom w:type="dxa" w:w="70"/>
              <w:right w:type="dxa" w:w="110"/>
            </w:tcMar>
          </w:tcPr>
          <w:p>
            <w:pPr>
              <w:jc w:val="center"/>
            </w:pPr>
            <w:r>
              <w:rPr>
                <w:rFonts w:ascii="Arial" w:cs="Arial" w:eastAsia="Arial" w:hAnsi="Arial"/>
                <w:b w:val="false"/>
                <w:bCs w:val="false"/>
                <w:sz w:val="21"/>
                <w:szCs w:val="21"/>
              </w:rPr>
              <w:t xml:space="preserve">7</w:t>
            </w:r>
          </w:p>
        </w:tc>
        <w:tc>
          <w:tcPr>
            <w:tcW w:type="dxa" w:w="2000"/>
            <w:tcBorders>
              <w:top w:val="single" w:color="CCDDEE" w:sz="1"/>
              <w:left w:val="single" w:color="CCDDEE" w:sz="1"/>
              <w:bottom w:val="single" w:color="CCDDEE" w:sz="1"/>
              <w:right w:val="single" w:color="CCDDEE" w:sz="1"/>
            </w:tcBorders>
            <w:shd w:fill="FFFFFF" w:val="clear"/>
            <w:tcMar>
              <w:top w:type="dxa" w:w="70"/>
              <w:left w:type="dxa" w:w="110"/>
              <w:bottom w:type="dxa" w:w="70"/>
              <w:right w:type="dxa" w:w="110"/>
            </w:tcMar>
          </w:tcPr>
          <w:p>
            <w:pPr>
              <w:jc w:val="center"/>
            </w:pPr>
            <w:r>
              <w:rPr>
                <w:rFonts w:ascii="Arial" w:cs="Arial" w:eastAsia="Arial" w:hAnsi="Arial"/>
                <w:b w:val="false"/>
                <w:bCs w:val="false"/>
                <w:sz w:val="21"/>
                <w:szCs w:val="21"/>
              </w:rPr>
              <w:t xml:space="preserve">0</w:t>
            </w:r>
          </w:p>
        </w:tc>
        <w:tc>
          <w:tcPr>
            <w:tcW w:type="dxa" w:w="2000"/>
            <w:tcBorders>
              <w:top w:val="single" w:color="CCDDEE" w:sz="1"/>
              <w:left w:val="single" w:color="CCDDEE" w:sz="1"/>
              <w:bottom w:val="single" w:color="CCDDEE" w:sz="1"/>
              <w:right w:val="single" w:color="CCDDEE" w:sz="1"/>
            </w:tcBorders>
            <w:shd w:fill="FFFFFF" w:val="clear"/>
            <w:tcMar>
              <w:top w:type="dxa" w:w="70"/>
              <w:left w:type="dxa" w:w="110"/>
              <w:bottom w:type="dxa" w:w="70"/>
              <w:right w:type="dxa" w:w="110"/>
            </w:tcMar>
          </w:tcPr>
          <w:p>
            <w:pPr>
              <w:jc w:val="center"/>
            </w:pPr>
            <w:r>
              <w:rPr>
                <w:rFonts w:ascii="Arial" w:cs="Arial" w:eastAsia="Arial" w:hAnsi="Arial"/>
                <w:b/>
                <w:bCs/>
                <w:sz w:val="21"/>
                <w:szCs w:val="21"/>
              </w:rPr>
              <w:t xml:space="preserve">100% detected</w:t>
            </w:r>
          </w:p>
        </w:tc>
      </w:tr>
      <w:tr>
        <w:tc>
          <w:tcPr>
            <w:tcW w:type="dxa" w:w="3400"/>
            <w:tcBorders>
              <w:top w:val="single" w:color="CCDDEE" w:sz="1"/>
              <w:left w:val="single" w:color="CCDDEE" w:sz="1"/>
              <w:bottom w:val="single" w:color="CCDDEE" w:sz="1"/>
              <w:right w:val="single" w:color="CCDDEE" w:sz="1"/>
            </w:tcBorders>
            <w:shd w:fill="EDF5F5" w:val="clear"/>
            <w:tcMar>
              <w:top w:type="dxa" w:w="70"/>
              <w:left w:type="dxa" w:w="110"/>
              <w:bottom w:type="dxa" w:w="70"/>
              <w:right w:type="dxa" w:w="110"/>
            </w:tcMar>
          </w:tcPr>
          <w:p>
            <w:pPr>
              <w:jc w:val="left"/>
            </w:pPr>
            <w:r>
              <w:rPr>
                <w:rFonts w:ascii="Arial" w:cs="Arial" w:eastAsia="Arial" w:hAnsi="Arial"/>
                <w:b w:val="false"/>
                <w:bCs w:val="false"/>
                <w:sz w:val="21"/>
                <w:szCs w:val="21"/>
              </w:rPr>
              <w:t xml:space="preserve">Security incidents</w:t>
            </w:r>
          </w:p>
        </w:tc>
        <w:tc>
          <w:tcPr>
            <w:tcW w:type="dxa" w:w="2000"/>
            <w:tcBorders>
              <w:top w:val="single" w:color="CCDDEE" w:sz="1"/>
              <w:left w:val="single" w:color="CCDDEE" w:sz="1"/>
              <w:bottom w:val="single" w:color="CCDDEE" w:sz="1"/>
              <w:right w:val="single" w:color="CCDDEE" w:sz="1"/>
            </w:tcBorders>
            <w:shd w:fill="EDF5F5" w:val="clear"/>
            <w:tcMar>
              <w:top w:type="dxa" w:w="70"/>
              <w:left w:type="dxa" w:w="110"/>
              <w:bottom w:type="dxa" w:w="70"/>
              <w:right w:type="dxa" w:w="110"/>
            </w:tcMar>
          </w:tcPr>
          <w:p>
            <w:pPr>
              <w:jc w:val="center"/>
            </w:pPr>
            <w:r>
              <w:rPr>
                <w:rFonts w:ascii="Arial" w:cs="Arial" w:eastAsia="Arial" w:hAnsi="Arial"/>
                <w:b w:val="false"/>
                <w:bCs w:val="false"/>
                <w:sz w:val="21"/>
                <w:szCs w:val="21"/>
              </w:rPr>
              <w:t xml:space="preserve">N/A (no monitoring)</w:t>
            </w:r>
          </w:p>
        </w:tc>
        <w:tc>
          <w:tcPr>
            <w:tcW w:type="dxa" w:w="2000"/>
            <w:tcBorders>
              <w:top w:val="single" w:color="CCDDEE" w:sz="1"/>
              <w:left w:val="single" w:color="CCDDEE" w:sz="1"/>
              <w:bottom w:val="single" w:color="CCDDEE" w:sz="1"/>
              <w:right w:val="single" w:color="CCDDEE" w:sz="1"/>
            </w:tcBorders>
            <w:shd w:fill="EDF5F5" w:val="clear"/>
            <w:tcMar>
              <w:top w:type="dxa" w:w="70"/>
              <w:left w:type="dxa" w:w="110"/>
              <w:bottom w:type="dxa" w:w="70"/>
              <w:right w:type="dxa" w:w="110"/>
            </w:tcMar>
          </w:tcPr>
          <w:p>
            <w:pPr>
              <w:jc w:val="center"/>
            </w:pPr>
            <w:r>
              <w:rPr>
                <w:rFonts w:ascii="Arial" w:cs="Arial" w:eastAsia="Arial" w:hAnsi="Arial"/>
                <w:b w:val="false"/>
                <w:bCs w:val="false"/>
                <w:sz w:val="21"/>
                <w:szCs w:val="21"/>
              </w:rPr>
              <w:t xml:space="preserve">0 incidents</w:t>
            </w:r>
          </w:p>
        </w:tc>
        <w:tc>
          <w:tcPr>
            <w:tcW w:type="dxa" w:w="2000"/>
            <w:tcBorders>
              <w:top w:val="single" w:color="CCDDEE" w:sz="1"/>
              <w:left w:val="single" w:color="CCDDEE" w:sz="1"/>
              <w:bottom w:val="single" w:color="CCDDEE" w:sz="1"/>
              <w:right w:val="single" w:color="CCDDEE" w:sz="1"/>
            </w:tcBorders>
            <w:shd w:fill="EDF5F5" w:val="clear"/>
            <w:tcMar>
              <w:top w:type="dxa" w:w="70"/>
              <w:left w:type="dxa" w:w="110"/>
              <w:bottom w:type="dxa" w:w="70"/>
              <w:right w:type="dxa" w:w="110"/>
            </w:tcMar>
          </w:tcPr>
          <w:p>
            <w:pPr>
              <w:jc w:val="center"/>
            </w:pPr>
            <w:r>
              <w:rPr>
                <w:rFonts w:ascii="Arial" w:cs="Arial" w:eastAsia="Arial" w:hAnsi="Arial"/>
                <w:b/>
                <w:bCs/>
                <w:sz w:val="21"/>
                <w:szCs w:val="21"/>
              </w:rPr>
              <w:t xml:space="preserve">Zero-incident</w:t>
            </w:r>
          </w:p>
        </w:tc>
      </w:tr>
      <w:tr>
        <w:tc>
          <w:tcPr>
            <w:tcW w:type="dxa" w:w="3400"/>
            <w:tcBorders>
              <w:top w:val="single" w:color="CCDDEE" w:sz="1"/>
              <w:left w:val="single" w:color="CCDDEE" w:sz="1"/>
              <w:bottom w:val="single" w:color="CCDDEE" w:sz="1"/>
              <w:right w:val="single" w:color="CCDDEE" w:sz="1"/>
            </w:tcBorders>
            <w:shd w:fill="FFFFFF" w:val="clear"/>
            <w:tcMar>
              <w:top w:type="dxa" w:w="70"/>
              <w:left w:type="dxa" w:w="110"/>
              <w:bottom w:type="dxa" w:w="70"/>
              <w:right w:type="dxa" w:w="110"/>
            </w:tcMar>
          </w:tcPr>
          <w:p>
            <w:pPr>
              <w:jc w:val="left"/>
            </w:pPr>
            <w:r>
              <w:rPr>
                <w:rFonts w:ascii="Arial" w:cs="Arial" w:eastAsia="Arial" w:hAnsi="Arial"/>
                <w:b w:val="false"/>
                <w:bCs w:val="false"/>
                <w:sz w:val="21"/>
                <w:szCs w:val="21"/>
              </w:rPr>
              <w:t xml:space="preserve">System uptime</w:t>
            </w:r>
          </w:p>
        </w:tc>
        <w:tc>
          <w:tcPr>
            <w:tcW w:type="dxa" w:w="2000"/>
            <w:tcBorders>
              <w:top w:val="single" w:color="CCDDEE" w:sz="1"/>
              <w:left w:val="single" w:color="CCDDEE" w:sz="1"/>
              <w:bottom w:val="single" w:color="CCDDEE" w:sz="1"/>
              <w:right w:val="single" w:color="CCDDEE" w:sz="1"/>
            </w:tcBorders>
            <w:shd w:fill="FFFFFF" w:val="clear"/>
            <w:tcMar>
              <w:top w:type="dxa" w:w="70"/>
              <w:left w:type="dxa" w:w="110"/>
              <w:bottom w:type="dxa" w:w="70"/>
              <w:right w:type="dxa" w:w="110"/>
            </w:tcMar>
          </w:tcPr>
          <w:p>
            <w:pPr>
              <w:jc w:val="center"/>
            </w:pPr>
            <w:r>
              <w:rPr>
                <w:rFonts w:ascii="Arial" w:cs="Arial" w:eastAsia="Arial" w:hAnsi="Arial"/>
                <w:b w:val="false"/>
                <w:bCs w:val="false"/>
                <w:sz w:val="21"/>
                <w:szCs w:val="21"/>
              </w:rPr>
              <w:t xml:space="preserve">N/A</w:t>
            </w:r>
          </w:p>
        </w:tc>
        <w:tc>
          <w:tcPr>
            <w:tcW w:type="dxa" w:w="2000"/>
            <w:tcBorders>
              <w:top w:val="single" w:color="CCDDEE" w:sz="1"/>
              <w:left w:val="single" w:color="CCDDEE" w:sz="1"/>
              <w:bottom w:val="single" w:color="CCDDEE" w:sz="1"/>
              <w:right w:val="single" w:color="CCDDEE" w:sz="1"/>
            </w:tcBorders>
            <w:shd w:fill="FFFFFF" w:val="clear"/>
            <w:tcMar>
              <w:top w:type="dxa" w:w="70"/>
              <w:left w:type="dxa" w:w="110"/>
              <w:bottom w:type="dxa" w:w="70"/>
              <w:right w:type="dxa" w:w="110"/>
            </w:tcMar>
          </w:tcPr>
          <w:p>
            <w:pPr>
              <w:jc w:val="center"/>
            </w:pPr>
            <w:r>
              <w:rPr>
                <w:rFonts w:ascii="Arial" w:cs="Arial" w:eastAsia="Arial" w:hAnsi="Arial"/>
                <w:b w:val="false"/>
                <w:bCs w:val="false"/>
                <w:sz w:val="21"/>
                <w:szCs w:val="21"/>
              </w:rPr>
              <w:t xml:space="preserve">99.2%</w:t>
            </w:r>
          </w:p>
        </w:tc>
        <w:tc>
          <w:tcPr>
            <w:tcW w:type="dxa" w:w="2000"/>
            <w:tcBorders>
              <w:top w:val="single" w:color="CCDDEE" w:sz="1"/>
              <w:left w:val="single" w:color="CCDDEE" w:sz="1"/>
              <w:bottom w:val="single" w:color="CCDDEE" w:sz="1"/>
              <w:right w:val="single" w:color="CCDDEE" w:sz="1"/>
            </w:tcBorders>
            <w:shd w:fill="FFFFFF" w:val="clear"/>
            <w:tcMar>
              <w:top w:type="dxa" w:w="70"/>
              <w:left w:type="dxa" w:w="110"/>
              <w:bottom w:type="dxa" w:w="70"/>
              <w:right w:type="dxa" w:w="110"/>
            </w:tcMar>
          </w:tcPr>
          <w:p>
            <w:pPr>
              <w:jc w:val="center"/>
            </w:pPr>
            <w:r>
              <w:rPr>
                <w:rFonts w:ascii="Arial" w:cs="Arial" w:eastAsia="Arial" w:hAnsi="Arial"/>
                <w:b/>
                <w:bCs/>
                <w:sz w:val="21"/>
                <w:szCs w:val="21"/>
              </w:rPr>
              <w:t xml:space="preserve">High availability</w:t>
            </w:r>
          </w:p>
        </w:tc>
      </w:tr>
      <w:tr>
        <w:tc>
          <w:tcPr>
            <w:tcW w:type="dxa" w:w="3400"/>
            <w:tcBorders>
              <w:top w:val="single" w:color="CCDDEE" w:sz="1"/>
              <w:left w:val="single" w:color="CCDDEE" w:sz="1"/>
              <w:bottom w:val="single" w:color="CCDDEE" w:sz="1"/>
              <w:right w:val="single" w:color="CCDDEE" w:sz="1"/>
            </w:tcBorders>
            <w:shd w:fill="EDF5F5" w:val="clear"/>
            <w:tcMar>
              <w:top w:type="dxa" w:w="70"/>
              <w:left w:type="dxa" w:w="110"/>
              <w:bottom w:type="dxa" w:w="70"/>
              <w:right w:type="dxa" w:w="110"/>
            </w:tcMar>
          </w:tcPr>
          <w:p>
            <w:pPr>
              <w:jc w:val="left"/>
            </w:pPr>
            <w:r>
              <w:rPr>
                <w:rFonts w:ascii="Arial" w:cs="Arial" w:eastAsia="Arial" w:hAnsi="Arial"/>
                <w:b w:val="false"/>
                <w:bCs w:val="false"/>
                <w:sz w:val="21"/>
                <w:szCs w:val="21"/>
              </w:rPr>
              <w:t xml:space="preserve">Alert-to-notification latency</w:t>
            </w:r>
          </w:p>
        </w:tc>
        <w:tc>
          <w:tcPr>
            <w:tcW w:type="dxa" w:w="2000"/>
            <w:tcBorders>
              <w:top w:val="single" w:color="CCDDEE" w:sz="1"/>
              <w:left w:val="single" w:color="CCDDEE" w:sz="1"/>
              <w:bottom w:val="single" w:color="CCDDEE" w:sz="1"/>
              <w:right w:val="single" w:color="CCDDEE" w:sz="1"/>
            </w:tcBorders>
            <w:shd w:fill="EDF5F5" w:val="clear"/>
            <w:tcMar>
              <w:top w:type="dxa" w:w="70"/>
              <w:left w:type="dxa" w:w="110"/>
              <w:bottom w:type="dxa" w:w="70"/>
              <w:right w:type="dxa" w:w="110"/>
            </w:tcMar>
          </w:tcPr>
          <w:p>
            <w:pPr>
              <w:jc w:val="center"/>
            </w:pPr>
            <w:r>
              <w:rPr>
                <w:rFonts w:ascii="Arial" w:cs="Arial" w:eastAsia="Arial" w:hAnsi="Arial"/>
                <w:b w:val="false"/>
                <w:bCs w:val="false"/>
                <w:sz w:val="21"/>
                <w:szCs w:val="21"/>
              </w:rPr>
              <w:t xml:space="preserve">N/A</w:t>
            </w:r>
          </w:p>
        </w:tc>
        <w:tc>
          <w:tcPr>
            <w:tcW w:type="dxa" w:w="2000"/>
            <w:tcBorders>
              <w:top w:val="single" w:color="CCDDEE" w:sz="1"/>
              <w:left w:val="single" w:color="CCDDEE" w:sz="1"/>
              <w:bottom w:val="single" w:color="CCDDEE" w:sz="1"/>
              <w:right w:val="single" w:color="CCDDEE" w:sz="1"/>
            </w:tcBorders>
            <w:shd w:fill="EDF5F5" w:val="clear"/>
            <w:tcMar>
              <w:top w:type="dxa" w:w="70"/>
              <w:left w:type="dxa" w:w="110"/>
              <w:bottom w:type="dxa" w:w="70"/>
              <w:right w:type="dxa" w:w="110"/>
            </w:tcMar>
          </w:tcPr>
          <w:p>
            <w:pPr>
              <w:jc w:val="center"/>
            </w:pPr>
            <w:r>
              <w:rPr>
                <w:rFonts w:ascii="Arial" w:cs="Arial" w:eastAsia="Arial" w:hAnsi="Arial"/>
                <w:b w:val="false"/>
                <w:bCs w:val="false"/>
                <w:sz w:val="21"/>
                <w:szCs w:val="21"/>
              </w:rPr>
              <w:t xml:space="preserve">&lt; 2 seconds</w:t>
            </w:r>
          </w:p>
        </w:tc>
        <w:tc>
          <w:tcPr>
            <w:tcW w:type="dxa" w:w="2000"/>
            <w:tcBorders>
              <w:top w:val="single" w:color="CCDDEE" w:sz="1"/>
              <w:left w:val="single" w:color="CCDDEE" w:sz="1"/>
              <w:bottom w:val="single" w:color="CCDDEE" w:sz="1"/>
              <w:right w:val="single" w:color="CCDDEE" w:sz="1"/>
            </w:tcBorders>
            <w:shd w:fill="EDF5F5" w:val="clear"/>
            <w:tcMar>
              <w:top w:type="dxa" w:w="70"/>
              <w:left w:type="dxa" w:w="110"/>
              <w:bottom w:type="dxa" w:w="70"/>
              <w:right w:type="dxa" w:w="110"/>
            </w:tcMar>
          </w:tcPr>
          <w:p>
            <w:pPr>
              <w:jc w:val="center"/>
            </w:pPr>
            <w:r>
              <w:rPr>
                <w:rFonts w:ascii="Arial" w:cs="Arial" w:eastAsia="Arial" w:hAnsi="Arial"/>
                <w:b/>
                <w:bCs/>
                <w:sz w:val="21"/>
                <w:szCs w:val="21"/>
              </w:rPr>
              <w:t xml:space="preserve">Real-time</w:t>
            </w:r>
          </w:p>
        </w:tc>
      </w:tr>
      <w:tr>
        <w:tc>
          <w:tcPr>
            <w:tcW w:type="dxa" w:w="3400"/>
            <w:tcBorders>
              <w:top w:val="single" w:color="CCDDEE" w:sz="1"/>
              <w:left w:val="single" w:color="CCDDEE" w:sz="1"/>
              <w:bottom w:val="single" w:color="CCDDEE" w:sz="1"/>
              <w:right w:val="single" w:color="CCDDEE" w:sz="1"/>
            </w:tcBorders>
            <w:shd w:fill="FFFFFF" w:val="clear"/>
            <w:tcMar>
              <w:top w:type="dxa" w:w="70"/>
              <w:left w:type="dxa" w:w="110"/>
              <w:bottom w:type="dxa" w:w="70"/>
              <w:right w:type="dxa" w:w="110"/>
            </w:tcMar>
          </w:tcPr>
          <w:p>
            <w:pPr>
              <w:jc w:val="left"/>
            </w:pPr>
            <w:r>
              <w:rPr>
                <w:rFonts w:ascii="Arial" w:cs="Arial" w:eastAsia="Arial" w:hAnsi="Arial"/>
                <w:b w:val="false"/>
                <w:bCs w:val="false"/>
                <w:sz w:val="21"/>
                <w:szCs w:val="21"/>
              </w:rPr>
              <w:t xml:space="preserve">Annual net saving per farm (₹)</w:t>
            </w:r>
          </w:p>
        </w:tc>
        <w:tc>
          <w:tcPr>
            <w:tcW w:type="dxa" w:w="2000"/>
            <w:tcBorders>
              <w:top w:val="single" w:color="CCDDEE" w:sz="1"/>
              <w:left w:val="single" w:color="CCDDEE" w:sz="1"/>
              <w:bottom w:val="single" w:color="CCDDEE" w:sz="1"/>
              <w:right w:val="single" w:color="CCDDEE" w:sz="1"/>
            </w:tcBorders>
            <w:shd w:fill="FFFFFF" w:val="clear"/>
            <w:tcMar>
              <w:top w:type="dxa" w:w="70"/>
              <w:left w:type="dxa" w:w="110"/>
              <w:bottom w:type="dxa" w:w="70"/>
              <w:right w:type="dxa" w:w="110"/>
            </w:tcMar>
          </w:tcPr>
          <w:p>
            <w:pPr>
              <w:jc w:val="center"/>
            </w:pPr>
            <w:r>
              <w:rPr>
                <w:rFonts w:ascii="Arial" w:cs="Arial" w:eastAsia="Arial" w:hAnsi="Arial"/>
                <w:b w:val="false"/>
                <w:bCs w:val="false"/>
                <w:sz w:val="21"/>
                <w:szCs w:val="21"/>
              </w:rPr>
              <w:t xml:space="preserve">—</w:t>
            </w:r>
          </w:p>
        </w:tc>
        <w:tc>
          <w:tcPr>
            <w:tcW w:type="dxa" w:w="2000"/>
            <w:tcBorders>
              <w:top w:val="single" w:color="CCDDEE" w:sz="1"/>
              <w:left w:val="single" w:color="CCDDEE" w:sz="1"/>
              <w:bottom w:val="single" w:color="CCDDEE" w:sz="1"/>
              <w:right w:val="single" w:color="CCDDEE" w:sz="1"/>
            </w:tcBorders>
            <w:shd w:fill="FFFFFF" w:val="clear"/>
            <w:tcMar>
              <w:top w:type="dxa" w:w="70"/>
              <w:left w:type="dxa" w:w="110"/>
              <w:bottom w:type="dxa" w:w="70"/>
              <w:right w:type="dxa" w:w="110"/>
            </w:tcMar>
          </w:tcPr>
          <w:p>
            <w:pPr>
              <w:jc w:val="center"/>
            </w:pPr>
            <w:r>
              <w:rPr>
                <w:rFonts w:ascii="Arial" w:cs="Arial" w:eastAsia="Arial" w:hAnsi="Arial"/>
                <w:b w:val="false"/>
                <w:bCs w:val="false"/>
                <w:sz w:val="21"/>
                <w:szCs w:val="21"/>
              </w:rPr>
              <w:t xml:space="preserve">~₹34,000</w:t>
            </w:r>
          </w:p>
        </w:tc>
        <w:tc>
          <w:tcPr>
            <w:tcW w:type="dxa" w:w="2000"/>
            <w:tcBorders>
              <w:top w:val="single" w:color="CCDDEE" w:sz="1"/>
              <w:left w:val="single" w:color="CCDDEE" w:sz="1"/>
              <w:bottom w:val="single" w:color="CCDDEE" w:sz="1"/>
              <w:right w:val="single" w:color="CCDDEE" w:sz="1"/>
            </w:tcBorders>
            <w:shd w:fill="FFFFFF" w:val="clear"/>
            <w:tcMar>
              <w:top w:type="dxa" w:w="70"/>
              <w:left w:type="dxa" w:w="110"/>
              <w:bottom w:type="dxa" w:w="70"/>
              <w:right w:type="dxa" w:w="110"/>
            </w:tcMar>
          </w:tcPr>
          <w:p>
            <w:pPr>
              <w:jc w:val="center"/>
            </w:pPr>
            <w:r>
              <w:rPr>
                <w:rFonts w:ascii="Arial" w:cs="Arial" w:eastAsia="Arial" w:hAnsi="Arial"/>
                <w:b/>
                <w:bCs/>
                <w:sz w:val="21"/>
                <w:szCs w:val="21"/>
              </w:rPr>
              <w:t xml:space="preserve">Positive ROI</w:t>
            </w:r>
          </w:p>
        </w:tc>
      </w:tr>
    </w:tbl>
    <w:p>
      <w:pPr>
        <w:spacing w:after="140"/>
      </w:pPr>
    </w:p>
    <w:p>
      <w:pPr>
        <w:spacing w:after="140" w:before="0"/>
        <w:ind w:firstLine="720"/>
        <w:jc w:val="both"/>
      </w:pPr>
      <w:r>
        <w:rPr>
          <w:rFonts w:ascii="Arial" w:cs="Arial" w:eastAsia="Arial" w:hAnsi="Arial"/>
          <w:sz w:val="24"/>
          <w:szCs w:val="24"/>
        </w:rPr>
        <w:t xml:space="preserve">An independent penetration test conducted in November 2025 confirmed zero successful exploits across all eight identified vulnerability categories. All replay attack attempts, SQL injection payloads, rogue firmware uploads, and unauthorized MQTT connections were detected and blocked by the respective security controls.</w:t>
      </w:r>
    </w:p>
    <w:p>
      <w:pPr>
        <w:pStyle w:val="Heading1"/>
        <w:spacing w:after="100" w:before="260"/>
      </w:pPr>
      <w:r>
        <w:rPr>
          <w:rFonts w:ascii="Arial" w:cs="Arial" w:eastAsia="Arial" w:hAnsi="Arial"/>
          <w:b/>
          <w:bCs/>
          <w:color w:val="0D1B2A"/>
          <w:sz w:val="28"/>
          <w:szCs w:val="28"/>
        </w:rPr>
        <w:t xml:space="preserve">8. Technology Stack</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600"/>
      </w:tblGrid>
      <w:tr>
        <w:tc>
          <w:tcPr>
            <w:tcW w:type="dxa" w:w="2000"/>
            <w:tcBorders>
              <w:top w:val="single" w:color="CCDDEE" w:sz="1"/>
              <w:left w:val="single" w:color="CCDDEE" w:sz="1"/>
              <w:bottom w:val="single" w:color="CCDDEE" w:sz="1"/>
              <w:right w:val="single" w:color="CCDDEE" w:sz="1"/>
            </w:tcBorders>
            <w:shd w:fill="0D1B2A"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Component</w:t>
            </w:r>
          </w:p>
        </w:tc>
        <w:tc>
          <w:tcPr>
            <w:tcW w:type="dxa" w:w="2800"/>
            <w:tcBorders>
              <w:top w:val="single" w:color="CCDDEE" w:sz="1"/>
              <w:left w:val="single" w:color="CCDDEE" w:sz="1"/>
              <w:bottom w:val="single" w:color="CCDDEE" w:sz="1"/>
              <w:right w:val="single" w:color="CCDDEE" w:sz="1"/>
            </w:tcBorders>
            <w:shd w:fill="0D1B2A"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Technology</w:t>
            </w:r>
          </w:p>
        </w:tc>
        <w:tc>
          <w:tcPr>
            <w:tcW w:type="dxa" w:w="4600"/>
            <w:tcBorders>
              <w:top w:val="single" w:color="CCDDEE" w:sz="1"/>
              <w:left w:val="single" w:color="CCDDEE" w:sz="1"/>
              <w:bottom w:val="single" w:color="CCDDEE" w:sz="1"/>
              <w:right w:val="single" w:color="CCDDEE" w:sz="1"/>
            </w:tcBorders>
            <w:shd w:fill="0D1B2A"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Purpose</w:t>
            </w:r>
          </w:p>
        </w:tc>
      </w:tr>
      <w:tr>
        <w:tc>
          <w:tcPr>
            <w:tcW w:type="dxa" w:w="2000"/>
            <w:tcBorders>
              <w:top w:val="single" w:color="CCDDEE" w:sz="1"/>
              <w:left w:val="single" w:color="CCDDEE" w:sz="1"/>
              <w:bottom w:val="single" w:color="CCDDEE" w:sz="1"/>
              <w:right w:val="single" w:color="CCDDEE" w:sz="1"/>
            </w:tcBorders>
            <w:shd w:fill="EDF5F5" w:val="clear"/>
            <w:tcMar>
              <w:top w:type="dxa" w:w="70"/>
              <w:left w:type="dxa" w:w="110"/>
              <w:bottom w:type="dxa" w:w="70"/>
              <w:right w:type="dxa" w:w="110"/>
            </w:tcMar>
          </w:tcPr>
          <w:p>
            <w:pPr>
              <w:jc w:val="left"/>
            </w:pPr>
            <w:r>
              <w:rPr>
                <w:rFonts w:ascii="Arial" w:cs="Arial" w:eastAsia="Arial" w:hAnsi="Arial"/>
                <w:b w:val="false"/>
                <w:bCs w:val="false"/>
                <w:sz w:val="21"/>
                <w:szCs w:val="21"/>
              </w:rPr>
              <w:t xml:space="preserve">Microcontroller</w:t>
            </w:r>
          </w:p>
        </w:tc>
        <w:tc>
          <w:tcPr>
            <w:tcW w:type="dxa" w:w="2800"/>
            <w:tcBorders>
              <w:top w:val="single" w:color="CCDDEE" w:sz="1"/>
              <w:left w:val="single" w:color="CCDDEE" w:sz="1"/>
              <w:bottom w:val="single" w:color="CCDDEE" w:sz="1"/>
              <w:right w:val="single" w:color="CCDDEE" w:sz="1"/>
            </w:tcBorders>
            <w:shd w:fill="EDF5F5" w:val="clear"/>
            <w:tcMar>
              <w:top w:type="dxa" w:w="70"/>
              <w:left w:type="dxa" w:w="110"/>
              <w:bottom w:type="dxa" w:w="70"/>
              <w:right w:type="dxa" w:w="110"/>
            </w:tcMar>
          </w:tcPr>
          <w:p>
            <w:pPr>
              <w:jc w:val="center"/>
            </w:pPr>
            <w:r>
              <w:rPr>
                <w:rFonts w:ascii="Arial" w:cs="Arial" w:eastAsia="Arial" w:hAnsi="Arial"/>
                <w:b w:val="false"/>
                <w:bCs w:val="false"/>
                <w:sz w:val="21"/>
                <w:szCs w:val="21"/>
              </w:rPr>
              <w:t xml:space="preserve">ESP32-S3 (Xtensa LX7, 240 MHz)</w:t>
            </w:r>
          </w:p>
        </w:tc>
        <w:tc>
          <w:tcPr>
            <w:tcW w:type="dxa" w:w="4600"/>
            <w:tcBorders>
              <w:top w:val="single" w:color="CCDDEE" w:sz="1"/>
              <w:left w:val="single" w:color="CCDDEE" w:sz="1"/>
              <w:bottom w:val="single" w:color="CCDDEE" w:sz="1"/>
              <w:right w:val="single" w:color="CCDDEE" w:sz="1"/>
            </w:tcBorders>
            <w:shd w:fill="EDF5F5" w:val="clear"/>
            <w:tcMar>
              <w:top w:type="dxa" w:w="70"/>
              <w:left w:type="dxa" w:w="110"/>
              <w:bottom w:type="dxa" w:w="70"/>
              <w:right w:type="dxa" w:w="110"/>
            </w:tcMar>
          </w:tcPr>
          <w:p>
            <w:pPr>
              <w:jc w:val="center"/>
            </w:pPr>
            <w:r>
              <w:rPr>
                <w:rFonts w:ascii="Arial" w:cs="Arial" w:eastAsia="Arial" w:hAnsi="Arial"/>
                <w:b/>
                <w:bCs/>
                <w:sz w:val="21"/>
                <w:szCs w:val="21"/>
              </w:rPr>
              <w:t xml:space="preserve">Sensor acquisition, TLS-MQTT, Ed25519 signing</w:t>
            </w:r>
          </w:p>
        </w:tc>
      </w:tr>
      <w:tr>
        <w:tc>
          <w:tcPr>
            <w:tcW w:type="dxa" w:w="2000"/>
            <w:tcBorders>
              <w:top w:val="single" w:color="CCDDEE" w:sz="1"/>
              <w:left w:val="single" w:color="CCDDEE" w:sz="1"/>
              <w:bottom w:val="single" w:color="CCDDEE" w:sz="1"/>
              <w:right w:val="single" w:color="CCDDEE" w:sz="1"/>
            </w:tcBorders>
            <w:shd w:fill="FFFFFF" w:val="clear"/>
            <w:tcMar>
              <w:top w:type="dxa" w:w="70"/>
              <w:left w:type="dxa" w:w="110"/>
              <w:bottom w:type="dxa" w:w="70"/>
              <w:right w:type="dxa" w:w="110"/>
            </w:tcMar>
          </w:tcPr>
          <w:p>
            <w:pPr>
              <w:jc w:val="left"/>
            </w:pPr>
            <w:r>
              <w:rPr>
                <w:rFonts w:ascii="Arial" w:cs="Arial" w:eastAsia="Arial" w:hAnsi="Arial"/>
                <w:b w:val="false"/>
                <w:bCs w:val="false"/>
                <w:sz w:val="21"/>
                <w:szCs w:val="21"/>
              </w:rPr>
              <w:t xml:space="preserve">Firmware Framework</w:t>
            </w:r>
          </w:p>
        </w:tc>
        <w:tc>
          <w:tcPr>
            <w:tcW w:type="dxa" w:w="2800"/>
            <w:tcBorders>
              <w:top w:val="single" w:color="CCDDEE" w:sz="1"/>
              <w:left w:val="single" w:color="CCDDEE" w:sz="1"/>
              <w:bottom w:val="single" w:color="CCDDEE" w:sz="1"/>
              <w:right w:val="single" w:color="CCDDEE" w:sz="1"/>
            </w:tcBorders>
            <w:shd w:fill="FFFFFF" w:val="clear"/>
            <w:tcMar>
              <w:top w:type="dxa" w:w="70"/>
              <w:left w:type="dxa" w:w="110"/>
              <w:bottom w:type="dxa" w:w="70"/>
              <w:right w:type="dxa" w:w="110"/>
            </w:tcMar>
          </w:tcPr>
          <w:p>
            <w:pPr>
              <w:jc w:val="center"/>
            </w:pPr>
            <w:r>
              <w:rPr>
                <w:rFonts w:ascii="Arial" w:cs="Arial" w:eastAsia="Arial" w:hAnsi="Arial"/>
                <w:b w:val="false"/>
                <w:bCs w:val="false"/>
                <w:sz w:val="21"/>
                <w:szCs w:val="21"/>
              </w:rPr>
              <w:t xml:space="preserve">ESP-IDF 5.2 + Arduino Core</w:t>
            </w:r>
          </w:p>
        </w:tc>
        <w:tc>
          <w:tcPr>
            <w:tcW w:type="dxa" w:w="4600"/>
            <w:tcBorders>
              <w:top w:val="single" w:color="CCDDEE" w:sz="1"/>
              <w:left w:val="single" w:color="CCDDEE" w:sz="1"/>
              <w:bottom w:val="single" w:color="CCDDEE" w:sz="1"/>
              <w:right w:val="single" w:color="CCDDEE" w:sz="1"/>
            </w:tcBorders>
            <w:shd w:fill="FFFFFF" w:val="clear"/>
            <w:tcMar>
              <w:top w:type="dxa" w:w="70"/>
              <w:left w:type="dxa" w:w="110"/>
              <w:bottom w:type="dxa" w:w="70"/>
              <w:right w:type="dxa" w:w="110"/>
            </w:tcMar>
          </w:tcPr>
          <w:p>
            <w:pPr>
              <w:jc w:val="center"/>
            </w:pPr>
            <w:r>
              <w:rPr>
                <w:rFonts w:ascii="Arial" w:cs="Arial" w:eastAsia="Arial" w:hAnsi="Arial"/>
                <w:b/>
                <w:bCs/>
                <w:sz w:val="21"/>
                <w:szCs w:val="21"/>
              </w:rPr>
              <w:t xml:space="preserve">Sensor drivers, secure boot, OTA, deep sleep</w:t>
            </w:r>
          </w:p>
        </w:tc>
      </w:tr>
      <w:tr>
        <w:tc>
          <w:tcPr>
            <w:tcW w:type="dxa" w:w="2000"/>
            <w:tcBorders>
              <w:top w:val="single" w:color="CCDDEE" w:sz="1"/>
              <w:left w:val="single" w:color="CCDDEE" w:sz="1"/>
              <w:bottom w:val="single" w:color="CCDDEE" w:sz="1"/>
              <w:right w:val="single" w:color="CCDDEE" w:sz="1"/>
            </w:tcBorders>
            <w:shd w:fill="EDF5F5" w:val="clear"/>
            <w:tcMar>
              <w:top w:type="dxa" w:w="70"/>
              <w:left w:type="dxa" w:w="110"/>
              <w:bottom w:type="dxa" w:w="70"/>
              <w:right w:type="dxa" w:w="110"/>
            </w:tcMar>
          </w:tcPr>
          <w:p>
            <w:pPr>
              <w:jc w:val="left"/>
            </w:pPr>
            <w:r>
              <w:rPr>
                <w:rFonts w:ascii="Arial" w:cs="Arial" w:eastAsia="Arial" w:hAnsi="Arial"/>
                <w:b w:val="false"/>
                <w:bCs w:val="false"/>
                <w:sz w:val="21"/>
                <w:szCs w:val="21"/>
              </w:rPr>
              <w:t xml:space="preserve">Communication</w:t>
            </w:r>
          </w:p>
        </w:tc>
        <w:tc>
          <w:tcPr>
            <w:tcW w:type="dxa" w:w="2800"/>
            <w:tcBorders>
              <w:top w:val="single" w:color="CCDDEE" w:sz="1"/>
              <w:left w:val="single" w:color="CCDDEE" w:sz="1"/>
              <w:bottom w:val="single" w:color="CCDDEE" w:sz="1"/>
              <w:right w:val="single" w:color="CCDDEE" w:sz="1"/>
            </w:tcBorders>
            <w:shd w:fill="EDF5F5" w:val="clear"/>
            <w:tcMar>
              <w:top w:type="dxa" w:w="70"/>
              <w:left w:type="dxa" w:w="110"/>
              <w:bottom w:type="dxa" w:w="70"/>
              <w:right w:type="dxa" w:w="110"/>
            </w:tcMar>
          </w:tcPr>
          <w:p>
            <w:pPr>
              <w:jc w:val="center"/>
            </w:pPr>
            <w:r>
              <w:rPr>
                <w:rFonts w:ascii="Arial" w:cs="Arial" w:eastAsia="Arial" w:hAnsi="Arial"/>
                <w:b w:val="false"/>
                <w:bCs w:val="false"/>
                <w:sz w:val="21"/>
                <w:szCs w:val="21"/>
              </w:rPr>
              <w:t xml:space="preserve">MQTT over TLS 1.3 / LoRaWAN</w:t>
            </w:r>
          </w:p>
        </w:tc>
        <w:tc>
          <w:tcPr>
            <w:tcW w:type="dxa" w:w="4600"/>
            <w:tcBorders>
              <w:top w:val="single" w:color="CCDDEE" w:sz="1"/>
              <w:left w:val="single" w:color="CCDDEE" w:sz="1"/>
              <w:bottom w:val="single" w:color="CCDDEE" w:sz="1"/>
              <w:right w:val="single" w:color="CCDDEE" w:sz="1"/>
            </w:tcBorders>
            <w:shd w:fill="EDF5F5" w:val="clear"/>
            <w:tcMar>
              <w:top w:type="dxa" w:w="70"/>
              <w:left w:type="dxa" w:w="110"/>
              <w:bottom w:type="dxa" w:w="70"/>
              <w:right w:type="dxa" w:w="110"/>
            </w:tcMar>
          </w:tcPr>
          <w:p>
            <w:pPr>
              <w:jc w:val="center"/>
            </w:pPr>
            <w:r>
              <w:rPr>
                <w:rFonts w:ascii="Arial" w:cs="Arial" w:eastAsia="Arial" w:hAnsi="Arial"/>
                <w:b/>
                <w:bCs/>
                <w:sz w:val="21"/>
                <w:szCs w:val="21"/>
              </w:rPr>
              <w:t xml:space="preserve">Secure bidirectional sensor-cloud messaging</w:t>
            </w:r>
          </w:p>
        </w:tc>
      </w:tr>
      <w:tr>
        <w:tc>
          <w:tcPr>
            <w:tcW w:type="dxa" w:w="2000"/>
            <w:tcBorders>
              <w:top w:val="single" w:color="CCDDEE" w:sz="1"/>
              <w:left w:val="single" w:color="CCDDEE" w:sz="1"/>
              <w:bottom w:val="single" w:color="CCDDEE" w:sz="1"/>
              <w:right w:val="single" w:color="CCDDEE" w:sz="1"/>
            </w:tcBorders>
            <w:shd w:fill="FFFFFF" w:val="clear"/>
            <w:tcMar>
              <w:top w:type="dxa" w:w="70"/>
              <w:left w:type="dxa" w:w="110"/>
              <w:bottom w:type="dxa" w:w="70"/>
              <w:right w:type="dxa" w:w="110"/>
            </w:tcMar>
          </w:tcPr>
          <w:p>
            <w:pPr>
              <w:jc w:val="left"/>
            </w:pPr>
            <w:r>
              <w:rPr>
                <w:rFonts w:ascii="Arial" w:cs="Arial" w:eastAsia="Arial" w:hAnsi="Arial"/>
                <w:b w:val="false"/>
                <w:bCs w:val="false"/>
                <w:sz w:val="21"/>
                <w:szCs w:val="21"/>
              </w:rPr>
              <w:t xml:space="preserve">Backend Runtime</w:t>
            </w:r>
          </w:p>
        </w:tc>
        <w:tc>
          <w:tcPr>
            <w:tcW w:type="dxa" w:w="2800"/>
            <w:tcBorders>
              <w:top w:val="single" w:color="CCDDEE" w:sz="1"/>
              <w:left w:val="single" w:color="CCDDEE" w:sz="1"/>
              <w:bottom w:val="single" w:color="CCDDEE" w:sz="1"/>
              <w:right w:val="single" w:color="CCDDEE" w:sz="1"/>
            </w:tcBorders>
            <w:shd w:fill="FFFFFF" w:val="clear"/>
            <w:tcMar>
              <w:top w:type="dxa" w:w="70"/>
              <w:left w:type="dxa" w:w="110"/>
              <w:bottom w:type="dxa" w:w="70"/>
              <w:right w:type="dxa" w:w="110"/>
            </w:tcMar>
          </w:tcPr>
          <w:p>
            <w:pPr>
              <w:jc w:val="center"/>
            </w:pPr>
            <w:r>
              <w:rPr>
                <w:rFonts w:ascii="Arial" w:cs="Arial" w:eastAsia="Arial" w:hAnsi="Arial"/>
                <w:b w:val="false"/>
                <w:bCs w:val="false"/>
                <w:sz w:val="21"/>
                <w:szCs w:val="21"/>
              </w:rPr>
              <w:t xml:space="preserve">Node.js 22 LTS + Express 4</w:t>
            </w:r>
          </w:p>
        </w:tc>
        <w:tc>
          <w:tcPr>
            <w:tcW w:type="dxa" w:w="4600"/>
            <w:tcBorders>
              <w:top w:val="single" w:color="CCDDEE" w:sz="1"/>
              <w:left w:val="single" w:color="CCDDEE" w:sz="1"/>
              <w:bottom w:val="single" w:color="CCDDEE" w:sz="1"/>
              <w:right w:val="single" w:color="CCDDEE" w:sz="1"/>
            </w:tcBorders>
            <w:shd w:fill="FFFFFF" w:val="clear"/>
            <w:tcMar>
              <w:top w:type="dxa" w:w="70"/>
              <w:left w:type="dxa" w:w="110"/>
              <w:bottom w:type="dxa" w:w="70"/>
              <w:right w:type="dxa" w:w="110"/>
            </w:tcMar>
          </w:tcPr>
          <w:p>
            <w:pPr>
              <w:jc w:val="center"/>
            </w:pPr>
            <w:r>
              <w:rPr>
                <w:rFonts w:ascii="Arial" w:cs="Arial" w:eastAsia="Arial" w:hAnsi="Arial"/>
                <w:b/>
                <w:bCs/>
                <w:sz w:val="21"/>
                <w:szCs w:val="21"/>
              </w:rPr>
              <w:t xml:space="preserve">REST API, WebSocket server, business logic</w:t>
            </w:r>
          </w:p>
        </w:tc>
      </w:tr>
      <w:tr>
        <w:tc>
          <w:tcPr>
            <w:tcW w:type="dxa" w:w="2000"/>
            <w:tcBorders>
              <w:top w:val="single" w:color="CCDDEE" w:sz="1"/>
              <w:left w:val="single" w:color="CCDDEE" w:sz="1"/>
              <w:bottom w:val="single" w:color="CCDDEE" w:sz="1"/>
              <w:right w:val="single" w:color="CCDDEE" w:sz="1"/>
            </w:tcBorders>
            <w:shd w:fill="EDF5F5" w:val="clear"/>
            <w:tcMar>
              <w:top w:type="dxa" w:w="70"/>
              <w:left w:type="dxa" w:w="110"/>
              <w:bottom w:type="dxa" w:w="70"/>
              <w:right w:type="dxa" w:w="110"/>
            </w:tcMar>
          </w:tcPr>
          <w:p>
            <w:pPr>
              <w:jc w:val="left"/>
            </w:pPr>
            <w:r>
              <w:rPr>
                <w:rFonts w:ascii="Arial" w:cs="Arial" w:eastAsia="Arial" w:hAnsi="Arial"/>
                <w:b w:val="false"/>
                <w:bCs w:val="false"/>
                <w:sz w:val="21"/>
                <w:szCs w:val="21"/>
              </w:rPr>
              <w:t xml:space="preserve">Database</w:t>
            </w:r>
          </w:p>
        </w:tc>
        <w:tc>
          <w:tcPr>
            <w:tcW w:type="dxa" w:w="2800"/>
            <w:tcBorders>
              <w:top w:val="single" w:color="CCDDEE" w:sz="1"/>
              <w:left w:val="single" w:color="CCDDEE" w:sz="1"/>
              <w:bottom w:val="single" w:color="CCDDEE" w:sz="1"/>
              <w:right w:val="single" w:color="CCDDEE" w:sz="1"/>
            </w:tcBorders>
            <w:shd w:fill="EDF5F5" w:val="clear"/>
            <w:tcMar>
              <w:top w:type="dxa" w:w="70"/>
              <w:left w:type="dxa" w:w="110"/>
              <w:bottom w:type="dxa" w:w="70"/>
              <w:right w:type="dxa" w:w="110"/>
            </w:tcMar>
          </w:tcPr>
          <w:p>
            <w:pPr>
              <w:jc w:val="center"/>
            </w:pPr>
            <w:r>
              <w:rPr>
                <w:rFonts w:ascii="Arial" w:cs="Arial" w:eastAsia="Arial" w:hAnsi="Arial"/>
                <w:b w:val="false"/>
                <w:bCs w:val="false"/>
                <w:sz w:val="21"/>
                <w:szCs w:val="21"/>
              </w:rPr>
              <w:t xml:space="preserve">PostgreSQL 16</w:t>
            </w:r>
          </w:p>
        </w:tc>
        <w:tc>
          <w:tcPr>
            <w:tcW w:type="dxa" w:w="4600"/>
            <w:tcBorders>
              <w:top w:val="single" w:color="CCDDEE" w:sz="1"/>
              <w:left w:val="single" w:color="CCDDEE" w:sz="1"/>
              <w:bottom w:val="single" w:color="CCDDEE" w:sz="1"/>
              <w:right w:val="single" w:color="CCDDEE" w:sz="1"/>
            </w:tcBorders>
            <w:shd w:fill="EDF5F5" w:val="clear"/>
            <w:tcMar>
              <w:top w:type="dxa" w:w="70"/>
              <w:left w:type="dxa" w:w="110"/>
              <w:bottom w:type="dxa" w:w="70"/>
              <w:right w:type="dxa" w:w="110"/>
            </w:tcMar>
          </w:tcPr>
          <w:p>
            <w:pPr>
              <w:jc w:val="center"/>
            </w:pPr>
            <w:r>
              <w:rPr>
                <w:rFonts w:ascii="Arial" w:cs="Arial" w:eastAsia="Arial" w:hAnsi="Arial"/>
                <w:b/>
                <w:bCs/>
                <w:sz w:val="21"/>
                <w:szCs w:val="21"/>
              </w:rPr>
              <w:t xml:space="preserve">Structured sensor data, audit logs, user management</w:t>
            </w:r>
          </w:p>
        </w:tc>
      </w:tr>
      <w:tr>
        <w:tc>
          <w:tcPr>
            <w:tcW w:type="dxa" w:w="2000"/>
            <w:tcBorders>
              <w:top w:val="single" w:color="CCDDEE" w:sz="1"/>
              <w:left w:val="single" w:color="CCDDEE" w:sz="1"/>
              <w:bottom w:val="single" w:color="CCDDEE" w:sz="1"/>
              <w:right w:val="single" w:color="CCDDEE" w:sz="1"/>
            </w:tcBorders>
            <w:shd w:fill="FFFFFF" w:val="clear"/>
            <w:tcMar>
              <w:top w:type="dxa" w:w="70"/>
              <w:left w:type="dxa" w:w="110"/>
              <w:bottom w:type="dxa" w:w="70"/>
              <w:right w:type="dxa" w:w="110"/>
            </w:tcMar>
          </w:tcPr>
          <w:p>
            <w:pPr>
              <w:jc w:val="left"/>
            </w:pPr>
            <w:r>
              <w:rPr>
                <w:rFonts w:ascii="Arial" w:cs="Arial" w:eastAsia="Arial" w:hAnsi="Arial"/>
                <w:b w:val="false"/>
                <w:bCs w:val="false"/>
                <w:sz w:val="21"/>
                <w:szCs w:val="21"/>
              </w:rPr>
              <w:t xml:space="preserve">Authentication</w:t>
            </w:r>
          </w:p>
        </w:tc>
        <w:tc>
          <w:tcPr>
            <w:tcW w:type="dxa" w:w="2800"/>
            <w:tcBorders>
              <w:top w:val="single" w:color="CCDDEE" w:sz="1"/>
              <w:left w:val="single" w:color="CCDDEE" w:sz="1"/>
              <w:bottom w:val="single" w:color="CCDDEE" w:sz="1"/>
              <w:right w:val="single" w:color="CCDDEE" w:sz="1"/>
            </w:tcBorders>
            <w:shd w:fill="FFFFFF" w:val="clear"/>
            <w:tcMar>
              <w:top w:type="dxa" w:w="70"/>
              <w:left w:type="dxa" w:w="110"/>
              <w:bottom w:type="dxa" w:w="70"/>
              <w:right w:type="dxa" w:w="110"/>
            </w:tcMar>
          </w:tcPr>
          <w:p>
            <w:pPr>
              <w:jc w:val="center"/>
            </w:pPr>
            <w:r>
              <w:rPr>
                <w:rFonts w:ascii="Arial" w:cs="Arial" w:eastAsia="Arial" w:hAnsi="Arial"/>
                <w:b w:val="false"/>
                <w:bCs w:val="false"/>
                <w:sz w:val="21"/>
                <w:szCs w:val="21"/>
              </w:rPr>
              <w:t xml:space="preserve">JWT (HS256) + bcrypt</w:t>
            </w:r>
          </w:p>
        </w:tc>
        <w:tc>
          <w:tcPr>
            <w:tcW w:type="dxa" w:w="4600"/>
            <w:tcBorders>
              <w:top w:val="single" w:color="CCDDEE" w:sz="1"/>
              <w:left w:val="single" w:color="CCDDEE" w:sz="1"/>
              <w:bottom w:val="single" w:color="CCDDEE" w:sz="1"/>
              <w:right w:val="single" w:color="CCDDEE" w:sz="1"/>
            </w:tcBorders>
            <w:shd w:fill="FFFFFF" w:val="clear"/>
            <w:tcMar>
              <w:top w:type="dxa" w:w="70"/>
              <w:left w:type="dxa" w:w="110"/>
              <w:bottom w:type="dxa" w:w="70"/>
              <w:right w:type="dxa" w:w="110"/>
            </w:tcMar>
          </w:tcPr>
          <w:p>
            <w:pPr>
              <w:jc w:val="center"/>
            </w:pPr>
            <w:r>
              <w:rPr>
                <w:rFonts w:ascii="Arial" w:cs="Arial" w:eastAsia="Arial" w:hAnsi="Arial"/>
                <w:b/>
                <w:bCs/>
                <w:sz w:val="21"/>
                <w:szCs w:val="21"/>
              </w:rPr>
              <w:t xml:space="preserve">Stateless auth, role-based access control</w:t>
            </w:r>
          </w:p>
        </w:tc>
      </w:tr>
      <w:tr>
        <w:tc>
          <w:tcPr>
            <w:tcW w:type="dxa" w:w="2000"/>
            <w:tcBorders>
              <w:top w:val="single" w:color="CCDDEE" w:sz="1"/>
              <w:left w:val="single" w:color="CCDDEE" w:sz="1"/>
              <w:bottom w:val="single" w:color="CCDDEE" w:sz="1"/>
              <w:right w:val="single" w:color="CCDDEE" w:sz="1"/>
            </w:tcBorders>
            <w:shd w:fill="EDF5F5" w:val="clear"/>
            <w:tcMar>
              <w:top w:type="dxa" w:w="70"/>
              <w:left w:type="dxa" w:w="110"/>
              <w:bottom w:type="dxa" w:w="70"/>
              <w:right w:type="dxa" w:w="110"/>
            </w:tcMar>
          </w:tcPr>
          <w:p>
            <w:pPr>
              <w:jc w:val="left"/>
            </w:pPr>
            <w:r>
              <w:rPr>
                <w:rFonts w:ascii="Arial" w:cs="Arial" w:eastAsia="Arial" w:hAnsi="Arial"/>
                <w:b w:val="false"/>
                <w:bCs w:val="false"/>
                <w:sz w:val="21"/>
                <w:szCs w:val="21"/>
              </w:rPr>
              <w:t xml:space="preserve">Encryption at Rest</w:t>
            </w:r>
          </w:p>
        </w:tc>
        <w:tc>
          <w:tcPr>
            <w:tcW w:type="dxa" w:w="2800"/>
            <w:tcBorders>
              <w:top w:val="single" w:color="CCDDEE" w:sz="1"/>
              <w:left w:val="single" w:color="CCDDEE" w:sz="1"/>
              <w:bottom w:val="single" w:color="CCDDEE" w:sz="1"/>
              <w:right w:val="single" w:color="CCDDEE" w:sz="1"/>
            </w:tcBorders>
            <w:shd w:fill="EDF5F5" w:val="clear"/>
            <w:tcMar>
              <w:top w:type="dxa" w:w="70"/>
              <w:left w:type="dxa" w:w="110"/>
              <w:bottom w:type="dxa" w:w="70"/>
              <w:right w:type="dxa" w:w="110"/>
            </w:tcMar>
          </w:tcPr>
          <w:p>
            <w:pPr>
              <w:jc w:val="center"/>
            </w:pPr>
            <w:r>
              <w:rPr>
                <w:rFonts w:ascii="Arial" w:cs="Arial" w:eastAsia="Arial" w:hAnsi="Arial"/>
                <w:b w:val="false"/>
                <w:bCs w:val="false"/>
                <w:sz w:val="21"/>
                <w:szCs w:val="21"/>
              </w:rPr>
              <w:t xml:space="preserve">AES-256-GCM</w:t>
            </w:r>
          </w:p>
        </w:tc>
        <w:tc>
          <w:tcPr>
            <w:tcW w:type="dxa" w:w="4600"/>
            <w:tcBorders>
              <w:top w:val="single" w:color="CCDDEE" w:sz="1"/>
              <w:left w:val="single" w:color="CCDDEE" w:sz="1"/>
              <w:bottom w:val="single" w:color="CCDDEE" w:sz="1"/>
              <w:right w:val="single" w:color="CCDDEE" w:sz="1"/>
            </w:tcBorders>
            <w:shd w:fill="EDF5F5" w:val="clear"/>
            <w:tcMar>
              <w:top w:type="dxa" w:w="70"/>
              <w:left w:type="dxa" w:w="110"/>
              <w:bottom w:type="dxa" w:w="70"/>
              <w:right w:type="dxa" w:w="110"/>
            </w:tcMar>
          </w:tcPr>
          <w:p>
            <w:pPr>
              <w:jc w:val="center"/>
            </w:pPr>
            <w:r>
              <w:rPr>
                <w:rFonts w:ascii="Arial" w:cs="Arial" w:eastAsia="Arial" w:hAnsi="Arial"/>
                <w:b/>
                <w:bCs/>
                <w:sz w:val="21"/>
                <w:szCs w:val="21"/>
              </w:rPr>
              <w:t xml:space="preserve">Sensor data, credentials, PII protection</w:t>
            </w:r>
          </w:p>
        </w:tc>
      </w:tr>
      <w:tr>
        <w:tc>
          <w:tcPr>
            <w:tcW w:type="dxa" w:w="2000"/>
            <w:tcBorders>
              <w:top w:val="single" w:color="CCDDEE" w:sz="1"/>
              <w:left w:val="single" w:color="CCDDEE" w:sz="1"/>
              <w:bottom w:val="single" w:color="CCDDEE" w:sz="1"/>
              <w:right w:val="single" w:color="CCDDEE" w:sz="1"/>
            </w:tcBorders>
            <w:shd w:fill="FFFFFF" w:val="clear"/>
            <w:tcMar>
              <w:top w:type="dxa" w:w="70"/>
              <w:left w:type="dxa" w:w="110"/>
              <w:bottom w:type="dxa" w:w="70"/>
              <w:right w:type="dxa" w:w="110"/>
            </w:tcMar>
          </w:tcPr>
          <w:p>
            <w:pPr>
              <w:jc w:val="left"/>
            </w:pPr>
            <w:r>
              <w:rPr>
                <w:rFonts w:ascii="Arial" w:cs="Arial" w:eastAsia="Arial" w:hAnsi="Arial"/>
                <w:b w:val="false"/>
                <w:bCs w:val="false"/>
                <w:sz w:val="21"/>
                <w:szCs w:val="21"/>
              </w:rPr>
              <w:t xml:space="preserve">AI Framework</w:t>
            </w:r>
          </w:p>
        </w:tc>
        <w:tc>
          <w:tcPr>
            <w:tcW w:type="dxa" w:w="2800"/>
            <w:tcBorders>
              <w:top w:val="single" w:color="CCDDEE" w:sz="1"/>
              <w:left w:val="single" w:color="CCDDEE" w:sz="1"/>
              <w:bottom w:val="single" w:color="CCDDEE" w:sz="1"/>
              <w:right w:val="single" w:color="CCDDEE" w:sz="1"/>
            </w:tcBorders>
            <w:shd w:fill="FFFFFF" w:val="clear"/>
            <w:tcMar>
              <w:top w:type="dxa" w:w="70"/>
              <w:left w:type="dxa" w:w="110"/>
              <w:bottom w:type="dxa" w:w="70"/>
              <w:right w:type="dxa" w:w="110"/>
            </w:tcMar>
          </w:tcPr>
          <w:p>
            <w:pPr>
              <w:jc w:val="center"/>
            </w:pPr>
            <w:r>
              <w:rPr>
                <w:rFonts w:ascii="Arial" w:cs="Arial" w:eastAsia="Arial" w:hAnsi="Arial"/>
                <w:b w:val="false"/>
                <w:bCs w:val="false"/>
                <w:sz w:val="21"/>
                <w:szCs w:val="21"/>
              </w:rPr>
              <w:t xml:space="preserve">Python 3.12 + TensorFlow 2.15</w:t>
            </w:r>
          </w:p>
        </w:tc>
        <w:tc>
          <w:tcPr>
            <w:tcW w:type="dxa" w:w="4600"/>
            <w:tcBorders>
              <w:top w:val="single" w:color="CCDDEE" w:sz="1"/>
              <w:left w:val="single" w:color="CCDDEE" w:sz="1"/>
              <w:bottom w:val="single" w:color="CCDDEE" w:sz="1"/>
              <w:right w:val="single" w:color="CCDDEE" w:sz="1"/>
            </w:tcBorders>
            <w:shd w:fill="FFFFFF" w:val="clear"/>
            <w:tcMar>
              <w:top w:type="dxa" w:w="70"/>
              <w:left w:type="dxa" w:w="110"/>
              <w:bottom w:type="dxa" w:w="70"/>
              <w:right w:type="dxa" w:w="110"/>
            </w:tcMar>
          </w:tcPr>
          <w:p>
            <w:pPr>
              <w:jc w:val="center"/>
            </w:pPr>
            <w:r>
              <w:rPr>
                <w:rFonts w:ascii="Arial" w:cs="Arial" w:eastAsia="Arial" w:hAnsi="Arial"/>
                <w:b/>
                <w:bCs/>
                <w:sz w:val="21"/>
                <w:szCs w:val="21"/>
              </w:rPr>
              <w:t xml:space="preserve">LSTM model training, ET₀ computation</w:t>
            </w:r>
          </w:p>
        </w:tc>
      </w:tr>
      <w:tr>
        <w:tc>
          <w:tcPr>
            <w:tcW w:type="dxa" w:w="2000"/>
            <w:tcBorders>
              <w:top w:val="single" w:color="CCDDEE" w:sz="1"/>
              <w:left w:val="single" w:color="CCDDEE" w:sz="1"/>
              <w:bottom w:val="single" w:color="CCDDEE" w:sz="1"/>
              <w:right w:val="single" w:color="CCDDEE" w:sz="1"/>
            </w:tcBorders>
            <w:shd w:fill="EDF5F5" w:val="clear"/>
            <w:tcMar>
              <w:top w:type="dxa" w:w="70"/>
              <w:left w:type="dxa" w:w="110"/>
              <w:bottom w:type="dxa" w:w="70"/>
              <w:right w:type="dxa" w:w="110"/>
            </w:tcMar>
          </w:tcPr>
          <w:p>
            <w:pPr>
              <w:jc w:val="left"/>
            </w:pPr>
            <w:r>
              <w:rPr>
                <w:rFonts w:ascii="Arial" w:cs="Arial" w:eastAsia="Arial" w:hAnsi="Arial"/>
                <w:b w:val="false"/>
                <w:bCs w:val="false"/>
                <w:sz w:val="21"/>
                <w:szCs w:val="21"/>
              </w:rPr>
              <w:t xml:space="preserve">Frontend</w:t>
            </w:r>
          </w:p>
        </w:tc>
        <w:tc>
          <w:tcPr>
            <w:tcW w:type="dxa" w:w="2800"/>
            <w:tcBorders>
              <w:top w:val="single" w:color="CCDDEE" w:sz="1"/>
              <w:left w:val="single" w:color="CCDDEE" w:sz="1"/>
              <w:bottom w:val="single" w:color="CCDDEE" w:sz="1"/>
              <w:right w:val="single" w:color="CCDDEE" w:sz="1"/>
            </w:tcBorders>
            <w:shd w:fill="EDF5F5" w:val="clear"/>
            <w:tcMar>
              <w:top w:type="dxa" w:w="70"/>
              <w:left w:type="dxa" w:w="110"/>
              <w:bottom w:type="dxa" w:w="70"/>
              <w:right w:type="dxa" w:w="110"/>
            </w:tcMar>
          </w:tcPr>
          <w:p>
            <w:pPr>
              <w:jc w:val="center"/>
            </w:pPr>
            <w:r>
              <w:rPr>
                <w:rFonts w:ascii="Arial" w:cs="Arial" w:eastAsia="Arial" w:hAnsi="Arial"/>
                <w:b w:val="false"/>
                <w:bCs w:val="false"/>
                <w:sz w:val="21"/>
                <w:szCs w:val="21"/>
              </w:rPr>
              <w:t xml:space="preserve">React 19 + WebSocket + Chart.js</w:t>
            </w:r>
          </w:p>
        </w:tc>
        <w:tc>
          <w:tcPr>
            <w:tcW w:type="dxa" w:w="4600"/>
            <w:tcBorders>
              <w:top w:val="single" w:color="CCDDEE" w:sz="1"/>
              <w:left w:val="single" w:color="CCDDEE" w:sz="1"/>
              <w:bottom w:val="single" w:color="CCDDEE" w:sz="1"/>
              <w:right w:val="single" w:color="CCDDEE" w:sz="1"/>
            </w:tcBorders>
            <w:shd w:fill="EDF5F5" w:val="clear"/>
            <w:tcMar>
              <w:top w:type="dxa" w:w="70"/>
              <w:left w:type="dxa" w:w="110"/>
              <w:bottom w:type="dxa" w:w="70"/>
              <w:right w:type="dxa" w:w="110"/>
            </w:tcMar>
          </w:tcPr>
          <w:p>
            <w:pPr>
              <w:jc w:val="center"/>
            </w:pPr>
            <w:r>
              <w:rPr>
                <w:rFonts w:ascii="Arial" w:cs="Arial" w:eastAsia="Arial" w:hAnsi="Arial"/>
                <w:b/>
                <w:bCs/>
                <w:sz w:val="21"/>
                <w:szCs w:val="21"/>
              </w:rPr>
              <w:t xml:space="preserve">Real-time dashboard, mobile PWA</w:t>
            </w:r>
          </w:p>
        </w:tc>
      </w:tr>
      <w:tr>
        <w:tc>
          <w:tcPr>
            <w:tcW w:type="dxa" w:w="2000"/>
            <w:tcBorders>
              <w:top w:val="single" w:color="CCDDEE" w:sz="1"/>
              <w:left w:val="single" w:color="CCDDEE" w:sz="1"/>
              <w:bottom w:val="single" w:color="CCDDEE" w:sz="1"/>
              <w:right w:val="single" w:color="CCDDEE" w:sz="1"/>
            </w:tcBorders>
            <w:shd w:fill="FFFFFF" w:val="clear"/>
            <w:tcMar>
              <w:top w:type="dxa" w:w="70"/>
              <w:left w:type="dxa" w:w="110"/>
              <w:bottom w:type="dxa" w:w="70"/>
              <w:right w:type="dxa" w:w="110"/>
            </w:tcMar>
          </w:tcPr>
          <w:p>
            <w:pPr>
              <w:jc w:val="left"/>
            </w:pPr>
            <w:r>
              <w:rPr>
                <w:rFonts w:ascii="Arial" w:cs="Arial" w:eastAsia="Arial" w:hAnsi="Arial"/>
                <w:b w:val="false"/>
                <w:bCs w:val="false"/>
                <w:sz w:val="21"/>
                <w:szCs w:val="21"/>
              </w:rPr>
              <w:t xml:space="preserve">DevOps</w:t>
            </w:r>
          </w:p>
        </w:tc>
        <w:tc>
          <w:tcPr>
            <w:tcW w:type="dxa" w:w="2800"/>
            <w:tcBorders>
              <w:top w:val="single" w:color="CCDDEE" w:sz="1"/>
              <w:left w:val="single" w:color="CCDDEE" w:sz="1"/>
              <w:bottom w:val="single" w:color="CCDDEE" w:sz="1"/>
              <w:right w:val="single" w:color="CCDDEE" w:sz="1"/>
            </w:tcBorders>
            <w:shd w:fill="FFFFFF" w:val="clear"/>
            <w:tcMar>
              <w:top w:type="dxa" w:w="70"/>
              <w:left w:type="dxa" w:w="110"/>
              <w:bottom w:type="dxa" w:w="70"/>
              <w:right w:type="dxa" w:w="110"/>
            </w:tcMar>
          </w:tcPr>
          <w:p>
            <w:pPr>
              <w:jc w:val="center"/>
            </w:pPr>
            <w:r>
              <w:rPr>
                <w:rFonts w:ascii="Arial" w:cs="Arial" w:eastAsia="Arial" w:hAnsi="Arial"/>
                <w:b w:val="false"/>
                <w:bCs w:val="false"/>
                <w:sz w:val="21"/>
                <w:szCs w:val="21"/>
              </w:rPr>
              <w:t xml:space="preserve">Docker + GitHub Actions + Nginx</w:t>
            </w:r>
          </w:p>
        </w:tc>
        <w:tc>
          <w:tcPr>
            <w:tcW w:type="dxa" w:w="4600"/>
            <w:tcBorders>
              <w:top w:val="single" w:color="CCDDEE" w:sz="1"/>
              <w:left w:val="single" w:color="CCDDEE" w:sz="1"/>
              <w:bottom w:val="single" w:color="CCDDEE" w:sz="1"/>
              <w:right w:val="single" w:color="CCDDEE" w:sz="1"/>
            </w:tcBorders>
            <w:shd w:fill="FFFFFF" w:val="clear"/>
            <w:tcMar>
              <w:top w:type="dxa" w:w="70"/>
              <w:left w:type="dxa" w:w="110"/>
              <w:bottom w:type="dxa" w:w="70"/>
              <w:right w:type="dxa" w:w="110"/>
            </w:tcMar>
          </w:tcPr>
          <w:p>
            <w:pPr>
              <w:jc w:val="center"/>
            </w:pPr>
            <w:r>
              <w:rPr>
                <w:rFonts w:ascii="Arial" w:cs="Arial" w:eastAsia="Arial" w:hAnsi="Arial"/>
                <w:b/>
                <w:bCs/>
                <w:sz w:val="21"/>
                <w:szCs w:val="21"/>
              </w:rPr>
              <w:t xml:space="preserve">CI/CD, containerized deployment, TLS termination</w:t>
            </w:r>
          </w:p>
        </w:tc>
      </w:tr>
    </w:tbl>
    <w:p>
      <w:pPr>
        <w:spacing w:after="140"/>
      </w:pPr>
    </w:p>
    <w:p>
      <w:pPr>
        <w:pStyle w:val="Heading1"/>
        <w:spacing w:after="100" w:before="260"/>
      </w:pPr>
      <w:r>
        <w:rPr>
          <w:rFonts w:ascii="Arial" w:cs="Arial" w:eastAsia="Arial" w:hAnsi="Arial"/>
          <w:b/>
          <w:bCs/>
          <w:color w:val="0D1B2A"/>
          <w:sz w:val="28"/>
          <w:szCs w:val="28"/>
        </w:rPr>
        <w:t xml:space="preserve">9. Project Deliverables</w:t>
      </w:r>
    </w:p>
    <w:p>
      <w:pPr>
        <w:pStyle w:val="ListParagraph"/>
        <w:numPr>
          <w:ilvl w:val="0"/>
          <w:numId w:val="2"/>
        </w:numPr>
        <w:spacing w:after="70"/>
      </w:pPr>
      <w:r>
        <w:rPr>
          <w:rFonts w:ascii="Arial" w:cs="Arial" w:eastAsia="Arial" w:hAnsi="Arial"/>
          <w:sz w:val="24"/>
          <w:szCs w:val="24"/>
        </w:rPr>
        <w:t xml:space="preserve">Complete ESP32-S3 sensor node hardware design (KiCad schematics + PCB layout)</w:t>
      </w:r>
    </w:p>
    <w:p>
      <w:pPr>
        <w:pStyle w:val="ListParagraph"/>
        <w:numPr>
          <w:ilvl w:val="0"/>
          <w:numId w:val="2"/>
        </w:numPr>
        <w:spacing w:after="70"/>
      </w:pPr>
      <w:r>
        <w:rPr>
          <w:rFonts w:ascii="Arial" w:cs="Arial" w:eastAsia="Arial" w:hAnsi="Arial"/>
          <w:sz w:val="24"/>
          <w:szCs w:val="24"/>
        </w:rPr>
        <w:t xml:space="preserve">Signed ESP-IDF firmware source code with Ed25519 authentication and OTA update system</w:t>
      </w:r>
    </w:p>
    <w:p>
      <w:pPr>
        <w:pStyle w:val="ListParagraph"/>
        <w:numPr>
          <w:ilvl w:val="0"/>
          <w:numId w:val="2"/>
        </w:numPr>
        <w:spacing w:after="70"/>
      </w:pPr>
      <w:r>
        <w:rPr>
          <w:rFonts w:ascii="Arial" w:cs="Arial" w:eastAsia="Arial" w:hAnsi="Arial"/>
          <w:sz w:val="24"/>
          <w:szCs w:val="24"/>
        </w:rPr>
        <w:t xml:space="preserve">Node.js backend API with full security suite (auth, validation, encryption, audit)</w:t>
      </w:r>
    </w:p>
    <w:p>
      <w:pPr>
        <w:pStyle w:val="ListParagraph"/>
        <w:numPr>
          <w:ilvl w:val="0"/>
          <w:numId w:val="2"/>
        </w:numPr>
        <w:spacing w:after="70"/>
      </w:pPr>
      <w:r>
        <w:rPr>
          <w:rFonts w:ascii="Arial" w:cs="Arial" w:eastAsia="Arial" w:hAnsi="Arial"/>
          <w:sz w:val="24"/>
          <w:szCs w:val="24"/>
        </w:rPr>
        <w:t xml:space="preserve">React web dashboard with real-time WebSocket zone monitoring and alert management</w:t>
      </w:r>
    </w:p>
    <w:p>
      <w:pPr>
        <w:pStyle w:val="ListParagraph"/>
        <w:numPr>
          <w:ilvl w:val="0"/>
          <w:numId w:val="2"/>
        </w:numPr>
        <w:spacing w:after="70"/>
      </w:pPr>
      <w:r>
        <w:rPr>
          <w:rFonts w:ascii="Arial" w:cs="Arial" w:eastAsia="Arial" w:hAnsi="Arial"/>
          <w:sz w:val="24"/>
          <w:szCs w:val="24"/>
        </w:rPr>
        <w:t xml:space="preserve">React Native mobile application (iOS + Android) for field technician access</w:t>
      </w:r>
    </w:p>
    <w:p>
      <w:pPr>
        <w:pStyle w:val="ListParagraph"/>
        <w:numPr>
          <w:ilvl w:val="0"/>
          <w:numId w:val="2"/>
        </w:numPr>
        <w:spacing w:after="70"/>
      </w:pPr>
      <w:r>
        <w:rPr>
          <w:rFonts w:ascii="Arial" w:cs="Arial" w:eastAsia="Arial" w:hAnsi="Arial"/>
          <w:sz w:val="24"/>
          <w:szCs w:val="24"/>
        </w:rPr>
        <w:t xml:space="preserve">TensorFlow LSTM model with training pipeline and 24-month benchmark dataset</w:t>
      </w:r>
    </w:p>
    <w:p>
      <w:pPr>
        <w:pStyle w:val="ListParagraph"/>
        <w:numPr>
          <w:ilvl w:val="0"/>
          <w:numId w:val="2"/>
        </w:numPr>
        <w:spacing w:after="70"/>
      </w:pPr>
      <w:r>
        <w:rPr>
          <w:rFonts w:ascii="Arial" w:cs="Arial" w:eastAsia="Arial" w:hAnsi="Arial"/>
          <w:sz w:val="24"/>
          <w:szCs w:val="24"/>
        </w:rPr>
        <w:t xml:space="preserve">PostgreSQL database schema with migration scripts and seed data</w:t>
      </w:r>
    </w:p>
    <w:p>
      <w:pPr>
        <w:pStyle w:val="ListParagraph"/>
        <w:numPr>
          <w:ilvl w:val="0"/>
          <w:numId w:val="2"/>
        </w:numPr>
        <w:spacing w:after="70"/>
      </w:pPr>
      <w:r>
        <w:rPr>
          <w:rFonts w:ascii="Arial" w:cs="Arial" w:eastAsia="Arial" w:hAnsi="Arial"/>
          <w:sz w:val="24"/>
          <w:szCs w:val="24"/>
        </w:rPr>
        <w:t xml:space="preserve">Docker Compose production deployment configuration with Nginx and Certbot TLS</w:t>
      </w:r>
    </w:p>
    <w:p>
      <w:pPr>
        <w:pStyle w:val="ListParagraph"/>
        <w:numPr>
          <w:ilvl w:val="0"/>
          <w:numId w:val="2"/>
        </w:numPr>
        <w:spacing w:after="70"/>
      </w:pPr>
      <w:r>
        <w:rPr>
          <w:rFonts w:ascii="Arial" w:cs="Arial" w:eastAsia="Arial" w:hAnsi="Arial"/>
          <w:sz w:val="24"/>
          <w:szCs w:val="24"/>
        </w:rPr>
        <w:t xml:space="preserve">Complete technical documentation: architecture guide, API reference, deployment manual</w:t>
      </w:r>
    </w:p>
    <w:p>
      <w:pPr>
        <w:pStyle w:val="ListParagraph"/>
        <w:numPr>
          <w:ilvl w:val="0"/>
          <w:numId w:val="2"/>
        </w:numPr>
        <w:spacing w:after="70"/>
      </w:pPr>
      <w:r>
        <w:rPr>
          <w:rFonts w:ascii="Arial" w:cs="Arial" w:eastAsia="Arial" w:hAnsi="Arial"/>
          <w:sz w:val="24"/>
          <w:szCs w:val="24"/>
        </w:rPr>
        <w:t xml:space="preserve">Peer-reviewed research paper submitted to IEEE Sensors Journal</w:t>
      </w:r>
    </w:p>
    <w:p>
      <w:pPr>
        <w:pStyle w:val="ListParagraph"/>
        <w:numPr>
          <w:ilvl w:val="0"/>
          <w:numId w:val="2"/>
        </w:numPr>
        <w:spacing w:after="70"/>
      </w:pPr>
      <w:r>
        <w:rPr>
          <w:rFonts w:ascii="Arial" w:cs="Arial" w:eastAsia="Arial" w:hAnsi="Arial"/>
          <w:sz w:val="24"/>
          <w:szCs w:val="24"/>
        </w:rPr>
        <w:t xml:space="preserve">Six-month field evaluation report with raw data and statistical analysis</w:t>
      </w:r>
    </w:p>
    <w:p>
      <w:pPr>
        <w:spacing w:after="120"/>
      </w:pPr>
    </w:p>
    <w:p>
      <w:pPr>
        <w:pStyle w:val="Heading1"/>
        <w:spacing w:after="100" w:before="260"/>
      </w:pPr>
      <w:r>
        <w:rPr>
          <w:rFonts w:ascii="Arial" w:cs="Arial" w:eastAsia="Arial" w:hAnsi="Arial"/>
          <w:b/>
          <w:bCs/>
          <w:color w:val="0D1B2A"/>
          <w:sz w:val="28"/>
          <w:szCs w:val="28"/>
        </w:rPr>
        <w:t xml:space="preserve">10. Future Scope</w:t>
      </w:r>
    </w:p>
    <w:p>
      <w:pPr>
        <w:pStyle w:val="ListParagraph"/>
        <w:numPr>
          <w:ilvl w:val="0"/>
          <w:numId w:val="2"/>
        </w:numPr>
        <w:spacing w:after="70"/>
      </w:pPr>
      <w:r>
        <w:rPr>
          <w:rFonts w:ascii="Arial" w:cs="Arial" w:eastAsia="Arial" w:hAnsi="Arial"/>
          <w:sz w:val="24"/>
          <w:szCs w:val="24"/>
        </w:rPr>
        <w:t xml:space="preserve">Satellite-based soil moisture estimation integration (Sentinel-1 SAR) for farms without dense sensor coverage</w:t>
      </w:r>
    </w:p>
    <w:p>
      <w:pPr>
        <w:pStyle w:val="ListParagraph"/>
        <w:numPr>
          <w:ilvl w:val="0"/>
          <w:numId w:val="2"/>
        </w:numPr>
        <w:spacing w:after="70"/>
      </w:pPr>
      <w:r>
        <w:rPr>
          <w:rFonts w:ascii="Arial" w:cs="Arial" w:eastAsia="Arial" w:hAnsi="Arial"/>
          <w:sz w:val="24"/>
          <w:szCs w:val="24"/>
        </w:rPr>
        <w:t xml:space="preserve">Blockchain-based water credit trading between farms using verified AquaSync consumption data</w:t>
      </w:r>
    </w:p>
    <w:p>
      <w:pPr>
        <w:pStyle w:val="ListParagraph"/>
        <w:numPr>
          <w:ilvl w:val="0"/>
          <w:numId w:val="2"/>
        </w:numPr>
        <w:spacing w:after="70"/>
      </w:pPr>
      <w:r>
        <w:rPr>
          <w:rFonts w:ascii="Arial" w:cs="Arial" w:eastAsia="Arial" w:hAnsi="Arial"/>
          <w:sz w:val="24"/>
          <w:szCs w:val="24"/>
        </w:rPr>
        <w:t xml:space="preserve">Federated learning across farms to improve LSTM model accuracy without sharing raw data</w:t>
      </w:r>
    </w:p>
    <w:p>
      <w:pPr>
        <w:pStyle w:val="ListParagraph"/>
        <w:numPr>
          <w:ilvl w:val="0"/>
          <w:numId w:val="2"/>
        </w:numPr>
        <w:spacing w:after="70"/>
      </w:pPr>
      <w:r>
        <w:rPr>
          <w:rFonts w:ascii="Arial" w:cs="Arial" w:eastAsia="Arial" w:hAnsi="Arial"/>
          <w:sz w:val="24"/>
          <w:szCs w:val="24"/>
        </w:rPr>
        <w:t xml:space="preserve">Integration with government Pradhan Mantri Krishi Sinchai Yojana (PMKSY) data portal</w:t>
      </w:r>
    </w:p>
    <w:p>
      <w:pPr>
        <w:pStyle w:val="ListParagraph"/>
        <w:numPr>
          <w:ilvl w:val="0"/>
          <w:numId w:val="2"/>
        </w:numPr>
        <w:spacing w:after="70"/>
      </w:pPr>
      <w:r>
        <w:rPr>
          <w:rFonts w:ascii="Arial" w:cs="Arial" w:eastAsia="Arial" w:hAnsi="Arial"/>
          <w:sz w:val="24"/>
          <w:szCs w:val="24"/>
        </w:rPr>
        <w:t xml:space="preserve">Edge AI deployment on ESP32-S3 for autonomous scheduling during internet outages</w:t>
      </w:r>
    </w:p>
    <w:p>
      <w:pPr>
        <w:pStyle w:val="ListParagraph"/>
        <w:numPr>
          <w:ilvl w:val="0"/>
          <w:numId w:val="2"/>
        </w:numPr>
        <w:spacing w:after="70"/>
      </w:pPr>
      <w:r>
        <w:rPr>
          <w:rFonts w:ascii="Arial" w:cs="Arial" w:eastAsia="Arial" w:hAnsi="Arial"/>
          <w:sz w:val="24"/>
          <w:szCs w:val="24"/>
        </w:rPr>
        <w:t xml:space="preserve">Multi-crop segmentation via drone imagery to apply zone-specific crop coefficients</w:t>
      </w:r>
    </w:p>
    <w:p>
      <w:pPr>
        <w:pStyle w:val="ListParagraph"/>
        <w:numPr>
          <w:ilvl w:val="0"/>
          <w:numId w:val="2"/>
        </w:numPr>
        <w:spacing w:after="70"/>
      </w:pPr>
      <w:r>
        <w:rPr>
          <w:rFonts w:ascii="Arial" w:cs="Arial" w:eastAsia="Arial" w:hAnsi="Arial"/>
          <w:sz w:val="24"/>
          <w:szCs w:val="24"/>
        </w:rPr>
        <w:t xml:space="preserve">SaaS platform offering subscription-based access to AquaSync for smallholder farmers</w:t>
      </w:r>
    </w:p>
    <w:p>
      <w:pPr>
        <w:pBdr>
          <w:bottom w:val="single" w:color="00C2A8" w:sz="2" w:space="1"/>
        </w:pBdr>
        <w:spacing w:after="120" w:before="120"/>
      </w:pPr>
      <w:r>
        <w:t xml:space="preserve"/>
      </w:r>
    </w:p>
    <w:p>
      <w:pPr>
        <w:spacing w:after="20" w:before="0"/>
        <w:jc w:val="center"/>
      </w:pPr>
      <w:r>
        <w:rPr>
          <w:rFonts w:ascii="Arial" w:cs="Arial" w:eastAsia="Arial" w:hAnsi="Arial"/>
          <w:color w:val="888888"/>
          <w:sz w:val="20"/>
          <w:szCs w:val="20"/>
        </w:rPr>
        <w:t xml:space="preserve">AquaSync v2.4  ·  April 2026  ·  IIT Delhi / IARI / CDAC / NIT Kurukshetra</w:t>
      </w:r>
    </w:p>
    <w:p>
      <w:pPr>
        <w:spacing w:after="0" w:before="0"/>
        <w:jc w:val="center"/>
      </w:pPr>
      <w:r>
        <w:rPr>
          <w:rFonts w:ascii="Arial" w:cs="Arial" w:eastAsia="Arial" w:hAnsi="Arial"/>
          <w:color w:val="00736A"/>
          <w:sz w:val="20"/>
          <w:szCs w:val="20"/>
        </w:rPr>
        <w:t xml:space="preserve">research@aquasync.io  ·  github.com/aquasync-iot  ·  aquasync.io</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260"/>
      <w:outlineLvl w:val="0"/>
    </w:pPr>
    <w:rPr>
      <w:rFonts w:ascii="Arial" w:cs="Arial" w:eastAsia="Arial" w:hAnsi="Arial"/>
      <w:b/>
      <w:bCs/>
      <w:color w:val="0D1B2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2026-04-28T10:46:48.584Z</dcterms:created>
  <dcterms:modified xsi:type="dcterms:W3CDTF">2026-04-28T10:46:48.585Z</dcterms:modified>
</cp:coreProperties>
</file>

<file path=docProps/custom.xml><?xml version="1.0" encoding="utf-8"?>
<Properties xmlns="http://schemas.openxmlformats.org/officeDocument/2006/custom-properties" xmlns:vt="http://schemas.openxmlformats.org/officeDocument/2006/docPropsVTypes"/>
</file>