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EC9D" w14:textId="77777777" w:rsidR="006D53C2" w:rsidRDefault="00000000" w:rsidP="00654126">
      <w:pPr>
        <w:keepNext/>
        <w:ind w:firstLine="0"/>
        <w:jc w:val="center"/>
        <w:rPr>
          <w:b/>
        </w:rPr>
      </w:pPr>
      <w:r>
        <w:rPr>
          <w:b/>
        </w:rPr>
        <w:t>Clinical Decision Making and Pattern Recognition in Health Care</w:t>
      </w:r>
    </w:p>
    <w:p w14:paraId="63082586" w14:textId="765F9A49" w:rsidR="00390BE9" w:rsidRDefault="00000000" w:rsidP="00654126">
      <w:pPr>
        <w:keepNext/>
        <w:ind w:firstLine="0"/>
        <w:jc w:val="center"/>
      </w:pPr>
      <w:r>
        <w:rPr>
          <w:b/>
        </w:rPr>
        <w:t>A TPO Strategy for Cotiviti</w:t>
      </w:r>
    </w:p>
    <w:p w14:paraId="4A94715A" w14:textId="77777777" w:rsidR="00390BE9" w:rsidRDefault="00000000" w:rsidP="00654126">
      <w:pPr>
        <w:pStyle w:val="APAHeading1"/>
      </w:pPr>
      <w:r>
        <w:t>Concept and Scope</w:t>
      </w:r>
    </w:p>
    <w:p w14:paraId="3BCD6436" w14:textId="77777777" w:rsidR="00390BE9" w:rsidRDefault="00000000" w:rsidP="00654126">
      <w:r>
        <w:t>Together, clinical decision making and pattern recognition in health care convert clinical, claims, and operational data into prioritized, explainable evidence for human action. The technical methods include rules, classification, prediction, inference, clustering, anomaly detection, and bounded agentic workflows. Across Treatment, Payment, and Operations (TPO), the goal is not autonomous decision making; it is to direct expert attention to cases where intervention can change a clinical, financial, or operational outcome.</w:t>
      </w:r>
    </w:p>
    <w:p w14:paraId="518A2F47" w14:textId="361C76AC" w:rsidR="00390BE9" w:rsidRDefault="00AB1A40" w:rsidP="00654126">
      <w:r w:rsidRPr="00AB1A40">
        <w:t>In Treatment, decision-support systems can identify risk, flag deterioration, and organize evidence for care planning, but their value depends on workflow fit and clinician oversight (Gomez-Cabello et al., 2024). In Payment, rules and machine learning can detect coding mismatches, duplicate patterns, unusual utilization, and provider outliers; limited confirmed labels make hybrid and unsupervised methods especially useful (du Preez et al., 2025). In Operations, forecasting can support planning for demand, staffing, and capacity, but external validation and explainability remain limited (Blanco et al., 2026).</w:t>
      </w:r>
    </w:p>
    <w:p w14:paraId="3D449175" w14:textId="77777777" w:rsidR="00390BE9" w:rsidRDefault="00000000" w:rsidP="00654126">
      <w:pPr>
        <w:pStyle w:val="APAHeading1"/>
      </w:pPr>
      <w:r>
        <w:t>Relevant Trends</w:t>
      </w:r>
    </w:p>
    <w:p w14:paraId="0A8D071B" w14:textId="7F73EA4C" w:rsidR="00390BE9" w:rsidRDefault="007A40A7" w:rsidP="00654126">
      <w:r w:rsidRPr="007A40A7">
        <w:t>Three trends should shape Cotiviti’s strategy. First, isolated scores are giving way to longitudinal systems that compare a case with prior services, peer behavior, eligibility, contracts, and temporal patterns. Cotiviti already combines artificial intelligence, deterministic rules, and specialist review across payment-accuracy workflows (Cotiviti, n.d.). Second, bounded agents can retrieve evidence and call approved tools, although healthcare validation remains at an early stage (Collaco et al., 2026). Third, governance is becoming a product capability. NIST emphasizes lifecycle measurement, documentation, oversight, and evaluation rather than treating governance as a final compliance check (Autio et al., 2024).</w:t>
      </w:r>
    </w:p>
    <w:p w14:paraId="5F5642DD" w14:textId="77777777" w:rsidR="00390BE9" w:rsidRDefault="00000000" w:rsidP="00654126">
      <w:pPr>
        <w:pStyle w:val="APAHeading1"/>
        <w:pageBreakBefore/>
      </w:pPr>
      <w:r>
        <w:lastRenderedPageBreak/>
        <w:t>Opportunities and Threats</w:t>
      </w:r>
    </w:p>
    <w:p w14:paraId="0B501100" w14:textId="77777777" w:rsidR="00390BE9" w:rsidRDefault="00000000" w:rsidP="00654126">
      <w:r>
        <w:t>The strongest opportunity is earlier, better-targeted intervention: Treatment systems can prioritize high-risk patients (Gomez-Cabello et al., 2024), Payment systems can rank prepay review candidates (Cotiviti, n.d.; du Preez et al., 2025), and Operations models can anticipate demand and staffing pressure (Blanco et al., 2026). Across TPO, value comes from faster review, fewer low-value touches, and better use of expert capacity.</w:t>
      </w:r>
    </w:p>
    <w:p w14:paraId="19A8D204" w14:textId="77777777" w:rsidR="00390BE9" w:rsidRDefault="00000000" w:rsidP="00654126">
      <w:r>
        <w:t>Key threats are false positives, bias, drift, weak data lineage, privacy exposure, and automation bias. Consequences vary: treatment errors can harm patients, payment false positives can create provider abrasion, and operational errors can misallocate staff or beds. Agentic systems add hallucination, unsafe tool use, and unclear accountability (Autio et al., 2024; Collaco et al., 2026). Each deployment should therefore track review yield, missed-case risk, subgroup performance, overturns, processing time, and realized value.</w:t>
      </w:r>
    </w:p>
    <w:p w14:paraId="7C8DB2F3" w14:textId="77777777" w:rsidR="00390BE9" w:rsidRDefault="00000000" w:rsidP="00654126">
      <w:pPr>
        <w:pStyle w:val="APAHeading1"/>
      </w:pPr>
      <w:r>
        <w:t>Strategic Options for Cotiviti</w:t>
      </w:r>
    </w:p>
    <w:p w14:paraId="631709C3" w14:textId="77777777" w:rsidR="00390BE9" w:rsidRDefault="00000000" w:rsidP="00654126">
      <w:r>
        <w:t>Cotiviti should pursue three options. First, extend its existing integrated analytics foundation into a reusable cross-TPO pattern-recognition layer with shared temporal, peer-group, rule, anomaly, explanation, and drift services. Second, develop an evidence-linked review copilot that assembles policy, history, model drivers, and contradictory evidence while retaining human decision authority. Third, productize evaluation through temporal holdouts, shadow-mode pilots, rollback criteria, and outcome scorecards.</w:t>
      </w:r>
    </w:p>
    <w:p w14:paraId="05DE76DA" w14:textId="77777777" w:rsidR="00390BE9" w:rsidRDefault="00000000" w:rsidP="00654126">
      <w:pPr>
        <w:pStyle w:val="APAHeading1"/>
      </w:pPr>
      <w:r>
        <w:t>Proof of Concept and Recommended Position</w:t>
      </w:r>
    </w:p>
    <w:p w14:paraId="42824A15" w14:textId="21605413" w:rsidR="00390BE9" w:rsidRDefault="00000000" w:rsidP="00654126">
      <w:r>
        <w:t xml:space="preserve">This report examines pattern recognition across Treatment, Payment, and Operations; the POC intentionally focuses on Payment as a narrow, testable implementation. ClaimGuard applies five transparent rules and Isolation Forest (Liu et al., 2008) to 1,000 synthetic claims. It surfaced 83 of 100 injected anomalies and 63 of 900 routine claims; 83 of 146 surfaced claims were </w:t>
      </w:r>
      <w:r w:rsidR="00D85492">
        <w:t xml:space="preserve">injected </w:t>
      </w:r>
      <w:r>
        <w:t>anomalies (56.8% synthetic review precision). These results show feasibility, not production accuracy, and support validated human review.</w:t>
      </w:r>
    </w:p>
    <w:p w14:paraId="1B60ED02" w14:textId="77777777" w:rsidR="00390BE9" w:rsidRDefault="00000000" w:rsidP="00654126">
      <w:pPr>
        <w:pStyle w:val="APAHeading1"/>
        <w:pageBreakBefore/>
      </w:pPr>
      <w:r>
        <w:lastRenderedPageBreak/>
        <w:t>References</w:t>
      </w:r>
    </w:p>
    <w:p w14:paraId="70713659" w14:textId="77777777" w:rsidR="00390BE9" w:rsidRDefault="00000000" w:rsidP="00654126">
      <w:pPr>
        <w:pStyle w:val="APAReference"/>
      </w:pPr>
      <w:r>
        <w:t xml:space="preserve">Autio, C., Schwartz, R., Dunietz, J., Jain, S., Stanley, M., Tabassi, E., Hall, P., &amp; Roberts, K. (2024). </w:t>
      </w:r>
      <w:r>
        <w:rPr>
          <w:i/>
        </w:rPr>
        <w:t>Artificial intelligence risk management framework: Generative artificial intelligence profile</w:t>
      </w:r>
      <w:r>
        <w:t xml:space="preserve"> (NIST AI 600-1). National Institute of Standards and Technology. https://doi.org/10.6028/NIST.AI.600-1</w:t>
      </w:r>
    </w:p>
    <w:p w14:paraId="423EDF41" w14:textId="77777777" w:rsidR="00390BE9" w:rsidRDefault="00000000" w:rsidP="00654126">
      <w:pPr>
        <w:pStyle w:val="APAReference"/>
      </w:pPr>
      <w:r>
        <w:t xml:space="preserve">Blanco, J., Ferreras, M., &amp; Cosido, O. (2026). Predictive modeling of hospital emergency department demand using artificial intelligence: A systematic review. </w:t>
      </w:r>
      <w:r>
        <w:rPr>
          <w:i/>
        </w:rPr>
        <w:t>International Journal of Medical Informatics, 207</w:t>
      </w:r>
      <w:r>
        <w:t>, 106215. https://doi.org/10.1016/j.ijmedinf.2025.106215</w:t>
      </w:r>
    </w:p>
    <w:p w14:paraId="0107A240" w14:textId="77777777" w:rsidR="00390BE9" w:rsidRDefault="00000000" w:rsidP="00654126">
      <w:pPr>
        <w:pStyle w:val="APAReference"/>
      </w:pPr>
      <w:r>
        <w:t xml:space="preserve">Collaco, B. G., Haider, S. A., Prabha, S., Gomez-Cabello, C. A., Genovese, A., Wood, N. G., Bagaria, S. P., Gopala, N., Tao, C., &amp; Forte, A. J. (2026). The role of agentic artificial intelligence in healthcare: A scoping review. </w:t>
      </w:r>
      <w:r>
        <w:rPr>
          <w:i/>
        </w:rPr>
        <w:t>npj Digital Medicine, 9</w:t>
      </w:r>
      <w:r>
        <w:t>, 345. https://doi.org/10.1038/s41746-026-02517-5</w:t>
      </w:r>
    </w:p>
    <w:p w14:paraId="1CE8185D" w14:textId="77777777" w:rsidR="00390BE9" w:rsidRDefault="00000000" w:rsidP="00654126">
      <w:pPr>
        <w:pStyle w:val="APAReference"/>
      </w:pPr>
      <w:r>
        <w:t xml:space="preserve">Cotiviti. (n.d.). </w:t>
      </w:r>
      <w:r>
        <w:rPr>
          <w:i/>
        </w:rPr>
        <w:t>Healthcare claim payment accuracy solutions</w:t>
      </w:r>
      <w:r>
        <w:t>. Retrieved August 5, 2026, from https://www.cotiviti.com/solutions/payment-accuracy</w:t>
      </w:r>
    </w:p>
    <w:p w14:paraId="0EFB7A96" w14:textId="77777777" w:rsidR="00390BE9" w:rsidRDefault="00000000" w:rsidP="00654126">
      <w:pPr>
        <w:pStyle w:val="APAReference"/>
      </w:pPr>
      <w:r>
        <w:t xml:space="preserve">du Preez, A., Bhattacharya, S., Beling, P., &amp; Bowen, E. (2025). Fraud detection in healthcare claims using machine learning: A systematic review. </w:t>
      </w:r>
      <w:r>
        <w:rPr>
          <w:i/>
        </w:rPr>
        <w:t>Artificial Intelligence in Medicine, 160</w:t>
      </w:r>
      <w:r>
        <w:t>, 103061. https://doi.org/10.1016/j.artmed.2024.103061</w:t>
      </w:r>
    </w:p>
    <w:p w14:paraId="609A8074" w14:textId="77777777" w:rsidR="00390BE9" w:rsidRDefault="00000000" w:rsidP="00654126">
      <w:pPr>
        <w:pStyle w:val="APAReference"/>
      </w:pPr>
      <w:r>
        <w:t xml:space="preserve">Gomez-Cabello, C. A., Borna, S., Pressman, S., Haider, S. A., Haider, C. R., &amp; Forte, A. J. (2024). Artificial-intelligence-based clinical decision support systems in primary care: A scoping review of current clinical implementations. </w:t>
      </w:r>
      <w:r>
        <w:rPr>
          <w:i/>
        </w:rPr>
        <w:t>European Journal of Investigation in Health, Psychology and Education, 14</w:t>
      </w:r>
      <w:r>
        <w:t>(3), 685–698. https://doi.org/10.3390/ejihpe14030045</w:t>
      </w:r>
    </w:p>
    <w:p w14:paraId="223ECDED" w14:textId="77777777" w:rsidR="00390BE9" w:rsidRDefault="00000000" w:rsidP="00654126">
      <w:pPr>
        <w:pStyle w:val="APAReference"/>
      </w:pPr>
      <w:r>
        <w:t xml:space="preserve">Liu, F. T., Ting, K. M., &amp; Zhou, Z.-H. (2008). Isolation forest. In </w:t>
      </w:r>
      <w:r>
        <w:rPr>
          <w:i/>
        </w:rPr>
        <w:t>2008 Eighth IEEE International Conference on Data Mining</w:t>
      </w:r>
      <w:r>
        <w:t xml:space="preserve"> (pp. 413–422). IEEE. https://doi.org/10.1109/ICDM.2008.17</w:t>
      </w:r>
    </w:p>
    <w:sectPr w:rsidR="00390BE9"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77194" w14:textId="77777777" w:rsidR="00384F1B" w:rsidRDefault="00384F1B">
      <w:pPr>
        <w:spacing w:line="240" w:lineRule="auto"/>
      </w:pPr>
      <w:r>
        <w:separator/>
      </w:r>
    </w:p>
  </w:endnote>
  <w:endnote w:type="continuationSeparator" w:id="0">
    <w:p w14:paraId="701811AD" w14:textId="77777777" w:rsidR="00384F1B" w:rsidRDefault="00384F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4C7F2" w14:textId="77777777" w:rsidR="00384F1B" w:rsidRDefault="00384F1B">
      <w:pPr>
        <w:spacing w:line="240" w:lineRule="auto"/>
      </w:pPr>
      <w:r>
        <w:separator/>
      </w:r>
    </w:p>
  </w:footnote>
  <w:footnote w:type="continuationSeparator" w:id="0">
    <w:p w14:paraId="1885F90B" w14:textId="77777777" w:rsidR="00384F1B" w:rsidRDefault="00384F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04A5" w14:textId="77777777" w:rsidR="00390BE9" w:rsidRDefault="00000000">
    <w:pPr>
      <w:pStyle w:val="Header"/>
      <w:jc w:val="right"/>
    </w:pPr>
    <w:r>
      <w:fldChar w:fldCharType="begin"/>
    </w:r>
    <w:r>
      <w:instrText>PAGE</w:instrText>
    </w:r>
    <w:r w:rsidR="006D53C2">
      <w:fldChar w:fldCharType="separate"/>
    </w:r>
    <w:r w:rsidR="006D53C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039193">
    <w:abstractNumId w:val="8"/>
  </w:num>
  <w:num w:numId="2" w16cid:durableId="2119837285">
    <w:abstractNumId w:val="6"/>
  </w:num>
  <w:num w:numId="3" w16cid:durableId="1338657852">
    <w:abstractNumId w:val="5"/>
  </w:num>
  <w:num w:numId="4" w16cid:durableId="1725372630">
    <w:abstractNumId w:val="4"/>
  </w:num>
  <w:num w:numId="5" w16cid:durableId="1374692207">
    <w:abstractNumId w:val="7"/>
  </w:num>
  <w:num w:numId="6" w16cid:durableId="1556241016">
    <w:abstractNumId w:val="3"/>
  </w:num>
  <w:num w:numId="7" w16cid:durableId="1922639058">
    <w:abstractNumId w:val="2"/>
  </w:num>
  <w:num w:numId="8" w16cid:durableId="1621451577">
    <w:abstractNumId w:val="1"/>
  </w:num>
  <w:num w:numId="9" w16cid:durableId="859970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053"/>
    <w:rsid w:val="0029639D"/>
    <w:rsid w:val="00326F90"/>
    <w:rsid w:val="00384F1B"/>
    <w:rsid w:val="00390BE9"/>
    <w:rsid w:val="003B0625"/>
    <w:rsid w:val="00654126"/>
    <w:rsid w:val="006D53C2"/>
    <w:rsid w:val="007A40A7"/>
    <w:rsid w:val="008E161E"/>
    <w:rsid w:val="00981AA7"/>
    <w:rsid w:val="00985800"/>
    <w:rsid w:val="009F276B"/>
    <w:rsid w:val="00A42A87"/>
    <w:rsid w:val="00A8109B"/>
    <w:rsid w:val="00AA1D8D"/>
    <w:rsid w:val="00AB1A40"/>
    <w:rsid w:val="00B154D5"/>
    <w:rsid w:val="00B42B8A"/>
    <w:rsid w:val="00B47730"/>
    <w:rsid w:val="00CB0664"/>
    <w:rsid w:val="00D85492"/>
    <w:rsid w:val="00FA21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E13FB"/>
  <w14:defaultImageDpi w14:val="300"/>
  <w15:docId w15:val="{A2940A4F-6096-410F-A818-ED3A4D8F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pPr>
      <w:keepNext/>
      <w:spacing w:after="0" w:line="480" w:lineRule="auto"/>
      <w:jc w:val="center"/>
    </w:pPr>
    <w:rPr>
      <w:rFonts w:ascii="Arial" w:eastAsia="Arial" w:hAnsi="Arial"/>
      <w:b/>
    </w:rPr>
  </w:style>
  <w:style w:type="paragraph" w:customStyle="1" w:styleId="APAReference">
    <w:name w:val="APA Reference"/>
    <w:pPr>
      <w:spacing w:after="0" w:line="480" w:lineRule="auto"/>
      <w:ind w:left="720" w:hanging="720"/>
    </w:pPr>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Clinical Decision Making and Pattern Recognition in Health Care: A TPO Strategy for Cotiviti</vt:lpstr>
    </vt:vector>
  </TitlesOfParts>
  <Manager/>
  <Company/>
  <LinksUpToDate>false</LinksUpToDate>
  <CharactersWithSpaces>5896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Decision Making and Pattern Recognition in Health Care: A TPO Strategy for Cotiviti</dc:title>
  <dc:subject>Cotiviti Intern Assessment - Topic 2 Report</dc:subject>
  <dc:creator>Akshat Mehta</dc:creator>
  <cp:keywords>Cotiviti</cp:keywords>
  <dc:description>generated by python-docx</dc:description>
  <cp:lastModifiedBy>Akshat Mehta</cp:lastModifiedBy>
  <cp:revision>2</cp:revision>
  <dcterms:created xsi:type="dcterms:W3CDTF">2026-08-05T22:57:00Z</dcterms:created>
  <dcterms:modified xsi:type="dcterms:W3CDTF">2026-08-05T22:57:00Z</dcterms:modified>
  <cp:category/>
</cp:coreProperties>
</file>