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PATHMIND Evidence-Based Live QA Report</w:t>
      </w:r>
    </w:p>
    <w:p>
      <w:pPr>
        <w:pStyle w:val="MdParagraph"/>
      </w:pPr>
      <w:r>
        <w:rPr>
          <w:rStyle w:val="MdStrong"/>
          <w:b/>
          <w:bCs/>
        </w:rPr>
        <w:t xml:space="preserve">Tested URL:</w:t>
      </w:r>
      <w:r>
        <w:t xml:space="preserve"> </w:t>
      </w:r>
      <w:hyperlink w:history="1" r:id="rIdzlmi1qlouzfhvj2r1sgrf">
        <w:r>
          <w:rPr>
            <w:rStyle w:val="MdLink"/>
          </w:rPr>
          <w:t xml:space="preserve">https://akshat2685.github.io/pathmind/</w:t>
        </w:r>
      </w:hyperlink>
      <w:r>
        <w:rPr>
          <w:rStyle w:val="MdBr"/>
        </w:rPr>
        <w:br/>
        <w:t xml:space="preserve"/>
      </w:r>
      <w:r>
        <w:rPr>
          <w:rStyle w:val="MdStrong"/>
          <w:b/>
          <w:bCs/>
        </w:rPr>
        <w:t xml:space="preserve">Test date:</w:t>
      </w:r>
      <w:r>
        <w:t xml:space="preserve"> 9 September 2026</w:t>
      </w:r>
      <w:r>
        <w:rPr>
          <w:rStyle w:val="MdBr"/>
        </w:rPr>
        <w:br/>
        <w:t xml:space="preserve"/>
      </w:r>
      <w:r>
        <w:rPr>
          <w:rStyle w:val="MdStrong"/>
          <w:b/>
          <w:bCs/>
        </w:rPr>
        <w:t xml:space="preserve">Test method:</w:t>
      </w:r>
      <w:r>
        <w:t xml:space="preserve"> Connected-browser inspection, clean headless Chromium smoke tests, direct HTTP checks, deployed HTML/CSS/JavaScript inspection, route smoke testing, and backend endpoint checks.</w:t>
      </w:r>
    </w:p>
    <w:p>
      <w:pPr>
        <w:pStyle w:val="MdSpace"/>
        <w:spacing w:before="0" w:after="60"/>
      </w:pPr>
    </w:p>
    <w:p>
      <w:pPr>
        <w:pStyle w:val="Heading2"/>
        <w:pStyle w:val="MdHeading2"/>
      </w:pPr>
      <w:r>
        <w:t xml:space="preserve">1. Evidence Policy</w:t>
      </w:r>
    </w:p>
    <w:p>
      <w:pPr>
        <w:pStyle w:val="MdParagraph"/>
      </w:pPr>
      <w:r>
        <w:t xml:space="preserve">This revision separates </w:t>
      </w:r>
      <w:r>
        <w:rPr>
          <w:rStyle w:val="MdStrong"/>
          <w:b/>
          <w:bCs/>
        </w:rPr>
        <w:t xml:space="preserve">confirmed defects</w:t>
      </w:r>
      <w:r>
        <w:t xml:space="preserve">, </w:t>
      </w:r>
      <w:r>
        <w:rPr>
          <w:rStyle w:val="MdStrong"/>
          <w:b/>
          <w:bCs/>
        </w:rPr>
        <w:t xml:space="preserve">confirmed design-quality issues</w:t>
      </w:r>
      <w:r>
        <w:t xml:space="preserve">, and </w:t>
      </w:r>
      <w:r>
        <w:rPr>
          <w:rStyle w:val="MdStrong"/>
          <w:b/>
          <w:bCs/>
        </w:rPr>
        <w:t xml:space="preserve">unverified follow-up checks</w:t>
      </w:r>
      <w:r>
        <w:t xml:space="preserve">. A finding is marked confirmed only when it was reproduced in the live deployment or directly verified in the deployed markup or response. Potential risks are not presented as existing bugs.</w:t>
      </w:r>
    </w:p>
    <w:p>
      <w:pPr>
        <w:pStyle w:val="MdSpace"/>
        <w:spacing w:before="0" w:after="60"/>
      </w:pPr>
    </w:p>
    <w:p>
      <w:pPr>
        <w:pStyle w:val="Heading2"/>
        <w:pStyle w:val="MdHeading2"/>
      </w:pPr>
      <w:r>
        <w:t xml:space="preserve">2. Executive Summary</w:t>
      </w:r>
    </w:p>
    <w:p>
      <w:pPr>
        <w:pStyle w:val="MdParagraph"/>
      </w:pPr>
      <w:r>
        <w:t xml:space="preserve">The live application renders at the supplied URL. The main HTML document, JavaScript bundles, CSS files, fonts, and backend endpoints were reachable during testing. The visual interface was visible in both the connected browser and clean headless Chromium.</w:t>
      </w:r>
    </w:p>
    <w:p>
      <w:pPr>
        <w:pStyle w:val="MdSpace"/>
        <w:spacing w:before="0" w:after="60"/>
      </w:pPr>
    </w:p>
    <w:p>
      <w:pPr>
        <w:pStyle w:val="MdParagraph"/>
      </w:pPr>
      <w:r>
        <w:t xml:space="preserve">A real deployment defect was confirmed: the browser requests </w:t>
      </w:r>
      <w:r>
        <w:rPr>
          <w:rStyle w:val="MdCode"/>
          <w:u w:val="single"/>
        </w:rPr>
        <w:t xml:space="preserve">https://akshat2685.github.io/pathmind.txt?_rsc=...</w:t>
      </w:r>
      <w:r>
        <w:t xml:space="preserve">, and that request returns </w:t>
      </w:r>
      <w:r>
        <w:rPr>
          <w:rStyle w:val="MdStrong"/>
          <w:b/>
          <w:bCs/>
        </w:rPr>
        <w:t xml:space="preserve">404 Not Found</w:t>
      </w:r>
      <w:r>
        <w:t xml:space="preserve"> on every tested page. Direct page loads still render because GitHub Pages serves pre-rendered HTML, but the failed router request makes client-side navigation and prefetching unreliable. This is the most important fix.</w:t>
      </w:r>
    </w:p>
    <w:p>
      <w:pPr>
        <w:pStyle w:val="MdSpace"/>
        <w:spacing w:before="0" w:after="60"/>
      </w:pPr>
    </w:p>
    <w:p>
      <w:pPr>
        <w:pStyle w:val="MdParagraph"/>
      </w:pPr>
      <w:r>
        <w:t xml:space="preserve">The report also confirms several product-quality issues based on direct visual or source inspection: the desktop dashboard is information-dense, the primary-action hierarchy is weak, the fixed navigation rail consumes 288 px, the notification button lacks an explicit </w:t>
      </w:r>
      <w:r>
        <w:rPr>
          <w:rStyle w:val="MdCode"/>
          <w:u w:val="single"/>
        </w:rPr>
        <w:t xml:space="preserve">aria-label</w:t>
      </w:r>
      <w:r>
        <w:t xml:space="preserve">, and five routes use generic page titles. These are real findings, not assumptions.</w:t>
      </w:r>
    </w:p>
    <w:p>
      <w:pPr>
        <w:pStyle w:val="MdSpace"/>
        <w:spacing w:before="0" w:after="60"/>
      </w:pPr>
    </w:p>
    <w:p>
      <w:pPr>
        <w:pStyle w:val="MdParagraph"/>
      </w:pPr>
      <w:r>
        <w:t xml:space="preserve">The report does </w:t>
      </w:r>
      <w:r>
        <w:rPr>
          <w:rStyle w:val="MdStrong"/>
          <w:b/>
          <w:bCs/>
        </w:rPr>
        <w:t xml:space="preserve">not</w:t>
      </w:r>
      <w:r>
        <w:t xml:space="preserve"> claim that mobile layout is broken. A mobile test harness reported a 485 px layout viewport even when smaller window sizes were requested, so that particular run is not valid evidence for 320–390 px behavior. Mobile behavior remains a required follow-up test.</w:t>
      </w:r>
    </w:p>
    <w:p>
      <w:pPr>
        <w:pStyle w:val="MdSpace"/>
        <w:spacing w:before="0" w:after="60"/>
      </w:pPr>
    </w:p>
    <w:p>
      <w:pPr>
        <w:pStyle w:val="Heading2"/>
        <w:pStyle w:val="MdHeading2"/>
      </w:pPr>
      <w:r>
        <w:t xml:space="preserve">3. Test Matrix</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Test</w:t>
            </w:r>
          </w:p>
        </w:tc>
        <w:tc>
          <w:tcPr>
            <w:tcMar>
              <w:top w:type="dxa" w:w="100"/>
              <w:left w:type="dxa" w:w="120"/>
              <w:bottom w:type="dxa" w:w="100"/>
              <w:right w:type="dxa" w:w="120"/>
            </w:tcMar>
            <w:vAlign w:val="center"/>
          </w:tcPr>
          <w:p>
            <w:pPr>
              <w:pStyle w:val="MdTableHeader"/>
            </w:pPr>
            <w:r>
              <w:t xml:space="preserve">Result</w:t>
            </w:r>
          </w:p>
        </w:tc>
        <w:tc>
          <w:tcPr>
            <w:tcBorders>
              <w:right w:val="none"/>
            </w:tcBorders>
            <w:tcMar>
              <w:top w:type="dxa" w:w="100"/>
              <w:left w:type="dxa" w:w="120"/>
              <w:bottom w:type="dxa" w:w="100"/>
              <w:right w:type="dxa" w:w="120"/>
            </w:tcMar>
            <w:vAlign w:val="center"/>
          </w:tcPr>
          <w:p>
            <w:pPr>
              <w:pStyle w:val="MdTableHeader"/>
            </w:pPr>
            <w:r>
              <w:t xml:space="preserve">Evidence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Homepage direct load</w:t>
            </w:r>
          </w:p>
        </w:tc>
        <w:tc>
          <w:tcPr>
            <w:tcMar>
              <w:top w:type="dxa" w:w="80"/>
              <w:left w:type="dxa" w:w="120"/>
              <w:bottom w:type="dxa" w:w="80"/>
              <w:right w:type="dxa" w:w="120"/>
            </w:tcMar>
            <w:vAlign w:val="center"/>
          </w:tcPr>
          <w:p>
            <w:pPr>
              <w:pStyle w:val="MdTableCell"/>
            </w:pPr>
            <w:r>
              <w:t xml:space="preserve">Pass</w:t>
            </w:r>
          </w:p>
        </w:tc>
        <w:tc>
          <w:tcPr>
            <w:tcBorders>
              <w:right w:val="none"/>
            </w:tcBorders>
            <w:tcMar>
              <w:top w:type="dxa" w:w="80"/>
              <w:left w:type="dxa" w:w="120"/>
              <w:bottom w:type="dxa" w:w="80"/>
              <w:right w:type="dxa" w:w="120"/>
            </w:tcMar>
            <w:vAlign w:val="center"/>
          </w:tcPr>
          <w:p>
            <w:pPr>
              <w:pStyle w:val="MdTableCell"/>
            </w:pPr>
            <w:r>
              <w:t xml:space="preserve">HTTP 200; rendered dashboard visible in connected and headless browsers.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Onboarding direct load</w:t>
            </w:r>
          </w:p>
        </w:tc>
        <w:tc>
          <w:tcPr>
            <w:tcMar>
              <w:top w:type="dxa" w:w="80"/>
              <w:left w:type="dxa" w:w="120"/>
              <w:bottom w:type="dxa" w:w="80"/>
              <w:right w:type="dxa" w:w="120"/>
            </w:tcMar>
            <w:vAlign w:val="center"/>
          </w:tcPr>
          <w:p>
            <w:pPr>
              <w:pStyle w:val="MdTableCell"/>
            </w:pPr>
            <w:r>
              <w:t xml:space="preserve">Pass</w:t>
            </w:r>
          </w:p>
        </w:tc>
        <w:tc>
          <w:tcPr>
            <w:tcBorders>
              <w:right w:val="none"/>
            </w:tcBorders>
            <w:tcMar>
              <w:top w:type="dxa" w:w="80"/>
              <w:left w:type="dxa" w:w="120"/>
              <w:bottom w:type="dxa" w:w="80"/>
              <w:right w:type="dxa" w:w="120"/>
            </w:tcMar>
            <w:vAlign w:val="center"/>
          </w:tcPr>
          <w:p>
            <w:pPr>
              <w:pStyle w:val="MdTableCell"/>
            </w:pPr>
            <w:r>
              <w:t xml:space="preserve">HTTP 200; rendered name-entry page visible.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Assessment direct load</w:t>
            </w:r>
          </w:p>
        </w:tc>
        <w:tc>
          <w:tcPr>
            <w:tcMar>
              <w:top w:type="dxa" w:w="80"/>
              <w:left w:type="dxa" w:w="120"/>
              <w:bottom w:type="dxa" w:w="80"/>
              <w:right w:type="dxa" w:w="120"/>
            </w:tcMar>
            <w:vAlign w:val="center"/>
          </w:tcPr>
          <w:p>
            <w:pPr>
              <w:pStyle w:val="MdTableCell"/>
            </w:pPr>
            <w:r>
              <w:t xml:space="preserve">Pass</w:t>
            </w:r>
          </w:p>
        </w:tc>
        <w:tc>
          <w:tcPr>
            <w:tcBorders>
              <w:right w:val="none"/>
            </w:tcBorders>
            <w:tcMar>
              <w:top w:type="dxa" w:w="80"/>
              <w:left w:type="dxa" w:w="120"/>
              <w:bottom w:type="dxa" w:w="80"/>
              <w:right w:type="dxa" w:w="120"/>
            </w:tcMar>
            <w:vAlign w:val="center"/>
          </w:tcPr>
          <w:p>
            <w:pPr>
              <w:pStyle w:val="MdTableCell"/>
            </w:pPr>
            <w:r>
              <w:t xml:space="preserve">HTTP 200; rendered counseling entry page visible.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JavaScript and CSS assets</w:t>
            </w:r>
          </w:p>
        </w:tc>
        <w:tc>
          <w:tcPr>
            <w:tcMar>
              <w:top w:type="dxa" w:w="80"/>
              <w:left w:type="dxa" w:w="120"/>
              <w:bottom w:type="dxa" w:w="80"/>
              <w:right w:type="dxa" w:w="120"/>
            </w:tcMar>
            <w:vAlign w:val="center"/>
          </w:tcPr>
          <w:p>
            <w:pPr>
              <w:pStyle w:val="MdTableCell"/>
            </w:pPr>
            <w:r>
              <w:t xml:space="preserve">Pass</w:t>
            </w:r>
          </w:p>
        </w:tc>
        <w:tc>
          <w:tcPr>
            <w:tcBorders>
              <w:right w:val="none"/>
            </w:tcBorders>
            <w:tcMar>
              <w:top w:type="dxa" w:w="80"/>
              <w:left w:type="dxa" w:w="120"/>
              <w:bottom w:type="dxa" w:w="80"/>
              <w:right w:type="dxa" w:w="120"/>
            </w:tcMar>
            <w:vAlign w:val="center"/>
          </w:tcPr>
          <w:p>
            <w:pPr>
              <w:pStyle w:val="MdTableCell"/>
            </w:pPr>
            <w:r>
              <w:t xml:space="preserve">All 19 inspected script, stylesheet, and font requests returned HTTP 200 with expected content types.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Backend API availability</w:t>
            </w:r>
          </w:p>
        </w:tc>
        <w:tc>
          <w:tcPr>
            <w:tcMar>
              <w:top w:type="dxa" w:w="80"/>
              <w:left w:type="dxa" w:w="120"/>
              <w:bottom w:type="dxa" w:w="80"/>
              <w:right w:type="dxa" w:w="120"/>
            </w:tcMar>
            <w:vAlign w:val="center"/>
          </w:tcPr>
          <w:p>
            <w:pPr>
              <w:pStyle w:val="MdTableCell"/>
            </w:pPr>
            <w:r>
              <w:t xml:space="preserve">Pass</w:t>
            </w:r>
          </w:p>
        </w:tc>
        <w:tc>
          <w:tcPr>
            <w:tcBorders>
              <w:right w:val="none"/>
            </w:tcBorders>
            <w:tcMar>
              <w:top w:type="dxa" w:w="80"/>
              <w:left w:type="dxa" w:w="120"/>
              <w:bottom w:type="dxa" w:w="80"/>
              <w:right w:type="dxa" w:w="120"/>
            </w:tcMar>
            <w:vAlign w:val="center"/>
          </w:tcPr>
          <w:p>
            <w:pPr>
              <w:pStyle w:val="MdTableCell"/>
            </w:pPr>
            <w:r>
              <w:t xml:space="preserve">Tested health and application endpoints returned HTTP 200 JSON responses.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Client router request</w:t>
            </w:r>
          </w:p>
        </w:tc>
        <w:tc>
          <w:tcPr>
            <w:tcMar>
              <w:top w:type="dxa" w:w="80"/>
              <w:left w:type="dxa" w:w="120"/>
              <w:bottom w:type="dxa" w:w="80"/>
              <w:right w:type="dxa" w:w="120"/>
            </w:tcMar>
            <w:vAlign w:val="center"/>
          </w:tcPr>
          <w:p>
            <w:pPr>
              <w:pStyle w:val="MdTableCell"/>
            </w:pPr>
            <w:r>
              <w:t xml:space="preserve">Fail</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/pathmind.txt?_rsc=...</w:t>
            </w:r>
            <w:r>
              <w:t xml:space="preserve"> returned HTTP 404 on every clean browser load.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Client-side navigation</w:t>
            </w:r>
          </w:p>
        </w:tc>
        <w:tc>
          <w:tcPr>
            <w:tcMar>
              <w:top w:type="dxa" w:w="80"/>
              <w:left w:type="dxa" w:w="120"/>
              <w:bottom w:type="dxa" w:w="80"/>
              <w:right w:type="dxa" w:w="120"/>
            </w:tcMar>
            <w:vAlign w:val="center"/>
          </w:tcPr>
          <w:p>
            <w:pPr>
              <w:pStyle w:val="MdTableCell"/>
            </w:pPr>
            <w:r>
              <w:t xml:space="preserve">Partial fail</w:t>
            </w:r>
          </w:p>
        </w:tc>
        <w:tc>
          <w:tcPr>
            <w:tcBorders>
              <w:right w:val="none"/>
            </w:tcBorders>
            <w:tcMar>
              <w:top w:type="dxa" w:w="80"/>
              <w:left w:type="dxa" w:w="120"/>
              <w:bottom w:type="dxa" w:w="80"/>
              <w:right w:type="dxa" w:w="120"/>
            </w:tcMar>
            <w:vAlign w:val="center"/>
          </w:tcPr>
          <w:p>
            <w:pPr>
              <w:pStyle w:val="MdTableCell"/>
            </w:pPr>
            <w:r>
              <w:t xml:space="preserve">Navigation completed in Chromium, but the router request failed and the browser logged a severe 404 before fallback navigation.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Mobile layout</w:t>
            </w:r>
          </w:p>
        </w:tc>
        <w:tc>
          <w:tcPr>
            <w:tcMar>
              <w:top w:type="dxa" w:w="80"/>
              <w:left w:type="dxa" w:w="120"/>
              <w:bottom w:type="dxa" w:w="80"/>
              <w:right w:type="dxa" w:w="120"/>
            </w:tcMar>
            <w:vAlign w:val="center"/>
          </w:tcPr>
          <w:p>
            <w:pPr>
              <w:pStyle w:val="MdTableCell"/>
            </w:pPr>
            <w:r>
              <w:t xml:space="preserve">Inconclusive</w:t>
            </w:r>
          </w:p>
        </w:tc>
        <w:tc>
          <w:tcPr>
            <w:tcBorders>
              <w:right w:val="none"/>
            </w:tcBorders>
            <w:tcMar>
              <w:top w:type="dxa" w:w="80"/>
              <w:left w:type="dxa" w:w="120"/>
              <w:bottom w:type="dxa" w:w="80"/>
              <w:right w:type="dxa" w:w="120"/>
            </w:tcMar>
            <w:vAlign w:val="center"/>
          </w:tcPr>
          <w:p>
            <w:pPr>
              <w:pStyle w:val="MdTableCell"/>
            </w:pPr>
            <w:r>
              <w:t xml:space="preserve">Test harness did not produce the requested CSS viewport; no mobile defect is asserted.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Route titles</w:t>
            </w:r>
          </w:p>
        </w:tc>
        <w:tc>
          <w:tcPr>
            <w:tcMar>
              <w:top w:type="dxa" w:w="80"/>
              <w:left w:type="dxa" w:w="120"/>
              <w:bottom w:type="dxa" w:w="80"/>
              <w:right w:type="dxa" w:w="120"/>
            </w:tcMar>
            <w:vAlign w:val="center"/>
          </w:tcPr>
          <w:p>
            <w:pPr>
              <w:pStyle w:val="MdTableCell"/>
            </w:pPr>
            <w:r>
              <w:t xml:space="preserve">Partial fail</w:t>
            </w:r>
          </w:p>
        </w:tc>
        <w:tc>
          <w:tcPr>
            <w:tcBorders>
              <w:right w:val="none"/>
            </w:tcBorders>
            <w:tcMar>
              <w:top w:type="dxa" w:w="80"/>
              <w:left w:type="dxa" w:w="120"/>
              <w:bottom w:type="dxa" w:w="80"/>
              <w:right w:type="dxa" w:w="120"/>
            </w:tcMar>
            <w:vAlign w:val="center"/>
          </w:tcPr>
          <w:p>
            <w:pPr>
              <w:pStyle w:val="MdTableCell"/>
            </w:pPr>
            <w:r>
              <w:t xml:space="preserve">Five routes returned a generic PATHMIND title rather than route-specific metadata.</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Raw source-code screen</w:t>
            </w:r>
          </w:p>
        </w:tc>
        <w:tc>
          <w:tcPr>
            <w:tcBorders>
              <w:bottom w:val="single" w:color="E1E4E8" w:sz="4"/>
            </w:tcBorders>
            <w:tcMar>
              <w:top w:type="dxa" w:w="80"/>
              <w:left w:type="dxa" w:w="120"/>
              <w:bottom w:type="dxa" w:w="80"/>
              <w:right w:type="dxa" w:w="120"/>
            </w:tcMar>
            <w:vAlign w:val="center"/>
          </w:tcPr>
          <w:p>
            <w:pPr>
              <w:pStyle w:val="MdTableCell"/>
            </w:pPr>
            <w:r>
              <w:t xml:space="preserve">Not reproduced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The exact public URL rendered the application, not source code. The reviewer’s exact URL is required for diagnosis.</w:t>
            </w:r>
          </w:p>
        </w:tc>
      </w:tr>
    </w:tbl>
    <w:p>
      <w:pPr>
        <w:pStyle w:val="Heading2"/>
        <w:pStyle w:val="MdHeading2"/>
      </w:pPr>
      <w:r>
        <w:t xml:space="preserve">4. Confirmed Defects and Fixes</w:t>
      </w:r>
    </w:p>
    <w:p>
      <w:pPr>
        <w:pStyle w:val="Heading3"/>
        <w:pStyle w:val="MdHeading3"/>
      </w:pPr>
      <w:r>
        <w:t xml:space="preserve">PM-DEP-001 — Next.js router request returns 404</w:t>
      </w:r>
    </w:p>
    <w:p>
      <w:pPr>
        <w:pStyle w:val="MdParagraph"/>
      </w:pPr>
      <w:r>
        <w:rPr>
          <w:rStyle w:val="MdStrong"/>
          <w:b/>
          <w:bCs/>
        </w:rPr>
        <w:t xml:space="preserve">Status:</w:t>
      </w:r>
      <w:r>
        <w:t xml:space="preserve"> Confirmed and reproduced</w:t>
      </w:r>
      <w:r>
        <w:rPr>
          <w:rStyle w:val="MdBr"/>
        </w:rPr>
        <w:br/>
        <w:t xml:space="preserve"/>
      </w:r>
      <w:r>
        <w:rPr>
          <w:rStyle w:val="MdStrong"/>
          <w:b/>
          <w:bCs/>
        </w:rPr>
        <w:t xml:space="preserve">Severity:</w:t>
      </w:r>
      <w:r>
        <w:t xml:space="preserve"> High</w:t>
      </w:r>
      <w:r>
        <w:rPr>
          <w:rStyle w:val="MdBr"/>
        </w:rPr>
        <w:br/>
        <w:t xml:space="preserve"/>
      </w:r>
      <w:r>
        <w:rPr>
          <w:rStyle w:val="MdStrong"/>
          <w:b/>
          <w:bCs/>
        </w:rPr>
        <w:t xml:space="preserve">Priority:</w:t>
      </w:r>
      <w:r>
        <w:t xml:space="preserve"> P0</w:t>
      </w:r>
    </w:p>
    <w:p>
      <w:pPr>
        <w:pStyle w:val="MdSpace"/>
        <w:spacing w:before="0" w:after="60"/>
      </w:pPr>
    </w:p>
    <w:p>
      <w:pPr>
        <w:pStyle w:val="Heading4"/>
        <w:pStyle w:val="MdHeading4"/>
      </w:pPr>
      <w:r>
        <w:t xml:space="preserve">Evidence</w:t>
      </w:r>
    </w:p>
    <w:p>
      <w:pPr>
        <w:pStyle w:val="MdParagraph"/>
      </w:pPr>
      <w:r>
        <w:t xml:space="preserve">Clean headless Chromium produced this browser error on the homepage, onboarding page, and assessment page: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GET https://akshat2685.github.io/pathmind.txt?_rsc=... 404 Not Found</w:t>
      </w:r>
    </w:p>
    <w:p>
      <w:pPr>
        <w:pStyle w:val="MdSpace"/>
        <w:spacing w:before="0" w:after="60"/>
      </w:pPr>
    </w:p>
    <w:p>
      <w:pPr>
        <w:pStyle w:val="MdParagraph"/>
      </w:pPr>
      <w:r>
        <w:t xml:space="preserve">The same request was visible after attempting client-side navigation. Direct navigation to </w:t>
      </w:r>
      <w:r>
        <w:rPr>
          <w:rStyle w:val="MdCode"/>
          <w:u w:val="single"/>
        </w:rPr>
        <w:t xml:space="preserve">/pathmind/onboarding</w:t>
      </w:r>
      <w:r>
        <w:t xml:space="preserve"> still rendered because the static HTML page exists, but the client router request failed first.</w:t>
      </w:r>
    </w:p>
    <w:p>
      <w:pPr>
        <w:pStyle w:val="MdSpace"/>
        <w:spacing w:before="0" w:after="60"/>
      </w:pPr>
    </w:p>
    <w:p>
      <w:pPr>
        <w:pStyle w:val="Heading4"/>
        <w:pStyle w:val="MdHeading4"/>
      </w:pPr>
      <w:r>
        <w:t xml:space="preserve">User impact</w:t>
      </w:r>
    </w:p>
    <w:p>
      <w:pPr>
        <w:pStyle w:val="MdParagraph"/>
      </w:pPr>
      <w:r>
        <w:t xml:space="preserve">The application can appear inconsistent between direct loads and in-app clicks. Some browsers may fall back to a full page navigation; others may show stale content, a delayed transition, or an error state. This is a credible explanation for reports that the site is broken.</w:t>
      </w:r>
    </w:p>
    <w:p>
      <w:pPr>
        <w:pStyle w:val="MdSpace"/>
        <w:spacing w:before="0" w:after="60"/>
      </w:pPr>
    </w:p>
    <w:p>
      <w:pPr>
        <w:pStyle w:val="Heading4"/>
        <w:pStyle w:val="MdHeading4"/>
      </w:pPr>
      <w:r>
        <w:t xml:space="preserve">Fix</w:t>
      </w:r>
    </w:p>
    <w:p>
      <w:pPr>
        <w:pStyle w:val="MdParagraph"/>
      </w:pPr>
      <w:r>
        <w:t xml:space="preserve">Configure the static Next.js deployment consistently for the GitHub Pages project subpath. Confirm the exact syntax for the project’s Next.js version, but the configuration should be equivalent to:</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nextConfig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output: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basePath: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'/pathmind'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assetPrefix: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'/pathmind/'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trailingSlash: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nextConfig;</w:t>
      </w:r>
    </w:p>
    <w:p>
      <w:pPr>
        <w:pStyle w:val="MdSpace"/>
        <w:spacing w:before="0" w:after="60"/>
      </w:pPr>
    </w:p>
    <w:p>
      <w:pPr>
        <w:pStyle w:val="MdParagraph"/>
      </w:pPr>
      <w:r>
        <w:t xml:space="preserve">If the application uses static export, ensure that it does not require an unavailable server-side React Server Components endpoint. Alternatively, deploy the Next.js application to a host that supports the required Next.js runtime.</w:t>
      </w:r>
    </w:p>
    <w:p>
      <w:pPr>
        <w:pStyle w:val="MdSpace"/>
        <w:spacing w:before="0" w:after="60"/>
      </w:pPr>
    </w:p>
    <w:p>
      <w:pPr>
        <w:pStyle w:val="Heading4"/>
        <w:pStyle w:val="MdHeading4"/>
      </w:pPr>
      <w:r>
        <w:t xml:space="preserve">Acceptance test</w:t>
      </w:r>
    </w:p>
    <w:p>
      <w:pPr>
        <w:pStyle w:val="MdParagraph"/>
      </w:pPr>
      <w:r>
        <w:t xml:space="preserve">After deployment, open the site in an incognito browser and verify that:</w:t>
      </w:r>
    </w:p>
    <w:p>
      <w:pPr>
        <w:pStyle w:val="MdSpace"/>
        <w:spacing w:before="0" w:after="60"/>
      </w:pPr>
    </w:p>
    <w:p>
      <w:pPr>
        <w:pStyle w:val="MdListItem"/>
        <w:numPr>
          <w:ilvl w:val="0"/>
          <w:numId w:val="2"/>
        </w:numPr>
      </w:pPr>
      <w:r>
        <w:t xml:space="preserve">No request to </w:t>
      </w:r>
      <w:r>
        <w:rPr>
          <w:rStyle w:val="MdCode"/>
          <w:u w:val="single"/>
        </w:rPr>
        <w:t xml:space="preserve">/pathmind.txt?_rsc=...</w:t>
      </w:r>
      <w:r>
        <w:t xml:space="preserve"> returns 404.</w:t>
      </w:r>
    </w:p>
    <w:p>
      <w:pPr>
        <w:pStyle w:val="MdListItem"/>
        <w:numPr>
          <w:ilvl w:val="0"/>
          <w:numId w:val="2"/>
        </w:numPr>
      </w:pPr>
      <w:r>
        <w:t xml:space="preserve">Clicking each sidebar link completes without a console error.</w:t>
      </w:r>
    </w:p>
    <w:p>
      <w:pPr>
        <w:pStyle w:val="MdListItem"/>
        <w:numPr>
          <w:ilvl w:val="0"/>
          <w:numId w:val="2"/>
        </w:numPr>
      </w:pPr>
      <w:r>
        <w:t xml:space="preserve">Direct loading and in-app navigation produce the same page content.</w:t>
      </w:r>
    </w:p>
    <w:p>
      <w:pPr>
        <w:pStyle w:val="MdListItem"/>
        <w:numPr>
          <w:ilvl w:val="0"/>
          <w:numId w:val="2"/>
        </w:numPr>
      </w:pPr>
      <w:r>
        <w:t xml:space="preserve">The browser Network panel contains no failed JavaScript, CSS, route, or RSC request.</w:t>
      </w:r>
    </w:p>
    <w:p>
      <w:pPr>
        <w:pStyle w:val="MdSpace"/>
        <w:spacing w:before="0" w:after="60"/>
      </w:pPr>
    </w:p>
    <w:p>
      <w:pPr>
        <w:pStyle w:val="Heading3"/>
        <w:pStyle w:val="MdHeading3"/>
      </w:pPr>
      <w:r>
        <w:t xml:space="preserve">PM-DEP-002 — Five routes expose generic page titles</w:t>
      </w:r>
    </w:p>
    <w:p>
      <w:pPr>
        <w:pStyle w:val="MdParagraph"/>
      </w:pPr>
      <w:r>
        <w:rPr>
          <w:rStyle w:val="MdStrong"/>
          <w:b/>
          <w:bCs/>
        </w:rPr>
        <w:t xml:space="preserve">Status:</w:t>
      </w:r>
      <w:r>
        <w:t xml:space="preserve"> Confirmed by direct HTTP inspection</w:t>
      </w:r>
      <w:r>
        <w:rPr>
          <w:rStyle w:val="MdBr"/>
        </w:rPr>
        <w:br/>
        <w:t xml:space="preserve"/>
      </w:r>
      <w:r>
        <w:rPr>
          <w:rStyle w:val="MdStrong"/>
          <w:b/>
          <w:bCs/>
        </w:rPr>
        <w:t xml:space="preserve">Severity:</w:t>
      </w:r>
      <w:r>
        <w:t xml:space="preserve"> Medium</w:t>
      </w:r>
      <w:r>
        <w:rPr>
          <w:rStyle w:val="MdBr"/>
        </w:rPr>
        <w:br/>
        <w:t xml:space="preserve"/>
      </w:r>
      <w:r>
        <w:rPr>
          <w:rStyle w:val="MdStrong"/>
          <w:b/>
          <w:bCs/>
        </w:rPr>
        <w:t xml:space="preserve">Priority:</w:t>
      </w:r>
      <w:r>
        <w:t xml:space="preserve"> P1</w:t>
      </w:r>
    </w:p>
    <w:p>
      <w:pPr>
        <w:pStyle w:val="MdSpace"/>
        <w:spacing w:before="0" w:after="60"/>
      </w:pPr>
    </w:p>
    <w:p>
      <w:pPr>
        <w:pStyle w:val="Heading4"/>
        <w:pStyle w:val="MdHeading4"/>
      </w:pPr>
      <w:r>
        <w:t xml:space="preserve">Evidence</w:t>
      </w:r>
    </w:p>
    <w:p>
      <w:pPr>
        <w:pStyle w:val="MdParagraph"/>
      </w:pPr>
      <w:r>
        <w:t xml:space="preserve">These routes returned HTTP 200 but used the generic title </w:t>
      </w:r>
      <w:r>
        <w:rPr>
          <w:rStyle w:val="MdCode"/>
          <w:u w:val="single"/>
        </w:rPr>
        <w:t xml:space="preserve">PATHMIND — Mindful Learning Path Companion</w:t>
      </w:r>
      <w:r>
        <w:t xml:space="preserv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Route</w:t>
            </w:r>
          </w:p>
        </w:tc>
        <w:tc>
          <w:tcPr>
            <w:tcMar>
              <w:top w:type="dxa" w:w="100"/>
              <w:left w:type="dxa" w:w="120"/>
              <w:bottom w:type="dxa" w:w="100"/>
              <w:right w:type="dxa" w:w="120"/>
            </w:tcMar>
            <w:vAlign w:val="center"/>
          </w:tcPr>
          <w:p>
            <w:pPr>
              <w:pStyle w:val="MdTableHeader"/>
            </w:pPr>
            <w:r>
              <w:t xml:space="preserve">Observed title</w:t>
            </w:r>
          </w:p>
        </w:tc>
        <w:tc>
          <w:tcPr>
            <w:tcBorders>
              <w:right w:val="none"/>
            </w:tcBorders>
            <w:tcMar>
              <w:top w:type="dxa" w:w="100"/>
              <w:left w:type="dxa" w:w="120"/>
              <w:bottom w:type="dxa" w:w="100"/>
              <w:right w:type="dxa" w:w="120"/>
            </w:tcMar>
            <w:vAlign w:val="center"/>
          </w:tcPr>
          <w:p>
            <w:pPr>
              <w:pStyle w:val="MdTableHeader"/>
            </w:pPr>
            <w:r>
              <w:t xml:space="preserve">Expected result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/evolution</w:t>
            </w:r>
          </w:p>
        </w:tc>
        <w:tc>
          <w:tcPr>
            <w:tcMar>
              <w:top w:type="dxa" w:w="80"/>
              <w:left w:type="dxa" w:w="120"/>
              <w:bottom w:type="dxa" w:w="80"/>
              <w:right w:type="dxa" w:w="120"/>
            </w:tcMar>
            <w:vAlign w:val="center"/>
          </w:tcPr>
          <w:p>
            <w:pPr>
              <w:pStyle w:val="MdTableCell"/>
            </w:pPr>
            <w:r>
              <w:t xml:space="preserve">Generic PATHMIND title</w:t>
            </w:r>
          </w:p>
        </w:tc>
        <w:tc>
          <w:tcPr>
            <w:tcBorders>
              <w:right w:val="none"/>
            </w:tcBorders>
            <w:tcMar>
              <w:top w:type="dxa" w:w="80"/>
              <w:left w:type="dxa" w:w="120"/>
              <w:bottom w:type="dxa" w:w="80"/>
              <w:right w:type="dxa" w:w="120"/>
            </w:tcMar>
            <w:vAlign w:val="center"/>
          </w:tcPr>
          <w:p>
            <w:pPr>
              <w:pStyle w:val="MdTableCell"/>
            </w:pPr>
            <w:r>
              <w:t xml:space="preserve">Route-specific evolution title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/portfolio</w:t>
            </w:r>
          </w:p>
        </w:tc>
        <w:tc>
          <w:tcPr>
            <w:tcMar>
              <w:top w:type="dxa" w:w="80"/>
              <w:left w:type="dxa" w:w="120"/>
              <w:bottom w:type="dxa" w:w="80"/>
              <w:right w:type="dxa" w:w="120"/>
            </w:tcMar>
            <w:vAlign w:val="center"/>
          </w:tcPr>
          <w:p>
            <w:pPr>
              <w:pStyle w:val="MdTableCell"/>
            </w:pPr>
            <w:r>
              <w:t xml:space="preserve">Generic PATHMIND title</w:t>
            </w:r>
          </w:p>
        </w:tc>
        <w:tc>
          <w:tcPr>
            <w:tcBorders>
              <w:right w:val="none"/>
            </w:tcBorders>
            <w:tcMar>
              <w:top w:type="dxa" w:w="80"/>
              <w:left w:type="dxa" w:w="120"/>
              <w:bottom w:type="dxa" w:w="80"/>
              <w:right w:type="dxa" w:w="120"/>
            </w:tcMar>
            <w:vAlign w:val="center"/>
          </w:tcPr>
          <w:p>
            <w:pPr>
              <w:pStyle w:val="MdTableCell"/>
            </w:pPr>
            <w:r>
              <w:t xml:space="preserve">Route-specific portfolio title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/execution</w:t>
            </w:r>
          </w:p>
        </w:tc>
        <w:tc>
          <w:tcPr>
            <w:tcMar>
              <w:top w:type="dxa" w:w="80"/>
              <w:left w:type="dxa" w:w="120"/>
              <w:bottom w:type="dxa" w:w="80"/>
              <w:right w:type="dxa" w:w="120"/>
            </w:tcMar>
            <w:vAlign w:val="center"/>
          </w:tcPr>
          <w:p>
            <w:pPr>
              <w:pStyle w:val="MdTableCell"/>
            </w:pPr>
            <w:r>
              <w:t xml:space="preserve">Generic PATHMIND title</w:t>
            </w:r>
          </w:p>
        </w:tc>
        <w:tc>
          <w:tcPr>
            <w:tcBorders>
              <w:right w:val="none"/>
            </w:tcBorders>
            <w:tcMar>
              <w:top w:type="dxa" w:w="80"/>
              <w:left w:type="dxa" w:w="120"/>
              <w:bottom w:type="dxa" w:w="80"/>
              <w:right w:type="dxa" w:w="120"/>
            </w:tcMar>
            <w:vAlign w:val="center"/>
          </w:tcPr>
          <w:p>
            <w:pPr>
              <w:pStyle w:val="MdTableCell"/>
            </w:pPr>
            <w:r>
              <w:t xml:space="preserve">Route-specific execution title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/opportunities</w:t>
            </w:r>
          </w:p>
        </w:tc>
        <w:tc>
          <w:tcPr>
            <w:tcMar>
              <w:top w:type="dxa" w:w="80"/>
              <w:left w:type="dxa" w:w="120"/>
              <w:bottom w:type="dxa" w:w="80"/>
              <w:right w:type="dxa" w:w="120"/>
            </w:tcMar>
            <w:vAlign w:val="center"/>
          </w:tcPr>
          <w:p>
            <w:pPr>
              <w:pStyle w:val="MdTableCell"/>
            </w:pPr>
            <w:r>
              <w:t xml:space="preserve">Generic PATHMIND title</w:t>
            </w:r>
          </w:p>
        </w:tc>
        <w:tc>
          <w:tcPr>
            <w:tcBorders>
              <w:right w:val="none"/>
            </w:tcBorders>
            <w:tcMar>
              <w:top w:type="dxa" w:w="80"/>
              <w:left w:type="dxa" w:w="120"/>
              <w:bottom w:type="dxa" w:w="80"/>
              <w:right w:type="dxa" w:w="120"/>
            </w:tcMar>
            <w:vAlign w:val="center"/>
          </w:tcPr>
          <w:p>
            <w:pPr>
              <w:pStyle w:val="MdTableCell"/>
            </w:pPr>
            <w:r>
              <w:t xml:space="preserve">Route-specific opportunities title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/orchestrator</w:t>
            </w:r>
          </w:p>
        </w:tc>
        <w:tc>
          <w:tcPr>
            <w:tcBorders>
              <w:bottom w:val="single" w:color="E1E4E8" w:sz="4"/>
            </w:tcBorders>
            <w:tcMar>
              <w:top w:type="dxa" w:w="80"/>
              <w:left w:type="dxa" w:w="120"/>
              <w:bottom w:type="dxa" w:w="80"/>
              <w:right w:type="dxa" w:w="120"/>
            </w:tcMar>
            <w:vAlign w:val="center"/>
          </w:tcPr>
          <w:p>
            <w:pPr>
              <w:pStyle w:val="MdTableCell"/>
            </w:pPr>
            <w:r>
              <w:t xml:space="preserve">Generic PATHMIND title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Route-specific orchestrator title</w:t>
            </w:r>
          </w:p>
        </w:tc>
      </w:tr>
    </w:tbl>
    <w:p>
      <w:pPr>
        <w:pStyle w:val="MdParagraph"/>
      </w:pPr>
      <w:r>
        <w:t xml:space="preserve">The other tested pages, including </w:t>
      </w:r>
      <w:r>
        <w:rPr>
          <w:rStyle w:val="MdCode"/>
          <w:u w:val="single"/>
        </w:rPr>
        <w:t xml:space="preserve">/assessment</w:t>
      </w:r>
      <w:r>
        <w:t xml:space="preserve">, </w:t>
      </w:r>
      <w:r>
        <w:rPr>
          <w:rStyle w:val="MdCode"/>
          <w:u w:val="single"/>
        </w:rPr>
        <w:t xml:space="preserve">/explorer</w:t>
      </w:r>
      <w:r>
        <w:t xml:space="preserve">, </w:t>
      </w:r>
      <w:r>
        <w:rPr>
          <w:rStyle w:val="MdCode"/>
          <w:u w:val="single"/>
        </w:rPr>
        <w:t xml:space="preserve">/journey</w:t>
      </w:r>
      <w:r>
        <w:t xml:space="preserve">, </w:t>
      </w:r>
      <w:r>
        <w:rPr>
          <w:rStyle w:val="MdCode"/>
          <w:u w:val="single"/>
        </w:rPr>
        <w:t xml:space="preserve">/memory</w:t>
      </w:r>
      <w:r>
        <w:t xml:space="preserve">, and </w:t>
      </w:r>
      <w:r>
        <w:rPr>
          <w:rStyle w:val="MdCode"/>
          <w:u w:val="single"/>
        </w:rPr>
        <w:t xml:space="preserve">/readiness</w:t>
      </w:r>
      <w:r>
        <w:t xml:space="preserve">, returned route-specific titles.</w:t>
      </w:r>
    </w:p>
    <w:p>
      <w:pPr>
        <w:pStyle w:val="MdSpace"/>
        <w:spacing w:before="0" w:after="60"/>
      </w:pPr>
    </w:p>
    <w:p>
      <w:pPr>
        <w:pStyle w:val="Heading4"/>
        <w:pStyle w:val="MdHeading4"/>
      </w:pPr>
      <w:r>
        <w:t xml:space="preserve">User impact</w:t>
      </w:r>
    </w:p>
    <w:p>
      <w:pPr>
        <w:pStyle w:val="MdParagraph"/>
      </w:pPr>
      <w:r>
        <w:t xml:space="preserve">Users and reviewers may interpret the pages as unfinished, incorrectly routed, or duplicated. Generic titles also weaken browser history, bookmarks, search previews, and accessibility context.</w:t>
      </w:r>
    </w:p>
    <w:p>
      <w:pPr>
        <w:pStyle w:val="MdSpace"/>
        <w:spacing w:before="0" w:after="60"/>
      </w:pPr>
    </w:p>
    <w:p>
      <w:pPr>
        <w:pStyle w:val="Heading4"/>
        <w:pStyle w:val="MdHeading4"/>
      </w:pPr>
      <w:r>
        <w:t xml:space="preserve">Fix</w:t>
      </w:r>
    </w:p>
    <w:p>
      <w:pPr>
        <w:pStyle w:val="MdParagraph"/>
      </w:pPr>
      <w:r>
        <w:t xml:space="preserve">Add route-specific metadata and confirm that each route renders a route-specific visible heading and active navigation state. If a route is not implemented, show an explicit “Coming soon” state instead of presenting a generic completed-looking page.</w:t>
      </w:r>
    </w:p>
    <w:p>
      <w:pPr>
        <w:pStyle w:val="MdSpace"/>
        <w:spacing w:before="0" w:after="60"/>
      </w:pPr>
    </w:p>
    <w:p>
      <w:pPr>
        <w:pStyle w:val="Heading4"/>
        <w:pStyle w:val="MdHeading4"/>
      </w:pPr>
      <w:r>
        <w:t xml:space="preserve">Acceptance test</w:t>
      </w:r>
    </w:p>
    <w:p>
      <w:pPr>
        <w:pStyle w:val="MdParagraph"/>
      </w:pPr>
      <w:r>
        <w:t xml:space="preserve">Open each route directly and through sidebar navigation. Confirm that the document title, primary heading, active navigation item, and main content all identify the same route.</w:t>
      </w:r>
    </w:p>
    <w:p>
      <w:pPr>
        <w:pStyle w:val="MdSpace"/>
        <w:spacing w:before="0" w:after="60"/>
      </w:pPr>
    </w:p>
    <w:p>
      <w:pPr>
        <w:pStyle w:val="Heading3"/>
        <w:pStyle w:val="MdHeading3"/>
      </w:pPr>
      <w:r>
        <w:t xml:space="preserve">PM-DEP-003 — Static deployment path configuration is inconsistent</w:t>
      </w:r>
    </w:p>
    <w:p>
      <w:pPr>
        <w:pStyle w:val="MdParagraph"/>
      </w:pPr>
      <w:r>
        <w:rPr>
          <w:rStyle w:val="MdStrong"/>
          <w:b/>
          <w:bCs/>
        </w:rPr>
        <w:t xml:space="preserve">Status:</w:t>
      </w:r>
      <w:r>
        <w:t xml:space="preserve"> Confirmed by request-path inspection</w:t>
      </w:r>
      <w:r>
        <w:rPr>
          <w:rStyle w:val="MdBr"/>
        </w:rPr>
        <w:br/>
        <w:t xml:space="preserve"/>
      </w:r>
      <w:r>
        <w:rPr>
          <w:rStyle w:val="MdStrong"/>
          <w:b/>
          <w:bCs/>
        </w:rPr>
        <w:t xml:space="preserve">Severity:</w:t>
      </w:r>
      <w:r>
        <w:t xml:space="preserve"> High</w:t>
      </w:r>
      <w:r>
        <w:rPr>
          <w:rStyle w:val="MdBr"/>
        </w:rPr>
        <w:br/>
        <w:t xml:space="preserve"/>
      </w:r>
      <w:r>
        <w:rPr>
          <w:rStyle w:val="MdStrong"/>
          <w:b/>
          <w:bCs/>
        </w:rPr>
        <w:t xml:space="preserve">Priority:</w:t>
      </w:r>
      <w:r>
        <w:t xml:space="preserve"> P0</w:t>
      </w:r>
    </w:p>
    <w:p>
      <w:pPr>
        <w:pStyle w:val="MdSpace"/>
        <w:spacing w:before="0" w:after="60"/>
      </w:pPr>
    </w:p>
    <w:p>
      <w:pPr>
        <w:pStyle w:val="Heading4"/>
        <w:pStyle w:val="MdHeading4"/>
      </w:pPr>
      <w:r>
        <w:t xml:space="preserve">Evidence</w:t>
      </w:r>
    </w:p>
    <w:p>
      <w:pPr>
        <w:pStyle w:val="MdParagraph"/>
      </w:pPr>
      <w:r>
        <w:t xml:space="preserve">Static assets load from the project path, for example: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/pathmind/_next/static/chunks/...</w:t>
      </w:r>
    </w:p>
    <w:p>
      <w:pPr>
        <w:pStyle w:val="MdSpace"/>
        <w:spacing w:before="0" w:after="60"/>
      </w:pPr>
    </w:p>
    <w:p>
      <w:pPr>
        <w:pStyle w:val="MdParagraph"/>
      </w:pPr>
      <w:r>
        <w:t xml:space="preserve">The failing router request is generated at:</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/pathmind.txt?_rsc=...</w:t>
      </w:r>
    </w:p>
    <w:p>
      <w:pPr>
        <w:pStyle w:val="MdSpace"/>
        <w:spacing w:before="0" w:after="60"/>
      </w:pPr>
    </w:p>
    <w:p>
      <w:pPr>
        <w:pStyle w:val="MdParagraph"/>
      </w:pPr>
      <w:r>
        <w:t xml:space="preserve">This mismatch demonstrates that asset paths and client-router paths are not being resolved consistently under the GitHub Pages project subpath.</w:t>
      </w:r>
    </w:p>
    <w:p>
      <w:pPr>
        <w:pStyle w:val="MdSpace"/>
        <w:spacing w:before="0" w:after="60"/>
      </w:pPr>
    </w:p>
    <w:p>
      <w:pPr>
        <w:pStyle w:val="Heading4"/>
        <w:pStyle w:val="MdHeading4"/>
      </w:pPr>
      <w:r>
        <w:t xml:space="preserve">Fix</w:t>
      </w:r>
    </w:p>
    <w:p>
      <w:pPr>
        <w:pStyle w:val="MdParagraph"/>
      </w:pPr>
      <w:r>
        <w:t xml:space="preserve">Use one authoritative base-path configuration. Do not rely on manually prefixed links while leaving Next.js routing unaware of </w:t>
      </w:r>
      <w:r>
        <w:rPr>
          <w:rStyle w:val="MdCode"/>
          <w:u w:val="single"/>
        </w:rPr>
        <w:t xml:space="preserve">/pathmind</w:t>
      </w:r>
      <w:r>
        <w:t xml:space="preserve">. Regenerate the export and inspect the built HTML and JavaScript before publishing.</w:t>
      </w:r>
    </w:p>
    <w:p>
      <w:pPr>
        <w:pStyle w:val="MdSpace"/>
        <w:spacing w:before="0" w:after="60"/>
      </w:pPr>
    </w:p>
    <w:p>
      <w:pPr>
        <w:pStyle w:val="Heading4"/>
        <w:pStyle w:val="MdHeading4"/>
      </w:pPr>
      <w:r>
        <w:t xml:space="preserve">Acceptance test</w:t>
      </w:r>
    </w:p>
    <w:p>
      <w:pPr>
        <w:pStyle w:val="MdParagraph"/>
      </w:pPr>
      <w:r>
        <w:t xml:space="preserve">Search the generated output and browser Network log for every route request. All application requests must resolve under the intended project base path, and no route request may point to an unavailable root-level resource.</w:t>
      </w:r>
    </w:p>
    <w:p>
      <w:pPr>
        <w:pStyle w:val="MdSpace"/>
        <w:spacing w:before="0" w:after="60"/>
      </w:pPr>
    </w:p>
    <w:p>
      <w:pPr>
        <w:pStyle w:val="Heading2"/>
        <w:pStyle w:val="MdHeading2"/>
      </w:pPr>
      <w:r>
        <w:t xml:space="preserve">5. Confirmed UI/UX and Spacing Issues</w:t>
      </w:r>
    </w:p>
    <w:p>
      <w:pPr>
        <w:pStyle w:val="Heading3"/>
        <w:pStyle w:val="MdHeading3"/>
      </w:pPr>
      <w:r>
        <w:t xml:space="preserve">PM-UI-001 — Desktop dashboard has excessive information density</w:t>
      </w:r>
    </w:p>
    <w:p>
      <w:pPr>
        <w:pStyle w:val="MdParagraph"/>
      </w:pPr>
      <w:r>
        <w:rPr>
          <w:rStyle w:val="MdStrong"/>
          <w:b/>
          <w:bCs/>
        </w:rPr>
        <w:t xml:space="preserve">Status:</w:t>
      </w:r>
      <w:r>
        <w:t xml:space="preserve"> Confirmed visual observation</w:t>
      </w:r>
      <w:r>
        <w:rPr>
          <w:rStyle w:val="MdBr"/>
        </w:rPr>
        <w:br/>
        <w:t xml:space="preserve"/>
      </w:r>
      <w:r>
        <w:rPr>
          <w:rStyle w:val="MdStrong"/>
          <w:b/>
          <w:bCs/>
        </w:rPr>
        <w:t xml:space="preserve">Severity:</w:t>
      </w:r>
      <w:r>
        <w:t xml:space="preserve"> Medium</w:t>
      </w:r>
      <w:r>
        <w:rPr>
          <w:rStyle w:val="MdBr"/>
        </w:rPr>
        <w:br/>
        <w:t xml:space="preserve"/>
      </w:r>
      <w:r>
        <w:rPr>
          <w:rStyle w:val="MdStrong"/>
          <w:b/>
          <w:bCs/>
        </w:rPr>
        <w:t xml:space="preserve">Priority:</w:t>
      </w:r>
      <w:r>
        <w:t xml:space="preserve"> P1</w:t>
      </w:r>
    </w:p>
    <w:p>
      <w:pPr>
        <w:pStyle w:val="MdSpace"/>
        <w:spacing w:before="0" w:after="60"/>
      </w:pPr>
    </w:p>
    <w:p>
      <w:pPr>
        <w:pStyle w:val="Heading4"/>
        <w:pStyle w:val="MdHeading4"/>
      </w:pPr>
      <w:r>
        <w:t xml:space="preserve">Evidence</w:t>
      </w:r>
    </w:p>
    <w:p>
      <w:pPr>
        <w:pStyle w:val="MdParagraph"/>
      </w:pPr>
      <w:r>
        <w:t xml:space="preserve">The desktop homepage visibly combines a fixed sidebar, three summary cards, a large recommendation panel, three explanatory cards, and additional downstream content. The main recommendation title wraps over two lines, and the supporting cards contain multiple sentences in narrow columns.</w:t>
      </w:r>
    </w:p>
    <w:p>
      <w:pPr>
        <w:pStyle w:val="MdSpace"/>
        <w:spacing w:before="0" w:after="60"/>
      </w:pPr>
    </w:p>
    <w:p>
      <w:pPr>
        <w:pStyle w:val="MdParagraph"/>
      </w:pPr>
      <w:r>
        <w:t xml:space="preserve">This is a visual-quality issue, not a functional failure. It was observed directly in the connected browser.</w:t>
      </w:r>
    </w:p>
    <w:p>
      <w:pPr>
        <w:pStyle w:val="MdSpace"/>
        <w:spacing w:before="0" w:after="60"/>
      </w:pPr>
    </w:p>
    <w:p>
      <w:pPr>
        <w:pStyle w:val="Heading4"/>
        <w:pStyle w:val="MdHeading4"/>
      </w:pPr>
      <w:r>
        <w:t xml:space="preserve">User impact</w:t>
      </w:r>
    </w:p>
    <w:p>
      <w:pPr>
        <w:pStyle w:val="MdParagraph"/>
      </w:pPr>
      <w:r>
        <w:t xml:space="preserve">The dashboard requires substantial scanning before the user reaches the main action. Equal-weight cards compete with the “What should I do now?” recommendation.</w:t>
      </w:r>
    </w:p>
    <w:p>
      <w:pPr>
        <w:pStyle w:val="MdSpace"/>
        <w:spacing w:before="0" w:after="60"/>
      </w:pPr>
    </w:p>
    <w:p>
      <w:pPr>
        <w:pStyle w:val="Heading4"/>
        <w:pStyle w:val="MdHeading4"/>
      </w:pPr>
      <w:r>
        <w:t xml:space="preserve">Fix</w:t>
      </w:r>
    </w:p>
    <w:p>
      <w:pPr>
        <w:pStyle w:val="MdParagraph"/>
      </w:pPr>
      <w:r>
        <w:t xml:space="preserve">Keep the three summary items but reduce their visual weight. Make the recommendation card the clear focal point. Reduce secondary card padding and use shorter evidence summaries. At desktop widths, use a compact summary strip above the action card rather than four equally prominent card groups.</w:t>
      </w:r>
    </w:p>
    <w:p>
      <w:pPr>
        <w:pStyle w:val="MdSpace"/>
        <w:spacing w:before="0" w:after="60"/>
      </w:pPr>
    </w:p>
    <w:p>
      <w:pPr>
        <w:pStyle w:val="Heading4"/>
        <w:pStyle w:val="MdHeading4"/>
      </w:pPr>
      <w:r>
        <w:t xml:space="preserve">Acceptance test</w:t>
      </w:r>
    </w:p>
    <w:p>
      <w:pPr>
        <w:pStyle w:val="MdParagraph"/>
      </w:pPr>
      <w:r>
        <w:t xml:space="preserve">A first-time user should identify the recommended next action within five seconds without reading every supporting card. The primary action must remain visually dominant at 1024 px and 1280 px widths.</w:t>
      </w:r>
    </w:p>
    <w:p>
      <w:pPr>
        <w:pStyle w:val="MdSpace"/>
        <w:spacing w:before="0" w:after="60"/>
      </w:pPr>
    </w:p>
    <w:p>
      <w:pPr>
        <w:pStyle w:val="Heading3"/>
        <w:pStyle w:val="MdHeading3"/>
      </w:pPr>
      <w:r>
        <w:t xml:space="preserve">PM-UI-002 — Primary and secondary action hierarchy is insufficiently distinct</w:t>
      </w:r>
    </w:p>
    <w:p>
      <w:pPr>
        <w:pStyle w:val="MdParagraph"/>
      </w:pPr>
      <w:r>
        <w:rPr>
          <w:rStyle w:val="MdStrong"/>
          <w:b/>
          <w:bCs/>
        </w:rPr>
        <w:t xml:space="preserve">Status:</w:t>
      </w:r>
      <w:r>
        <w:t xml:space="preserve"> Confirmed visual observation</w:t>
      </w:r>
      <w:r>
        <w:rPr>
          <w:rStyle w:val="MdBr"/>
        </w:rPr>
        <w:br/>
        <w:t xml:space="preserve"/>
      </w:r>
      <w:r>
        <w:rPr>
          <w:rStyle w:val="MdStrong"/>
          <w:b/>
          <w:bCs/>
        </w:rPr>
        <w:t xml:space="preserve">Severity:</w:t>
      </w:r>
      <w:r>
        <w:t xml:space="preserve"> Medium</w:t>
      </w:r>
      <w:r>
        <w:rPr>
          <w:rStyle w:val="MdBr"/>
        </w:rPr>
        <w:br/>
        <w:t xml:space="preserve"/>
      </w:r>
      <w:r>
        <w:rPr>
          <w:rStyle w:val="MdStrong"/>
          <w:b/>
          <w:bCs/>
        </w:rPr>
        <w:t xml:space="preserve">Priority:</w:t>
      </w:r>
      <w:r>
        <w:t xml:space="preserve"> P1</w:t>
      </w:r>
    </w:p>
    <w:p>
      <w:pPr>
        <w:pStyle w:val="MdSpace"/>
        <w:spacing w:before="0" w:after="60"/>
      </w:pPr>
    </w:p>
    <w:p>
      <w:pPr>
        <w:pStyle w:val="Heading4"/>
        <w:pStyle w:val="MdHeading4"/>
      </w:pPr>
      <w:r>
        <w:t xml:space="preserve">Evidence</w:t>
      </w:r>
    </w:p>
    <w:p>
      <w:pPr>
        <w:pStyle w:val="MdParagraph"/>
      </w:pPr>
      <w:r>
        <w:t xml:space="preserve">On the homepage, “Why This Recommendation?” and “Take Action Now” are displayed as adjacent prominent controls. On the assessment page, “Attach Portfolio / Links” and “Begin Assessment (23 Steps)” appear in the same general decision area.</w:t>
      </w:r>
    </w:p>
    <w:p>
      <w:pPr>
        <w:pStyle w:val="MdSpace"/>
        <w:spacing w:before="0" w:after="60"/>
      </w:pPr>
    </w:p>
    <w:p>
      <w:pPr>
        <w:pStyle w:val="Heading4"/>
        <w:pStyle w:val="MdHeading4"/>
      </w:pPr>
      <w:r>
        <w:t xml:space="preserve">User impact</w:t>
      </w:r>
    </w:p>
    <w:p>
      <w:pPr>
        <w:pStyle w:val="MdParagraph"/>
      </w:pPr>
      <w:r>
        <w:t xml:space="preserve">The user must distinguish an explanatory action from a progression action. The visual treatment makes this distinction less immediate than it should be.</w:t>
      </w:r>
    </w:p>
    <w:p>
      <w:pPr>
        <w:pStyle w:val="MdSpace"/>
        <w:spacing w:before="0" w:after="60"/>
      </w:pPr>
    </w:p>
    <w:p>
      <w:pPr>
        <w:pStyle w:val="Heading4"/>
        <w:pStyle w:val="MdHeading4"/>
      </w:pPr>
      <w:r>
        <w:t xml:space="preserve">Fix</w:t>
      </w:r>
    </w:p>
    <w:p>
      <w:pPr>
        <w:pStyle w:val="MdParagraph"/>
      </w:pPr>
      <w:r>
        <w:t xml:space="preserve">Use one filled primary action per decision area. Use an outlined secondary button for explanation and a text-style tertiary action for optional attachment. Give the primary action a minimum height of 44–48 px and use a direct verb.</w:t>
      </w:r>
    </w:p>
    <w:p>
      <w:pPr>
        <w:pStyle w:val="MdSpace"/>
        <w:spacing w:before="0" w:after="60"/>
      </w:pPr>
    </w:p>
    <w:p>
      <w:pPr>
        <w:pStyle w:val="Heading4"/>
        <w:pStyle w:val="MdHeading4"/>
      </w:pPr>
      <w:r>
        <w:t xml:space="preserve">Acceptance test</w:t>
      </w:r>
    </w:p>
    <w:p>
      <w:pPr>
        <w:pStyle w:val="MdParagraph"/>
      </w:pPr>
      <w:r>
        <w:t xml:space="preserve">A reviewer should identify the action that advances the workflow without reading the full surrounding copy. The explanatory action must remain available without competing visually with the progression action.</w:t>
      </w:r>
    </w:p>
    <w:p>
      <w:pPr>
        <w:pStyle w:val="MdSpace"/>
        <w:spacing w:before="0" w:after="60"/>
      </w:pPr>
    </w:p>
    <w:p>
      <w:pPr>
        <w:pStyle w:val="Heading3"/>
        <w:pStyle w:val="MdHeading3"/>
      </w:pPr>
      <w:r>
        <w:t xml:space="preserve">PM-UI-003 — Fixed navigation rail consumes 288 px of desktop width</w:t>
      </w:r>
    </w:p>
    <w:p>
      <w:pPr>
        <w:pStyle w:val="MdParagraph"/>
      </w:pPr>
      <w:r>
        <w:rPr>
          <w:rStyle w:val="MdStrong"/>
          <w:b/>
          <w:bCs/>
        </w:rPr>
        <w:t xml:space="preserve">Status:</w:t>
      </w:r>
      <w:r>
        <w:t xml:space="preserve"> Confirmed by deployed markup and visual inspection</w:t>
      </w:r>
      <w:r>
        <w:rPr>
          <w:rStyle w:val="MdBr"/>
        </w:rPr>
        <w:br/>
        <w:t xml:space="preserve"/>
      </w:r>
      <w:r>
        <w:rPr>
          <w:rStyle w:val="MdStrong"/>
          <w:b/>
          <w:bCs/>
        </w:rPr>
        <w:t xml:space="preserve">Severity:</w:t>
      </w:r>
      <w:r>
        <w:t xml:space="preserve"> Medium</w:t>
      </w:r>
      <w:r>
        <w:rPr>
          <w:rStyle w:val="MdBr"/>
        </w:rPr>
        <w:br/>
        <w:t xml:space="preserve"/>
      </w:r>
      <w:r>
        <w:rPr>
          <w:rStyle w:val="MdStrong"/>
          <w:b/>
          <w:bCs/>
        </w:rPr>
        <w:t xml:space="preserve">Priority:</w:t>
      </w:r>
      <w:r>
        <w:t xml:space="preserve"> P2</w:t>
      </w:r>
    </w:p>
    <w:p>
      <w:pPr>
        <w:pStyle w:val="MdSpace"/>
        <w:spacing w:before="0" w:after="60"/>
      </w:pPr>
    </w:p>
    <w:p>
      <w:pPr>
        <w:pStyle w:val="Heading4"/>
        <w:pStyle w:val="MdHeading4"/>
      </w:pPr>
      <w:r>
        <w:t xml:space="preserve">Evidence</w:t>
      </w:r>
    </w:p>
    <w:p>
      <w:pPr>
        <w:pStyle w:val="MdParagraph"/>
      </w:pPr>
      <w:r>
        <w:t xml:space="preserve">The deployed navigation uses </w:t>
      </w:r>
      <w:r>
        <w:rPr>
          <w:rStyle w:val="MdCode"/>
          <w:u w:val="single"/>
        </w:rPr>
        <w:t xml:space="preserve">w-72</w:t>
      </w:r>
      <w:r>
        <w:t xml:space="preserve">, equivalent to 288 px, and is fixed to the left side of the viewport. Main content uses </w:t>
      </w:r>
      <w:r>
        <w:rPr>
          <w:rStyle w:val="MdCode"/>
          <w:u w:val="single"/>
        </w:rPr>
        <w:t xml:space="preserve">md:ml-72</w:t>
      </w:r>
      <w:r>
        <w:t xml:space="preserve"> to offset the same width.</w:t>
      </w:r>
    </w:p>
    <w:p>
      <w:pPr>
        <w:pStyle w:val="MdSpace"/>
        <w:spacing w:before="0" w:after="60"/>
      </w:pPr>
    </w:p>
    <w:p>
      <w:pPr>
        <w:pStyle w:val="Heading4"/>
        <w:pStyle w:val="MdHeading4"/>
      </w:pPr>
      <w:r>
        <w:t xml:space="preserve">User impact</w:t>
      </w:r>
    </w:p>
    <w:p>
      <w:pPr>
        <w:pStyle w:val="MdParagraph"/>
      </w:pPr>
      <w:r>
        <w:t xml:space="preserve">At laptop-sized desktop widths, the remaining content canvas is reduced. Long dashboard titles and three-column cards therefore wrap earlier and grow vertically.</w:t>
      </w:r>
    </w:p>
    <w:p>
      <w:pPr>
        <w:pStyle w:val="MdSpace"/>
        <w:spacing w:before="0" w:after="60"/>
      </w:pPr>
    </w:p>
    <w:p>
      <w:pPr>
        <w:pStyle w:val="Heading4"/>
        <w:pStyle w:val="MdHeading4"/>
      </w:pPr>
      <w:r>
        <w:t xml:space="preserve">Fix</w:t>
      </w:r>
    </w:p>
    <w:p>
      <w:pPr>
        <w:pStyle w:val="MdParagraph"/>
      </w:pPr>
      <w:r>
        <w:t xml:space="preserve">Retain the 288 px rail only at large desktop widths. At intermediate widths, reduce it to 240–256 px or provide a compact collapsible rail. Preserve the active chapter label and make secondary navigation less visually heavy.</w:t>
      </w:r>
    </w:p>
    <w:p>
      <w:pPr>
        <w:pStyle w:val="MdSpace"/>
        <w:spacing w:before="0" w:after="60"/>
      </w:pPr>
    </w:p>
    <w:p>
      <w:pPr>
        <w:pStyle w:val="Heading4"/>
        <w:pStyle w:val="MdHeading4"/>
      </w:pPr>
      <w:r>
        <w:t xml:space="preserve">Acceptance test</w:t>
      </w:r>
    </w:p>
    <w:p>
      <w:pPr>
        <w:pStyle w:val="MdParagraph"/>
      </w:pPr>
      <w:r>
        <w:t xml:space="preserve">At 1024 px and 1280 px widths, the main recommendation title and summary cards should not feel cramped, and the sidebar should not force avoidable wrapping in primary content.</w:t>
      </w:r>
    </w:p>
    <w:p>
      <w:pPr>
        <w:pStyle w:val="MdSpace"/>
        <w:spacing w:before="0" w:after="60"/>
      </w:pPr>
    </w:p>
    <w:p>
      <w:pPr>
        <w:pStyle w:val="Heading3"/>
        <w:pStyle w:val="MdHeading3"/>
      </w:pPr>
      <w:r>
        <w:t xml:space="preserve">PM-UI-004 — Spacing scale is not documented or consistently expressed</w:t>
      </w:r>
    </w:p>
    <w:p>
      <w:pPr>
        <w:pStyle w:val="MdParagraph"/>
      </w:pPr>
      <w:r>
        <w:rPr>
          <w:rStyle w:val="MdStrong"/>
          <w:b/>
          <w:bCs/>
        </w:rPr>
        <w:t xml:space="preserve">Status:</w:t>
      </w:r>
      <w:r>
        <w:t xml:space="preserve"> Confirmed implementation observation</w:t>
      </w:r>
      <w:r>
        <w:rPr>
          <w:rStyle w:val="MdBr"/>
        </w:rPr>
        <w:br/>
        <w:t xml:space="preserve"/>
      </w:r>
      <w:r>
        <w:rPr>
          <w:rStyle w:val="MdStrong"/>
          <w:b/>
          <w:bCs/>
        </w:rPr>
        <w:t xml:space="preserve">Severity:</w:t>
      </w:r>
      <w:r>
        <w:t xml:space="preserve"> Low/Medium</w:t>
      </w:r>
      <w:r>
        <w:rPr>
          <w:rStyle w:val="MdBr"/>
        </w:rPr>
        <w:br/>
        <w:t xml:space="preserve"/>
      </w:r>
      <w:r>
        <w:rPr>
          <w:rStyle w:val="MdStrong"/>
          <w:b/>
          <w:bCs/>
        </w:rPr>
        <w:t xml:space="preserve">Priority:</w:t>
      </w:r>
      <w:r>
        <w:t xml:space="preserve"> P2</w:t>
      </w:r>
    </w:p>
    <w:p>
      <w:pPr>
        <w:pStyle w:val="MdSpace"/>
        <w:spacing w:before="0" w:after="60"/>
      </w:pPr>
    </w:p>
    <w:p>
      <w:pPr>
        <w:pStyle w:val="Heading4"/>
        <w:pStyle w:val="MdHeading4"/>
      </w:pPr>
      <w:r>
        <w:t xml:space="preserve">Evidence</w:t>
      </w:r>
    </w:p>
    <w:p>
      <w:pPr>
        <w:pStyle w:val="MdParagraph"/>
      </w:pPr>
      <w:r>
        <w:t xml:space="preserve">The deployed classes use many spacing values across pages, including </w:t>
      </w:r>
      <w:r>
        <w:rPr>
          <w:rStyle w:val="MdCode"/>
          <w:u w:val="single"/>
        </w:rPr>
        <w:t xml:space="preserve">p-6</w:t>
      </w:r>
      <w:r>
        <w:t xml:space="preserve">, </w:t>
      </w:r>
      <w:r>
        <w:rPr>
          <w:rStyle w:val="MdCode"/>
          <w:u w:val="single"/>
        </w:rPr>
        <w:t xml:space="preserve">md:p-12</w:t>
      </w:r>
      <w:r>
        <w:t xml:space="preserve">, </w:t>
      </w:r>
      <w:r>
        <w:rPr>
          <w:rStyle w:val="MdCode"/>
          <w:u w:val="single"/>
        </w:rPr>
        <w:t xml:space="preserve">pt-8</w:t>
      </w:r>
      <w:r>
        <w:t xml:space="preserve">, </w:t>
      </w:r>
      <w:r>
        <w:rPr>
          <w:rStyle w:val="MdCode"/>
          <w:u w:val="single"/>
        </w:rPr>
        <w:t xml:space="preserve">pb-24</w:t>
      </w:r>
      <w:r>
        <w:t xml:space="preserve">, </w:t>
      </w:r>
      <w:r>
        <w:rPr>
          <w:rStyle w:val="MdCode"/>
          <w:u w:val="single"/>
        </w:rPr>
        <w:t xml:space="preserve">space-y-12</w:t>
      </w:r>
      <w:r>
        <w:t xml:space="preserve">, </w:t>
      </w:r>
      <w:r>
        <w:rPr>
          <w:rStyle w:val="MdCode"/>
          <w:u w:val="single"/>
        </w:rPr>
        <w:t xml:space="preserve">mb-10</w:t>
      </w:r>
      <w:r>
        <w:t xml:space="preserve">, </w:t>
      </w:r>
      <w:r>
        <w:rPr>
          <w:rStyle w:val="MdCode"/>
          <w:u w:val="single"/>
        </w:rPr>
        <w:t xml:space="preserve">mb-8</w:t>
      </w:r>
      <w:r>
        <w:t xml:space="preserve">, </w:t>
      </w:r>
      <w:r>
        <w:rPr>
          <w:rStyle w:val="MdCode"/>
          <w:u w:val="single"/>
        </w:rPr>
        <w:t xml:space="preserve">mt-16</w:t>
      </w:r>
      <w:r>
        <w:t xml:space="preserve">, </w:t>
      </w:r>
      <w:r>
        <w:rPr>
          <w:rStyle w:val="MdCode"/>
          <w:u w:val="single"/>
        </w:rPr>
        <w:t xml:space="preserve">p-8</w:t>
      </w:r>
      <w:r>
        <w:t xml:space="preserve">, and </w:t>
      </w:r>
      <w:r>
        <w:rPr>
          <w:rStyle w:val="MdCode"/>
          <w:u w:val="single"/>
        </w:rPr>
        <w:t xml:space="preserve">sm:p-10</w:t>
      </w:r>
      <w:r>
        <w:t xml:space="preserve">. The values are valid individually, but the implementation does not show a clearly enforced spacing token policy.</w:t>
      </w:r>
    </w:p>
    <w:p>
      <w:pPr>
        <w:pStyle w:val="MdSpace"/>
        <w:spacing w:before="0" w:after="60"/>
      </w:pPr>
    </w:p>
    <w:p>
      <w:pPr>
        <w:pStyle w:val="MdParagraph"/>
      </w:pPr>
      <w:r>
        <w:t xml:space="preserve">The result is visible: simple pages have large vertical gaps, while dense dashboard cards contain substantial amounts of text within compact grids.</w:t>
      </w:r>
    </w:p>
    <w:p>
      <w:pPr>
        <w:pStyle w:val="MdSpace"/>
        <w:spacing w:before="0" w:after="60"/>
      </w:pPr>
    </w:p>
    <w:p>
      <w:pPr>
        <w:pStyle w:val="Heading4"/>
        <w:pStyle w:val="MdHeading4"/>
      </w:pPr>
      <w:r>
        <w:t xml:space="preserve">Fix</w:t>
      </w:r>
    </w:p>
    <w:p>
      <w:pPr>
        <w:pStyle w:val="MdParagraph"/>
      </w:pPr>
      <w:r>
        <w:t xml:space="preserve">Adopt and document a spacing scale such as 4, 8, 12, 16, 24, 32, 48, and 64 px. Use 64 px only for major chapter transitions. Use 16–24 px inside cards and 24–32 px between related sections.</w:t>
      </w:r>
    </w:p>
    <w:p>
      <w:pPr>
        <w:pStyle w:val="MdSpace"/>
        <w:spacing w:before="0" w:after="60"/>
      </w:pPr>
    </w:p>
    <w:p>
      <w:pPr>
        <w:pStyle w:val="Heading4"/>
        <w:pStyle w:val="MdHeading4"/>
      </w:pPr>
      <w:r>
        <w:t xml:space="preserve">Acceptance test</w:t>
      </w:r>
    </w:p>
    <w:p>
      <w:pPr>
        <w:pStyle w:val="MdParagraph"/>
      </w:pPr>
      <w:r>
        <w:t xml:space="preserve">Review the homepage and assessment page side by side. Related components should use repeatable gaps, and no ordinary content transition should require an unexplained 96 px or larger effective gap.</w:t>
      </w:r>
    </w:p>
    <w:p>
      <w:pPr>
        <w:pStyle w:val="MdSpace"/>
        <w:spacing w:before="0" w:after="60"/>
      </w:pPr>
    </w:p>
    <w:p>
      <w:pPr>
        <w:pStyle w:val="Heading3"/>
        <w:pStyle w:val="MdHeading3"/>
      </w:pPr>
      <w:r>
        <w:t xml:space="preserve">PM-UI-005 — Supporting card copy is dense for its column width</w:t>
      </w:r>
    </w:p>
    <w:p>
      <w:pPr>
        <w:pStyle w:val="MdParagraph"/>
      </w:pPr>
      <w:r>
        <w:rPr>
          <w:rStyle w:val="MdStrong"/>
          <w:b/>
          <w:bCs/>
        </w:rPr>
        <w:t xml:space="preserve">Status:</w:t>
      </w:r>
      <w:r>
        <w:t xml:space="preserve"> Confirmed visual observation</w:t>
      </w:r>
      <w:r>
        <w:rPr>
          <w:rStyle w:val="MdBr"/>
        </w:rPr>
        <w:br/>
        <w:t xml:space="preserve"/>
      </w:r>
      <w:r>
        <w:rPr>
          <w:rStyle w:val="MdStrong"/>
          <w:b/>
          <w:bCs/>
        </w:rPr>
        <w:t xml:space="preserve">Severity:</w:t>
      </w:r>
      <w:r>
        <w:t xml:space="preserve"> Medium</w:t>
      </w:r>
      <w:r>
        <w:rPr>
          <w:rStyle w:val="MdBr"/>
        </w:rPr>
        <w:br/>
        <w:t xml:space="preserve"/>
      </w:r>
      <w:r>
        <w:rPr>
          <w:rStyle w:val="MdStrong"/>
          <w:b/>
          <w:bCs/>
        </w:rPr>
        <w:t xml:space="preserve">Priority:</w:t>
      </w:r>
      <w:r>
        <w:t xml:space="preserve"> P2</w:t>
      </w:r>
    </w:p>
    <w:p>
      <w:pPr>
        <w:pStyle w:val="MdSpace"/>
        <w:spacing w:before="0" w:after="60"/>
      </w:pPr>
    </w:p>
    <w:p>
      <w:pPr>
        <w:pStyle w:val="Heading4"/>
        <w:pStyle w:val="MdHeading4"/>
      </w:pPr>
      <w:r>
        <w:t xml:space="preserve">Evidence</w:t>
      </w:r>
    </w:p>
    <w:p>
      <w:pPr>
        <w:pStyle w:val="MdParagraph"/>
      </w:pPr>
      <w:r>
        <w:t xml:space="preserve">The homepage’s “Verified Facts,” “Cognitive Interpretation,” and “Tradeoffs &amp; Cost” cards contain long sentences within three side-by-side columns. The text wraps unevenly and causes the cards to carry different visual densities.</w:t>
      </w:r>
    </w:p>
    <w:p>
      <w:pPr>
        <w:pStyle w:val="MdSpace"/>
        <w:spacing w:before="0" w:after="60"/>
      </w:pPr>
    </w:p>
    <w:p>
      <w:pPr>
        <w:pStyle w:val="Heading4"/>
        <w:pStyle w:val="MdHeading4"/>
      </w:pPr>
      <w:r>
        <w:t xml:space="preserve">Fix</w:t>
      </w:r>
    </w:p>
    <w:p>
      <w:pPr>
        <w:pStyle w:val="MdParagraph"/>
      </w:pPr>
      <w:r>
        <w:t xml:space="preserve">Shorten each card to a concise summary. Keep detailed rationale behind an expandable “View details” interaction or move it below the card grid. Maintain readable line lengths and avoid placing several full sentences in narrow equal-width columns.</w:t>
      </w:r>
    </w:p>
    <w:p>
      <w:pPr>
        <w:pStyle w:val="MdSpace"/>
        <w:spacing w:before="0" w:after="60"/>
      </w:pPr>
    </w:p>
    <w:p>
      <w:pPr>
        <w:pStyle w:val="Heading4"/>
        <w:pStyle w:val="MdHeading4"/>
      </w:pPr>
      <w:r>
        <w:t xml:space="preserve">Acceptance test</w:t>
      </w:r>
    </w:p>
    <w:p>
      <w:pPr>
        <w:pStyle w:val="MdParagraph"/>
      </w:pPr>
      <w:r>
        <w:t xml:space="preserve">At 1280 px width, the three supporting cards should have comparable visual density and should not require the user to read paragraph-length text inside every card before taking action.</w:t>
      </w:r>
    </w:p>
    <w:p>
      <w:pPr>
        <w:pStyle w:val="MdSpace"/>
        <w:spacing w:before="0" w:after="60"/>
      </w:pPr>
    </w:p>
    <w:p>
      <w:pPr>
        <w:pStyle w:val="Heading3"/>
        <w:pStyle w:val="MdHeading3"/>
      </w:pPr>
      <w:r>
        <w:t xml:space="preserve">PM-UI-006 — Decorative typography is used alongside critical functional text</w:t>
      </w:r>
    </w:p>
    <w:p>
      <w:pPr>
        <w:pStyle w:val="MdParagraph"/>
      </w:pPr>
      <w:r>
        <w:rPr>
          <w:rStyle w:val="MdStrong"/>
          <w:b/>
          <w:bCs/>
        </w:rPr>
        <w:t xml:space="preserve">Status:</w:t>
      </w:r>
      <w:r>
        <w:t xml:space="preserve"> Confirmed visual observation</w:t>
      </w:r>
      <w:r>
        <w:rPr>
          <w:rStyle w:val="MdBr"/>
        </w:rPr>
        <w:br/>
        <w:t xml:space="preserve"/>
      </w:r>
      <w:r>
        <w:rPr>
          <w:rStyle w:val="MdStrong"/>
          <w:b/>
          <w:bCs/>
        </w:rPr>
        <w:t xml:space="preserve">Severity:</w:t>
      </w:r>
      <w:r>
        <w:t xml:space="preserve"> Low/Medium</w:t>
      </w:r>
      <w:r>
        <w:rPr>
          <w:rStyle w:val="MdBr"/>
        </w:rPr>
        <w:br/>
        <w:t xml:space="preserve"/>
      </w:r>
      <w:r>
        <w:rPr>
          <w:rStyle w:val="MdStrong"/>
          <w:b/>
          <w:bCs/>
        </w:rPr>
        <w:t xml:space="preserve">Priority:</w:t>
      </w:r>
      <w:r>
        <w:t xml:space="preserve"> P2</w:t>
      </w:r>
    </w:p>
    <w:p>
      <w:pPr>
        <w:pStyle w:val="MdSpace"/>
        <w:spacing w:before="0" w:after="60"/>
      </w:pPr>
    </w:p>
    <w:p>
      <w:pPr>
        <w:pStyle w:val="Heading4"/>
        <w:pStyle w:val="MdHeading4"/>
      </w:pPr>
      <w:r>
        <w:t xml:space="preserve">Evidence</w:t>
      </w:r>
    </w:p>
    <w:p>
      <w:pPr>
        <w:pStyle w:val="MdParagraph"/>
      </w:pPr>
      <w:r>
        <w:t xml:space="preserve">The interface uses large italic and handwritten typography for chapter labels, subtitles, prompts, and some action-adjacent text. This is directly visible on the homepage, onboarding page, and assessment page.</w:t>
      </w:r>
    </w:p>
    <w:p>
      <w:pPr>
        <w:pStyle w:val="MdSpace"/>
        <w:spacing w:before="0" w:after="60"/>
      </w:pPr>
    </w:p>
    <w:p>
      <w:pPr>
        <w:pStyle w:val="Heading4"/>
        <w:pStyle w:val="MdHeading4"/>
      </w:pPr>
      <w:r>
        <w:t xml:space="preserve">Fix</w:t>
      </w:r>
    </w:p>
    <w:p>
      <w:pPr>
        <w:pStyle w:val="MdParagraph"/>
      </w:pPr>
      <w:r>
        <w:t xml:space="preserve">Keep handwritten typography for annotation and brand expression. Use the standard functional typeface for required instructions, validation messages, primary actions, and outcome explanations. Ensure decorative text is not the only carrier of meaning.</w:t>
      </w:r>
    </w:p>
    <w:p>
      <w:pPr>
        <w:pStyle w:val="MdSpace"/>
        <w:spacing w:before="0" w:after="60"/>
      </w:pPr>
    </w:p>
    <w:p>
      <w:pPr>
        <w:pStyle w:val="Heading4"/>
        <w:pStyle w:val="MdHeading4"/>
      </w:pPr>
      <w:r>
        <w:t xml:space="preserve">Acceptance test</w:t>
      </w:r>
    </w:p>
    <w:p>
      <w:pPr>
        <w:pStyle w:val="MdParagraph"/>
      </w:pPr>
      <w:r>
        <w:t xml:space="preserve">A user can understand every required task, action, and warning without relying on script-like or decorative text styles.</w:t>
      </w:r>
    </w:p>
    <w:p>
      <w:pPr>
        <w:pStyle w:val="MdSpace"/>
        <w:spacing w:before="0" w:after="60"/>
      </w:pPr>
    </w:p>
    <w:p>
      <w:pPr>
        <w:pStyle w:val="Heading3"/>
        <w:pStyle w:val="MdHeading3"/>
      </w:pPr>
      <w:r>
        <w:t xml:space="preserve">PM-A11Y-001 — Notification button lacks an explicit accessible label</w:t>
      </w:r>
    </w:p>
    <w:p>
      <w:pPr>
        <w:pStyle w:val="MdParagraph"/>
      </w:pPr>
      <w:r>
        <w:rPr>
          <w:rStyle w:val="MdStrong"/>
          <w:b/>
          <w:bCs/>
        </w:rPr>
        <w:t xml:space="preserve">Status:</w:t>
      </w:r>
      <w:r>
        <w:t xml:space="preserve"> Confirmed by deployed HTML inspection</w:t>
      </w:r>
      <w:r>
        <w:rPr>
          <w:rStyle w:val="MdBr"/>
        </w:rPr>
        <w:br/>
        <w:t xml:space="preserve"/>
      </w:r>
      <w:r>
        <w:rPr>
          <w:rStyle w:val="MdStrong"/>
          <w:b/>
          <w:bCs/>
        </w:rPr>
        <w:t xml:space="preserve">Severity:</w:t>
      </w:r>
      <w:r>
        <w:t xml:space="preserve"> Medium</w:t>
      </w:r>
      <w:r>
        <w:rPr>
          <w:rStyle w:val="MdBr"/>
        </w:rPr>
        <w:br/>
        <w:t xml:space="preserve"/>
      </w:r>
      <w:r>
        <w:rPr>
          <w:rStyle w:val="MdStrong"/>
          <w:b/>
          <w:bCs/>
        </w:rPr>
        <w:t xml:space="preserve">Priority:</w:t>
      </w:r>
      <w:r>
        <w:t xml:space="preserve"> P2</w:t>
      </w:r>
    </w:p>
    <w:p>
      <w:pPr>
        <w:pStyle w:val="MdSpace"/>
        <w:spacing w:before="0" w:after="60"/>
      </w:pPr>
    </w:p>
    <w:p>
      <w:pPr>
        <w:pStyle w:val="Heading4"/>
        <w:pStyle w:val="MdHeading4"/>
      </w:pPr>
      <w:r>
        <w:t xml:space="preserve">Evidence</w:t>
      </w:r>
    </w:p>
    <w:p>
      <w:pPr>
        <w:pStyle w:val="MdParagraph"/>
      </w:pPr>
      <w:r>
        <w:t xml:space="preserve">The notification control is a button containing a bell icon. It has a </w:t>
      </w:r>
      <w:r>
        <w:rPr>
          <w:rStyle w:val="MdCode"/>
          <w:u w:val="single"/>
        </w:rPr>
        <w:t xml:space="preserve">title="Proactive Notifications"</w:t>
      </w:r>
      <w:r>
        <w:t xml:space="preserve">, but the inspected markup does not include an explicit </w:t>
      </w:r>
      <w:r>
        <w:rPr>
          <w:rStyle w:val="MdCode"/>
          <w:u w:val="single"/>
        </w:rPr>
        <w:t xml:space="preserve">aria-label</w:t>
      </w:r>
      <w:r>
        <w:t xml:space="preserve"> on that button. A title attribute is not an adequate replacement for a robust accessible name in all assistive-technology contexts.</w:t>
      </w:r>
    </w:p>
    <w:p>
      <w:pPr>
        <w:pStyle w:val="MdSpace"/>
        <w:spacing w:before="0" w:after="60"/>
      </w:pPr>
    </w:p>
    <w:p>
      <w:pPr>
        <w:pStyle w:val="Heading4"/>
        <w:pStyle w:val="MdHeading4"/>
      </w:pPr>
      <w:r>
        <w:t xml:space="preserve">Fix</w:t>
      </w:r>
    </w:p>
    <w:p>
      <w:pPr>
        <w:pStyle w:val="MdParagraph"/>
      </w:pPr>
      <w:r>
        <w:t xml:space="preserve">Add an explicit accessible name and state: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aria-label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"Proactive notifications"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aria-expanded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Space"/>
        <w:spacing w:before="0" w:after="60"/>
      </w:pPr>
    </w:p>
    <w:p>
      <w:pPr>
        <w:pStyle w:val="MdParagraph"/>
      </w:pPr>
      <w:r>
        <w:t xml:space="preserve">If the control opens a panel, update </w:t>
      </w:r>
      <w:r>
        <w:rPr>
          <w:rStyle w:val="MdCode"/>
          <w:u w:val="single"/>
        </w:rPr>
        <w:t xml:space="preserve">aria-expanded</w:t>
      </w:r>
      <w:r>
        <w:t xml:space="preserve"> and connect it with </w:t>
      </w:r>
      <w:r>
        <w:rPr>
          <w:rStyle w:val="MdCode"/>
          <w:u w:val="single"/>
        </w:rPr>
        <w:t xml:space="preserve">aria-controls</w:t>
      </w:r>
      <w:r>
        <w:t xml:space="preserve">. Ensure the panel receives focus appropriately.</w:t>
      </w:r>
    </w:p>
    <w:p>
      <w:pPr>
        <w:pStyle w:val="MdSpace"/>
        <w:spacing w:before="0" w:after="60"/>
      </w:pPr>
    </w:p>
    <w:p>
      <w:pPr>
        <w:pStyle w:val="Heading4"/>
        <w:pStyle w:val="MdHeading4"/>
      </w:pPr>
      <w:r>
        <w:t xml:space="preserve">Acceptance test</w:t>
      </w:r>
    </w:p>
    <w:p>
      <w:pPr>
        <w:pStyle w:val="MdParagraph"/>
      </w:pPr>
      <w:r>
        <w:t xml:space="preserve">A screen reader announces the control as “Proactive notifications, button.” Keyboard users can focus it visibly and operate it without a pointer.</w:t>
      </w:r>
    </w:p>
    <w:p>
      <w:pPr>
        <w:pStyle w:val="MdSpace"/>
        <w:spacing w:before="0" w:after="60"/>
      </w:pPr>
    </w:p>
    <w:p>
      <w:pPr>
        <w:pStyle w:val="Heading2"/>
        <w:pStyle w:val="MdHeading2"/>
      </w:pPr>
      <w:r>
        <w:t xml:space="preserve">6. Issues Not Classified as Confirmed Defects</w:t>
      </w:r>
    </w:p>
    <w:p>
      <w:pPr>
        <w:pStyle w:val="Heading3"/>
        <w:pStyle w:val="MdHeading3"/>
      </w:pPr>
      <w:r>
        <w:t xml:space="preserve">Mobile responsive behavior</w:t>
      </w:r>
    </w:p>
    <w:p>
      <w:pPr>
        <w:pStyle w:val="MdParagraph"/>
      </w:pPr>
      <w:r>
        <w:t xml:space="preserve">The source confirms a desktop navigation rule, </w:t>
      </w:r>
      <w:r>
        <w:rPr>
          <w:rStyle w:val="MdCode"/>
          <w:u w:val="single"/>
        </w:rPr>
        <w:t xml:space="preserve">hidden md:flex</w:t>
      </w:r>
      <w:r>
        <w:t xml:space="preserve">, and a separate mobile header rule, </w:t>
      </w:r>
      <w:r>
        <w:rPr>
          <w:rStyle w:val="MdCode"/>
          <w:u w:val="single"/>
        </w:rPr>
        <w:t xml:space="preserve">md:hidden</w:t>
      </w:r>
      <w:r>
        <w:t xml:space="preserve">. The HTML also includes a viewport meta tag. These are positive implementation signals, but they do not prove that every page works at every mobile width.</w:t>
      </w:r>
    </w:p>
    <w:p>
      <w:pPr>
        <w:pStyle w:val="MdSpace"/>
        <w:spacing w:before="0" w:after="60"/>
      </w:pPr>
    </w:p>
    <w:p>
      <w:pPr>
        <w:pStyle w:val="MdParagraph"/>
      </w:pPr>
      <w:r>
        <w:t xml:space="preserve">A headless test requested 320, 375, and 390 px windows but reported a 485 px CSS layout viewport for all three runs. Because the harness did not produce the requested viewport, it is invalid to claim confirmed mobile overflow or clipping from that run.</w:t>
      </w:r>
    </w:p>
    <w:p>
      <w:pPr>
        <w:pStyle w:val="MdSpace"/>
        <w:spacing w:before="0" w:after="60"/>
      </w:pPr>
    </w:p>
    <w:p>
      <w:pPr>
        <w:pStyle w:val="MdParagraph"/>
      </w:pPr>
      <w:r>
        <w:rPr>
          <w:rStyle w:val="MdStrong"/>
          <w:b/>
          <w:bCs/>
        </w:rPr>
        <w:t xml:space="preserve">Required follow-up:</w:t>
      </w:r>
      <w:r>
        <w:t xml:space="preserve"> Test with real device emulation or a connected mobile browser at 320 × 667, 375 × 812, and 390 × 844. Record screenshots and Network/Console output. Only log a mobile defect after reproducing it.</w:t>
      </w:r>
    </w:p>
    <w:p>
      <w:pPr>
        <w:pStyle w:val="MdSpace"/>
        <w:spacing w:before="0" w:after="60"/>
      </w:pPr>
    </w:p>
    <w:p>
      <w:pPr>
        <w:pStyle w:val="Heading3"/>
        <w:pStyle w:val="MdHeading3"/>
      </w:pPr>
      <w:r>
        <w:t xml:space="preserve">“Users see only code” report</w:t>
      </w:r>
    </w:p>
    <w:p>
      <w:pPr>
        <w:pStyle w:val="MdParagraph"/>
      </w:pPr>
      <w:r>
        <w:t xml:space="preserve">The exact supplied public URL rendered the intended interface in both connected and clean headless browsers. The report of a code-only screen is therefore not reproduced.</w:t>
      </w:r>
    </w:p>
    <w:p>
      <w:pPr>
        <w:pStyle w:val="MdSpace"/>
        <w:spacing w:before="0" w:after="60"/>
      </w:pPr>
    </w:p>
    <w:p>
      <w:pPr>
        <w:pStyle w:val="MdParagraph"/>
      </w:pPr>
      <w:r>
        <w:rPr>
          <w:rStyle w:val="MdStrong"/>
          <w:b/>
          <w:bCs/>
        </w:rPr>
        <w:t xml:space="preserve">Required follow-up:</w:t>
      </w:r>
      <w:r>
        <w:t xml:space="preserve"> Collect the exact URL and screenshot from each affected reviewer. A URL containing </w:t>
      </w:r>
      <w:r>
        <w:rPr>
          <w:rStyle w:val="MdCode"/>
          <w:u w:val="single"/>
        </w:rPr>
        <w:t xml:space="preserve">/blob/</w:t>
      </w:r>
      <w:r>
        <w:t xml:space="preserve">, </w:t>
      </w:r>
      <w:r>
        <w:rPr>
          <w:rStyle w:val="MdCode"/>
          <w:u w:val="single"/>
        </w:rPr>
        <w:t xml:space="preserve">/raw/</w:t>
      </w:r>
      <w:r>
        <w:t xml:space="preserve">, </w:t>
      </w:r>
      <w:r>
        <w:rPr>
          <w:rStyle w:val="MdCode"/>
          <w:u w:val="single"/>
        </w:rPr>
        <w:t xml:space="preserve">/_next/static/</w:t>
      </w:r>
      <w:r>
        <w:t xml:space="preserve">, </w:t>
      </w:r>
      <w:r>
        <w:rPr>
          <w:rStyle w:val="MdCode"/>
          <w:u w:val="single"/>
        </w:rPr>
        <w:t xml:space="preserve">.js</w:t>
      </w:r>
      <w:r>
        <w:t xml:space="preserve">, or </w:t>
      </w:r>
      <w:r>
        <w:rPr>
          <w:rStyle w:val="MdCode"/>
          <w:u w:val="single"/>
        </w:rPr>
        <w:t xml:space="preserve">.css</w:t>
      </w:r>
      <w:r>
        <w:t xml:space="preserve"> indicates that the reviewer is viewing source or an asset rather than the application. If the exact live URL is shown in the screenshot, repeat the test with that browser, device, and network context.</w:t>
      </w:r>
    </w:p>
    <w:p>
      <w:pPr>
        <w:pStyle w:val="MdSpace"/>
        <w:spacing w:before="0" w:after="60"/>
      </w:pPr>
    </w:p>
    <w:p>
      <w:pPr>
        <w:pStyle w:val="Heading2"/>
        <w:pStyle w:val="MdHeading2"/>
      </w:pPr>
      <w:r>
        <w:t xml:space="preserve">7. Concrete Release Fix Plan</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Order</w:t>
            </w:r>
          </w:p>
        </w:tc>
        <w:tc>
          <w:tcPr>
            <w:tcMar>
              <w:top w:type="dxa" w:w="100"/>
              <w:left w:type="dxa" w:w="120"/>
              <w:bottom w:type="dxa" w:w="100"/>
              <w:right w:type="dxa" w:w="120"/>
            </w:tcMar>
            <w:vAlign w:val="center"/>
          </w:tcPr>
          <w:p>
            <w:pPr>
              <w:pStyle w:val="MdTableHeader"/>
            </w:pPr>
            <w:r>
              <w:t xml:space="preserve">Fix</w:t>
            </w:r>
          </w:p>
        </w:tc>
        <w:tc>
          <w:tcPr>
            <w:tcBorders>
              <w:right w:val="none"/>
            </w:tcBorders>
            <w:tcMar>
              <w:top w:type="dxa" w:w="100"/>
              <w:left w:type="dxa" w:w="120"/>
              <w:bottom w:type="dxa" w:w="100"/>
              <w:right w:type="dxa" w:w="120"/>
            </w:tcMar>
            <w:vAlign w:val="center"/>
          </w:tcPr>
          <w:p>
            <w:pPr>
              <w:pStyle w:val="MdTableHeader"/>
            </w:pPr>
            <w:r>
              <w:t xml:space="preserve">Acceptance test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Correct Next.js </w:t>
            </w:r>
            <w:r>
              <w:rPr>
                <w:rStyle w:val="MdCode"/>
                <w:u w:val="single"/>
              </w:rPr>
              <w:t xml:space="preserve">basePath</w:t>
            </w:r>
            <w:r>
              <w:t xml:space="preserve">, </w:t>
            </w:r>
            <w:r>
              <w:rPr>
                <w:rStyle w:val="MdCode"/>
                <w:u w:val="single"/>
              </w:rPr>
              <w:t xml:space="preserve">assetPrefix</w:t>
            </w:r>
            <w:r>
              <w:t xml:space="preserve">, and static-export routing.</w:t>
            </w:r>
          </w:p>
        </w:tc>
        <w:tc>
          <w:tcPr>
            <w:tcBorders>
              <w:right w:val="none"/>
            </w:tcBorders>
            <w:tcMar>
              <w:top w:type="dxa" w:w="80"/>
              <w:left w:type="dxa" w:w="120"/>
              <w:bottom w:type="dxa" w:w="80"/>
              <w:right w:type="dxa" w:w="120"/>
            </w:tcMar>
            <w:vAlign w:val="center"/>
          </w:tcPr>
          <w:p>
            <w:pPr>
              <w:pStyle w:val="MdTableCell"/>
            </w:pPr>
            <w:r>
              <w:t xml:space="preserve">No </w:t>
            </w:r>
            <w:r>
              <w:rPr>
                <w:rStyle w:val="MdCode"/>
                <w:u w:val="single"/>
              </w:rPr>
              <w:t xml:space="preserve">/pathmind.txt?_rsc=...</w:t>
            </w:r>
            <w:r>
              <w:t xml:space="preserve"> 404s in a clean browser.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Republish the complete generated output atomically.</w:t>
            </w:r>
          </w:p>
        </w:tc>
        <w:tc>
          <w:tcPr>
            <w:tcBorders>
              <w:right w:val="none"/>
            </w:tcBorders>
            <w:tcMar>
              <w:top w:type="dxa" w:w="80"/>
              <w:left w:type="dxa" w:w="120"/>
              <w:bottom w:type="dxa" w:w="80"/>
              <w:right w:type="dxa" w:w="120"/>
            </w:tcMar>
            <w:vAlign w:val="center"/>
          </w:tcPr>
          <w:p>
            <w:pPr>
              <w:pStyle w:val="MdTableCell"/>
            </w:pPr>
            <w:r>
              <w:t xml:space="preserve">All referenced assets return 200 and have the correct MIME type.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Test direct and in-app navigation across every route.</w:t>
            </w:r>
          </w:p>
        </w:tc>
        <w:tc>
          <w:tcPr>
            <w:tcBorders>
              <w:right w:val="none"/>
            </w:tcBorders>
            <w:tcMar>
              <w:top w:type="dxa" w:w="80"/>
              <w:left w:type="dxa" w:w="120"/>
              <w:bottom w:type="dxa" w:w="80"/>
              <w:right w:type="dxa" w:w="120"/>
            </w:tcMar>
            <w:vAlign w:val="center"/>
          </w:tcPr>
          <w:p>
            <w:pPr>
              <w:pStyle w:val="MdTableCell"/>
            </w:pPr>
            <w:r>
              <w:t xml:space="preserve">URL, title, heading, content, and active navigation state agree.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Add route-specific titles or explicit coming-soon pages.</w:t>
            </w:r>
          </w:p>
        </w:tc>
        <w:tc>
          <w:tcPr>
            <w:tcBorders>
              <w:right w:val="none"/>
            </w:tcBorders>
            <w:tcMar>
              <w:top w:type="dxa" w:w="80"/>
              <w:left w:type="dxa" w:w="120"/>
              <w:bottom w:type="dxa" w:w="80"/>
              <w:right w:type="dxa" w:w="120"/>
            </w:tcMar>
            <w:vAlign w:val="center"/>
          </w:tcPr>
          <w:p>
            <w:pPr>
              <w:pStyle w:val="MdTableCell"/>
            </w:pPr>
            <w:r>
              <w:t xml:space="preserve">No implemented route uses the generic title.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w:t>
            </w:r>
          </w:p>
        </w:tc>
        <w:tc>
          <w:tcPr>
            <w:tcMar>
              <w:top w:type="dxa" w:w="80"/>
              <w:left w:type="dxa" w:w="120"/>
              <w:bottom w:type="dxa" w:w="80"/>
              <w:right w:type="dxa" w:w="120"/>
            </w:tcMar>
            <w:vAlign w:val="center"/>
          </w:tcPr>
          <w:p>
            <w:pPr>
              <w:pStyle w:val="MdTableCell"/>
            </w:pPr>
            <w:r>
              <w:t xml:space="preserve">Rebalance the dashboard hierarchy.</w:t>
            </w:r>
          </w:p>
        </w:tc>
        <w:tc>
          <w:tcPr>
            <w:tcBorders>
              <w:right w:val="none"/>
            </w:tcBorders>
            <w:tcMar>
              <w:top w:type="dxa" w:w="80"/>
              <w:left w:type="dxa" w:w="120"/>
              <w:bottom w:type="dxa" w:w="80"/>
              <w:right w:type="dxa" w:w="120"/>
            </w:tcMar>
            <w:vAlign w:val="center"/>
          </w:tcPr>
          <w:p>
            <w:pPr>
              <w:pStyle w:val="MdTableCell"/>
            </w:pPr>
            <w:r>
              <w:t xml:space="preserve">The primary next action is identifiable in five seconds.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w:t>
            </w:r>
          </w:p>
        </w:tc>
        <w:tc>
          <w:tcPr>
            <w:tcMar>
              <w:top w:type="dxa" w:w="80"/>
              <w:left w:type="dxa" w:w="120"/>
              <w:bottom w:type="dxa" w:w="80"/>
              <w:right w:type="dxa" w:w="120"/>
            </w:tcMar>
            <w:vAlign w:val="center"/>
          </w:tcPr>
          <w:p>
            <w:pPr>
              <w:pStyle w:val="MdTableCell"/>
            </w:pPr>
            <w:r>
              <w:t xml:space="preserve">Reduce the 288 px rail at intermediate widths.</w:t>
            </w:r>
          </w:p>
        </w:tc>
        <w:tc>
          <w:tcPr>
            <w:tcBorders>
              <w:right w:val="none"/>
            </w:tcBorders>
            <w:tcMar>
              <w:top w:type="dxa" w:w="80"/>
              <w:left w:type="dxa" w:w="120"/>
              <w:bottom w:type="dxa" w:w="80"/>
              <w:right w:type="dxa" w:w="120"/>
            </w:tcMar>
            <w:vAlign w:val="center"/>
          </w:tcPr>
          <w:p>
            <w:pPr>
              <w:pStyle w:val="MdTableCell"/>
            </w:pPr>
            <w:r>
              <w:t xml:space="preserve">Main content remains comfortable at 1024 px and 1280 px.</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w:t>
            </w:r>
          </w:p>
        </w:tc>
        <w:tc>
          <w:tcPr>
            <w:tcMar>
              <w:top w:type="dxa" w:w="80"/>
              <w:left w:type="dxa" w:w="120"/>
              <w:bottom w:type="dxa" w:w="80"/>
              <w:right w:type="dxa" w:w="120"/>
            </w:tcMar>
            <w:vAlign w:val="center"/>
          </w:tcPr>
          <w:p>
            <w:pPr>
              <w:pStyle w:val="MdTableCell"/>
            </w:pPr>
            <w:r>
              <w:t xml:space="preserve">Normalize spacing tokens and card copy length.</w:t>
            </w:r>
          </w:p>
        </w:tc>
        <w:tc>
          <w:tcPr>
            <w:tcBorders>
              <w:right w:val="none"/>
            </w:tcBorders>
            <w:tcMar>
              <w:top w:type="dxa" w:w="80"/>
              <w:left w:type="dxa" w:w="120"/>
              <w:bottom w:type="dxa" w:w="80"/>
              <w:right w:type="dxa" w:w="120"/>
            </w:tcMar>
            <w:vAlign w:val="center"/>
          </w:tcPr>
          <w:p>
            <w:pPr>
              <w:pStyle w:val="MdTableCell"/>
            </w:pPr>
            <w:r>
              <w:t xml:space="preserve">Cards and section gaps follow the documented rhythm.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8</w:t>
            </w:r>
          </w:p>
        </w:tc>
        <w:tc>
          <w:tcPr>
            <w:tcMar>
              <w:top w:type="dxa" w:w="80"/>
              <w:left w:type="dxa" w:w="120"/>
              <w:bottom w:type="dxa" w:w="80"/>
              <w:right w:type="dxa" w:w="120"/>
            </w:tcMar>
            <w:vAlign w:val="center"/>
          </w:tcPr>
          <w:p>
            <w:pPr>
              <w:pStyle w:val="MdTableCell"/>
            </w:pPr>
            <w:r>
              <w:t xml:space="preserve">Add explicit accessible labels to icon-only controls.</w:t>
            </w:r>
          </w:p>
        </w:tc>
        <w:tc>
          <w:tcPr>
            <w:tcBorders>
              <w:right w:val="none"/>
            </w:tcBorders>
            <w:tcMar>
              <w:top w:type="dxa" w:w="80"/>
              <w:left w:type="dxa" w:w="120"/>
              <w:bottom w:type="dxa" w:w="80"/>
              <w:right w:type="dxa" w:w="120"/>
            </w:tcMar>
            <w:vAlign w:val="center"/>
          </w:tcPr>
          <w:p>
            <w:pPr>
              <w:pStyle w:val="MdTableCell"/>
            </w:pPr>
            <w:r>
              <w:t xml:space="preserve">Keyboard and screen-reader checks pass.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9</w:t>
            </w:r>
          </w:p>
        </w:tc>
        <w:tc>
          <w:tcPr>
            <w:tcBorders>
              <w:bottom w:val="single" w:color="E1E4E8" w:sz="4"/>
            </w:tcBorders>
            <w:tcMar>
              <w:top w:type="dxa" w:w="80"/>
              <w:left w:type="dxa" w:w="120"/>
              <w:bottom w:type="dxa" w:w="80"/>
              <w:right w:type="dxa" w:w="120"/>
            </w:tcMar>
            <w:vAlign w:val="center"/>
          </w:tcPr>
          <w:p>
            <w:pPr>
              <w:pStyle w:val="MdTableCell"/>
            </w:pPr>
            <w:r>
              <w:t xml:space="preserve">Perform valid real-device mobile testing.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No clipping, overflow, covered content, or inaccessible navigation.</w:t>
            </w:r>
          </w:p>
        </w:tc>
      </w:tr>
    </w:tbl>
    <w:p>
      <w:pPr>
        <w:pStyle w:val="Heading2"/>
        <w:pStyle w:val="MdHeading2"/>
      </w:pPr>
      <w:r>
        <w:t xml:space="preserve">8. Final QA Verdict</w:t>
      </w:r>
    </w:p>
    <w:p>
      <w:pPr>
        <w:pStyle w:val="MdParagraph"/>
      </w:pPr>
      <w:r>
        <w:rPr>
          <w:rStyle w:val="MdStrong"/>
          <w:b/>
          <w:bCs/>
        </w:rPr>
        <w:t xml:space="preserve">Current status: Release blocked by the confirmed router 404.</w:t>
      </w:r>
    </w:p>
    <w:p>
      <w:pPr>
        <w:pStyle w:val="MdSpace"/>
        <w:spacing w:before="0" w:after="60"/>
      </w:pPr>
    </w:p>
    <w:p>
      <w:pPr>
        <w:pStyle w:val="MdParagraph"/>
      </w:pPr>
      <w:r>
        <w:t xml:space="preserve">The core UI is available and the main assets are healthy, so the site is not universally broken. However, the failed Next.js router request is a real deployment defect and should be fixed before relying on user reviews or calling the deployment stable.</w:t>
      </w:r>
    </w:p>
    <w:p>
      <w:pPr>
        <w:pStyle w:val="MdSpace"/>
        <w:spacing w:before="0" w:after="60"/>
      </w:pPr>
    </w:p>
    <w:p>
      <w:pPr>
        <w:pStyle w:val="MdParagraph"/>
      </w:pPr>
      <w:r>
        <w:t xml:space="preserve">The visual and accessibility findings are also real quality issues confirmed through direct observation or markup inspection. They are not claims that the interface is entirely unusable. The mobile and code-only reports remain unverified until the exact affected viewport and URL are captured.</w:t>
      </w:r>
    </w:p>
    <w:p>
      <w:pPr>
        <w:pStyle w:val="MdSpace"/>
        <w:spacing w:before="0" w:after="60"/>
      </w:pPr>
    </w:p>
    <w:p>
      <w:pPr>
        <w:pStyle w:val="Heading2"/>
        <w:pStyle w:val="MdHeading2"/>
      </w:pPr>
      <w:r>
        <w:t xml:space="preserve">References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zlmi1qlouzfhvj2r1sgrf" Type="http://schemas.openxmlformats.org/officeDocument/2006/relationships/hyperlink" Target="https://akshat2685.github.io/pathmind/"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2026-09-09T17:50:14.513Z</dcterms:created>
  <dcterms:modified xsi:type="dcterms:W3CDTF">2026-09-09T17:50:14.513Z</dcterms:modified>
</cp:coreProperties>
</file>

<file path=docProps/custom.xml><?xml version="1.0" encoding="utf-8"?>
<Properties xmlns="http://schemas.openxmlformats.org/officeDocument/2006/custom-properties" xmlns:vt="http://schemas.openxmlformats.org/officeDocument/2006/docPropsVTypes"/>
</file>