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64306" w14:textId="77777777" w:rsidR="005B58F6" w:rsidRDefault="00000000">
      <w:pPr>
        <w:pBdr>
          <w:bottom w:val="single" w:sz="8" w:space="4" w:color="000000"/>
        </w:pBdr>
        <w:spacing w:after="120"/>
      </w:pPr>
      <w:r>
        <w:rPr>
          <w:b/>
          <w:bCs/>
          <w:sz w:val="56"/>
          <w:szCs w:val="56"/>
        </w:rPr>
        <w:t>Pharma Drug Intelligence Agent</w:t>
      </w:r>
    </w:p>
    <w:p w14:paraId="67D622A1" w14:textId="38CD323B" w:rsidR="005B58F6" w:rsidRDefault="00000000">
      <w:pPr>
        <w:spacing w:before="120" w:after="480"/>
      </w:pPr>
      <w:r>
        <w:rPr>
          <w:i/>
          <w:iCs/>
          <w:sz w:val="24"/>
          <w:szCs w:val="24"/>
        </w:rPr>
        <w:t>A multi-step agentic chain for regulatory data analysis</w:t>
      </w:r>
      <w:r w:rsidR="00073BCC">
        <w:rPr>
          <w:i/>
          <w:iCs/>
          <w:sz w:val="24"/>
          <w:szCs w:val="24"/>
        </w:rPr>
        <w:t xml:space="preserve"> – Akshat Gupta (U20230093)</w:t>
      </w:r>
    </w:p>
    <w:p w14:paraId="1CFB7872" w14:textId="77777777" w:rsidR="005B58F6" w:rsidRDefault="00000000">
      <w:pPr>
        <w:pStyle w:val="Heading2"/>
      </w:pPr>
      <w:r>
        <w:t>Problem Statement</w:t>
      </w:r>
    </w:p>
    <w:p w14:paraId="76486DD9" w14:textId="49CBB715" w:rsidR="005B58F6" w:rsidRDefault="00000000">
      <w:pPr>
        <w:spacing w:after="160"/>
      </w:pPr>
      <w:r>
        <w:t xml:space="preserve">Pharmaceutical companies generate a constant stream of regulatory data </w:t>
      </w:r>
      <w:r w:rsidR="00073BCC">
        <w:t>-</w:t>
      </w:r>
      <w:r>
        <w:t xml:space="preserve"> adverse event reports filed with the FDA, drug recalls, </w:t>
      </w:r>
      <w:proofErr w:type="spellStart"/>
      <w:r>
        <w:t>labeling</w:t>
      </w:r>
      <w:proofErr w:type="spellEnd"/>
      <w:r>
        <w:t xml:space="preserve"> changes </w:t>
      </w:r>
      <w:r w:rsidR="00073BCC">
        <w:t>-</w:t>
      </w:r>
      <w:r>
        <w:t xml:space="preserve"> and making sense of it is genuinely hard. A single FDA recall might mean nothing on its </w:t>
      </w:r>
      <w:proofErr w:type="gramStart"/>
      <w:r>
        <w:t>own, but</w:t>
      </w:r>
      <w:proofErr w:type="gramEnd"/>
      <w:r>
        <w:t xml:space="preserve"> combined with a pattern of adverse events and a recent label update, it could signal a major safety concern that shifts how prescribers and competitors behave in the market.</w:t>
      </w:r>
    </w:p>
    <w:p w14:paraId="53AB2620" w14:textId="7799E2CB" w:rsidR="005B58F6" w:rsidRDefault="00000000">
      <w:pPr>
        <w:spacing w:after="160"/>
      </w:pPr>
      <w:r>
        <w:t xml:space="preserve">Turning raw regulatory data into an actionable assessment requires multiple stages of reasoning: understanding the query, retrieving real data, </w:t>
      </w:r>
      <w:proofErr w:type="spellStart"/>
      <w:r>
        <w:t>analyzing</w:t>
      </w:r>
      <w:proofErr w:type="spellEnd"/>
      <w:r>
        <w:t xml:space="preserve"> patterns, assessing market impact, and synthesizing findings. A single LLM prompt cannot do this well </w:t>
      </w:r>
      <w:r w:rsidR="00073BCC">
        <w:t>-</w:t>
      </w:r>
      <w:r>
        <w:t xml:space="preserve"> it either hallucinates the data or produces shallow analysis. Each stage requires different reasoning and different context, which is why a multi-step chain genuinely adds value.</w:t>
      </w:r>
    </w:p>
    <w:p w14:paraId="67E2830C" w14:textId="77777777" w:rsidR="005B58F6" w:rsidRDefault="00000000">
      <w:pPr>
        <w:spacing w:after="240"/>
      </w:pPr>
      <w:r>
        <w:t>The agent takes a user query about a pharmaceutical drug, runs it through five chained steps, and produces a structured intelligence brief as a Markdown file.</w:t>
      </w:r>
    </w:p>
    <w:p w14:paraId="77CA5300" w14:textId="77777777" w:rsidR="005B58F6" w:rsidRDefault="00000000">
      <w:pPr>
        <w:pStyle w:val="Heading2"/>
      </w:pPr>
      <w:r>
        <w:t>Chain Design</w:t>
      </w:r>
    </w:p>
    <w:p w14:paraId="27DF1991" w14:textId="0AC99C7B" w:rsidR="005B58F6" w:rsidRDefault="00000000">
      <w:pPr>
        <w:spacing w:after="120"/>
      </w:pPr>
      <w:r>
        <w:t xml:space="preserve">The chain has five steps </w:t>
      </w:r>
      <w:r w:rsidR="00073BCC">
        <w:t>-</w:t>
      </w:r>
      <w:r>
        <w:t xml:space="preserve"> four LLM calls and one tool call:</w:t>
      </w:r>
    </w:p>
    <w:p w14:paraId="34E49F2D" w14:textId="4A419CEB" w:rsidR="005B58F6" w:rsidRDefault="00000000">
      <w:pPr>
        <w:pStyle w:val="ListParagraph"/>
        <w:numPr>
          <w:ilvl w:val="0"/>
          <w:numId w:val="2"/>
        </w:numPr>
        <w:spacing w:after="120"/>
      </w:pPr>
      <w:r>
        <w:rPr>
          <w:b/>
          <w:bCs/>
        </w:rPr>
        <w:t xml:space="preserve">Step 1 </w:t>
      </w:r>
      <w:r w:rsidR="00073BCC">
        <w:rPr>
          <w:b/>
          <w:bCs/>
        </w:rPr>
        <w:t>-</w:t>
      </w:r>
      <w:r>
        <w:rPr>
          <w:b/>
          <w:bCs/>
        </w:rPr>
        <w:t xml:space="preserve"> Input Parsing: </w:t>
      </w:r>
      <w:r>
        <w:t>Converts the user's raw natural-language query into structured fields: drug name, company, focus area, and a clean FDA API search term. This step exists because user inputs are messy and the FDA API requires a precise drug name.</w:t>
      </w:r>
    </w:p>
    <w:p w14:paraId="41BB5079" w14:textId="1B34DCD9" w:rsidR="005B58F6" w:rsidRDefault="00000000">
      <w:pPr>
        <w:pStyle w:val="ListParagraph"/>
        <w:numPr>
          <w:ilvl w:val="0"/>
          <w:numId w:val="2"/>
        </w:numPr>
        <w:spacing w:after="120"/>
      </w:pPr>
      <w:r>
        <w:rPr>
          <w:b/>
          <w:bCs/>
        </w:rPr>
        <w:t xml:space="preserve">Step 2 </w:t>
      </w:r>
      <w:r w:rsidR="00073BCC">
        <w:rPr>
          <w:b/>
          <w:bCs/>
        </w:rPr>
        <w:t>-</w:t>
      </w:r>
      <w:r>
        <w:rPr>
          <w:b/>
          <w:bCs/>
        </w:rPr>
        <w:t xml:space="preserve"> FDA Tool Call: </w:t>
      </w:r>
      <w:r>
        <w:t xml:space="preserve">Queries three </w:t>
      </w:r>
      <w:proofErr w:type="spellStart"/>
      <w:r>
        <w:t>openFDA</w:t>
      </w:r>
      <w:proofErr w:type="spellEnd"/>
      <w:r>
        <w:t xml:space="preserve"> endpoints </w:t>
      </w:r>
      <w:r w:rsidR="00073BCC">
        <w:t>-</w:t>
      </w:r>
      <w:r>
        <w:t xml:space="preserve"> adverse events, enforcement actions (recalls), and drug </w:t>
      </w:r>
      <w:proofErr w:type="spellStart"/>
      <w:r>
        <w:t>labeling</w:t>
      </w:r>
      <w:proofErr w:type="spellEnd"/>
      <w:r>
        <w:t>. Raw API responses are large, so the tool extracts only the relevant fields: reactions and seriousness for adverse events; classification and reason for recalls; boxed warnings and indications for labels.</w:t>
      </w:r>
    </w:p>
    <w:p w14:paraId="4A0B049A" w14:textId="37C2BC5F" w:rsidR="005B58F6" w:rsidRDefault="00000000">
      <w:pPr>
        <w:pStyle w:val="ListParagraph"/>
        <w:numPr>
          <w:ilvl w:val="0"/>
          <w:numId w:val="2"/>
        </w:numPr>
        <w:spacing w:after="120"/>
      </w:pPr>
      <w:r>
        <w:rPr>
          <w:b/>
          <w:bCs/>
        </w:rPr>
        <w:t xml:space="preserve">Step 3 </w:t>
      </w:r>
      <w:r w:rsidR="00073BCC">
        <w:rPr>
          <w:b/>
          <w:bCs/>
        </w:rPr>
        <w:t>-</w:t>
      </w:r>
      <w:r>
        <w:rPr>
          <w:b/>
          <w:bCs/>
        </w:rPr>
        <w:t xml:space="preserve"> Safety Signal Analysis: </w:t>
      </w:r>
      <w:r>
        <w:t>Combines FDA data with the parsed query to produce a structured safety analysis: overall risk level, key findings, adverse event patterns with frequency and severity, and recall history assessment. This step requires real data from Step 2.</w:t>
      </w:r>
    </w:p>
    <w:p w14:paraId="23BC6F33" w14:textId="49D5A925" w:rsidR="005B58F6" w:rsidRDefault="00000000">
      <w:pPr>
        <w:pStyle w:val="ListParagraph"/>
        <w:numPr>
          <w:ilvl w:val="0"/>
          <w:numId w:val="2"/>
        </w:numPr>
        <w:spacing w:after="120"/>
      </w:pPr>
      <w:r>
        <w:rPr>
          <w:b/>
          <w:bCs/>
        </w:rPr>
        <w:t xml:space="preserve">Step 4 </w:t>
      </w:r>
      <w:r w:rsidR="00073BCC">
        <w:rPr>
          <w:b/>
          <w:bCs/>
        </w:rPr>
        <w:t>-</w:t>
      </w:r>
      <w:r>
        <w:rPr>
          <w:b/>
          <w:bCs/>
        </w:rPr>
        <w:t xml:space="preserve"> Market Impact Assessment: </w:t>
      </w:r>
      <w:r>
        <w:t xml:space="preserve">Takes the safety signals from Step 3 and evaluates competitive positioning, prescriber </w:t>
      </w:r>
      <w:proofErr w:type="spellStart"/>
      <w:r>
        <w:t>behavior</w:t>
      </w:r>
      <w:proofErr w:type="spellEnd"/>
      <w:r>
        <w:t xml:space="preserve"> changes, regulatory risk, and market opportunities and threats.</w:t>
      </w:r>
    </w:p>
    <w:p w14:paraId="0F02B68C" w14:textId="772E9623" w:rsidR="005B58F6" w:rsidRDefault="00000000">
      <w:pPr>
        <w:pStyle w:val="ListParagraph"/>
        <w:numPr>
          <w:ilvl w:val="0"/>
          <w:numId w:val="2"/>
        </w:numPr>
        <w:spacing w:after="120"/>
      </w:pPr>
      <w:r>
        <w:rPr>
          <w:b/>
          <w:bCs/>
        </w:rPr>
        <w:t xml:space="preserve">Step 5 </w:t>
      </w:r>
      <w:r w:rsidR="00073BCC">
        <w:rPr>
          <w:b/>
          <w:bCs/>
        </w:rPr>
        <w:t>-</w:t>
      </w:r>
      <w:r>
        <w:rPr>
          <w:b/>
          <w:bCs/>
        </w:rPr>
        <w:t xml:space="preserve"> Final Brief Generation: </w:t>
      </w:r>
      <w:r>
        <w:t>Receives the entire accumulated state and generates a polished Markdown brief covering executive summary, key findings, safety analysis, market impact, risk assessment, and recommended actions.</w:t>
      </w:r>
    </w:p>
    <w:p w14:paraId="7621C31E" w14:textId="77777777" w:rsidR="005B58F6" w:rsidRDefault="00000000">
      <w:pPr>
        <w:pStyle w:val="Heading2"/>
      </w:pPr>
      <w:r>
        <w:t>Tool Integration</w:t>
      </w:r>
    </w:p>
    <w:p w14:paraId="084740D3" w14:textId="77777777" w:rsidR="005B58F6" w:rsidRDefault="00000000">
      <w:pPr>
        <w:spacing w:after="160"/>
      </w:pPr>
      <w:r>
        <w:t xml:space="preserve">The </w:t>
      </w:r>
      <w:proofErr w:type="spellStart"/>
      <w:r>
        <w:t>openFDA</w:t>
      </w:r>
      <w:proofErr w:type="spellEnd"/>
      <w:r>
        <w:t xml:space="preserve"> API was chosen as the external tool because it provides real, structured, government-sourced data with no API key required. The data is authoritative (actual FDA filings) and returns structured JSON suitable for LLM analysis.</w:t>
      </w:r>
    </w:p>
    <w:p w14:paraId="308E99EC" w14:textId="77777777" w:rsidR="005B58F6" w:rsidRDefault="00000000">
      <w:pPr>
        <w:spacing w:after="120"/>
      </w:pPr>
      <w:r>
        <w:lastRenderedPageBreak/>
        <w:t>Three endpoints are queried:</w:t>
      </w:r>
    </w:p>
    <w:p w14:paraId="69B3C035" w14:textId="77777777" w:rsidR="005B58F6" w:rsidRDefault="00000000">
      <w:pPr>
        <w:pStyle w:val="ListParagraph"/>
        <w:numPr>
          <w:ilvl w:val="0"/>
          <w:numId w:val="2"/>
        </w:numPr>
        <w:spacing w:after="120"/>
      </w:pPr>
      <w:r>
        <w:rPr>
          <w:b/>
          <w:bCs/>
        </w:rPr>
        <w:t xml:space="preserve">Adverse Events: </w:t>
      </w:r>
      <w:r>
        <w:t>Individual case safety reports including patient reactions, seriousness flags, and co-administered drugs.</w:t>
      </w:r>
    </w:p>
    <w:p w14:paraId="2FE1AA6A" w14:textId="77777777" w:rsidR="005B58F6" w:rsidRDefault="00000000">
      <w:pPr>
        <w:pStyle w:val="ListParagraph"/>
        <w:numPr>
          <w:ilvl w:val="0"/>
          <w:numId w:val="2"/>
        </w:numPr>
        <w:spacing w:after="120"/>
      </w:pPr>
      <w:r>
        <w:rPr>
          <w:b/>
          <w:bCs/>
        </w:rPr>
        <w:t xml:space="preserve">Enforcement (Recalls): </w:t>
      </w:r>
      <w:r>
        <w:t>Recall actions with classification (Class I = most serious), reason, status, and distribution pattern.</w:t>
      </w:r>
    </w:p>
    <w:p w14:paraId="7F537354" w14:textId="096488F7" w:rsidR="005B58F6" w:rsidRDefault="00000000">
      <w:pPr>
        <w:pStyle w:val="ListParagraph"/>
        <w:numPr>
          <w:ilvl w:val="0"/>
          <w:numId w:val="2"/>
        </w:numPr>
        <w:spacing w:after="120"/>
      </w:pPr>
      <w:r>
        <w:rPr>
          <w:b/>
          <w:bCs/>
        </w:rPr>
        <w:t xml:space="preserve">Drug </w:t>
      </w:r>
      <w:proofErr w:type="spellStart"/>
      <w:r>
        <w:rPr>
          <w:b/>
          <w:bCs/>
        </w:rPr>
        <w:t>Labeling</w:t>
      </w:r>
      <w:proofErr w:type="spellEnd"/>
      <w:r>
        <w:rPr>
          <w:b/>
          <w:bCs/>
        </w:rPr>
        <w:t xml:space="preserve">: </w:t>
      </w:r>
      <w:r>
        <w:t xml:space="preserve">Label data including boxed warnings </w:t>
      </w:r>
      <w:r w:rsidR="00073BCC">
        <w:t>-</w:t>
      </w:r>
      <w:r>
        <w:t xml:space="preserve"> the strongest FDA safety warnings available. Long text sections are truncated to 500 characters to keep LLM context manageable.</w:t>
      </w:r>
    </w:p>
    <w:p w14:paraId="3F7C6104" w14:textId="77777777" w:rsidR="005B58F6" w:rsidRDefault="00000000">
      <w:pPr>
        <w:spacing w:after="240"/>
      </w:pPr>
      <w:r>
        <w:t>The tool processes raw responses before passing them to the LLM. FDA adverse event records are deeply nested with many irrelevant fields, so the tool extracts only what is needed for analysis. The tool output enters the chain at Step 3 as a JSON string within the user prompt.</w:t>
      </w:r>
    </w:p>
    <w:p w14:paraId="21A2A7E7" w14:textId="77777777" w:rsidR="005B58F6" w:rsidRDefault="00000000">
      <w:pPr>
        <w:pStyle w:val="Heading2"/>
      </w:pPr>
      <w:r>
        <w:t>Limitations</w:t>
      </w:r>
    </w:p>
    <w:p w14:paraId="78100D66" w14:textId="77777777" w:rsidR="005B58F6" w:rsidRDefault="00000000">
      <w:pPr>
        <w:pStyle w:val="ListParagraph"/>
        <w:numPr>
          <w:ilvl w:val="0"/>
          <w:numId w:val="2"/>
        </w:numPr>
        <w:spacing w:after="120"/>
      </w:pPr>
      <w:r>
        <w:rPr>
          <w:b/>
          <w:bCs/>
        </w:rPr>
        <w:t xml:space="preserve">Reports ≠ Causation: </w:t>
      </w:r>
      <w:r>
        <w:t xml:space="preserve">FDA adverse event data reflects reports, not confirmed causation. High report volumes for a </w:t>
      </w:r>
      <w:proofErr w:type="gramStart"/>
      <w:r>
        <w:t>widely-prescribed</w:t>
      </w:r>
      <w:proofErr w:type="gramEnd"/>
      <w:r>
        <w:t xml:space="preserve"> drug like metformin may appear more alarming than a niche drug, even if per-patient risk is lower. Prescription volume is not controlled for.</w:t>
      </w:r>
    </w:p>
    <w:p w14:paraId="1ADF0302" w14:textId="77777777" w:rsidR="005B58F6" w:rsidRDefault="00000000">
      <w:pPr>
        <w:pStyle w:val="ListParagraph"/>
        <w:numPr>
          <w:ilvl w:val="0"/>
          <w:numId w:val="2"/>
        </w:numPr>
        <w:spacing w:after="120"/>
      </w:pPr>
      <w:r>
        <w:rPr>
          <w:b/>
          <w:bCs/>
        </w:rPr>
        <w:t xml:space="preserve">10-Report Sample Limit: </w:t>
      </w:r>
      <w:r>
        <w:t xml:space="preserve">The FDA database contains thousands of reports for popular drugs; the agent samples only 10. This keeps token counts </w:t>
      </w:r>
      <w:proofErr w:type="gramStart"/>
      <w:r>
        <w:t>manageable</w:t>
      </w:r>
      <w:proofErr w:type="gramEnd"/>
      <w:r>
        <w:t xml:space="preserve"> but the sample may not be representative. A production system would require pagination and statistical aggregation.</w:t>
      </w:r>
    </w:p>
    <w:p w14:paraId="78832E6D" w14:textId="77777777" w:rsidR="005B58F6" w:rsidRDefault="00000000">
      <w:pPr>
        <w:pStyle w:val="ListParagraph"/>
        <w:numPr>
          <w:ilvl w:val="0"/>
          <w:numId w:val="2"/>
        </w:numPr>
        <w:spacing w:after="120"/>
      </w:pPr>
      <w:r>
        <w:rPr>
          <w:b/>
          <w:bCs/>
        </w:rPr>
        <w:t xml:space="preserve">No Cross-Run Memory: </w:t>
      </w:r>
      <w:r>
        <w:t>Each execution starts fresh. A recall from six months ago and one from yesterday are treated identically. Temporal tracking of safety profile changes is not supported.</w:t>
      </w:r>
    </w:p>
    <w:p w14:paraId="5B990F78" w14:textId="77777777" w:rsidR="005B58F6" w:rsidRDefault="00000000">
      <w:pPr>
        <w:pStyle w:val="ListParagraph"/>
        <w:numPr>
          <w:ilvl w:val="0"/>
          <w:numId w:val="2"/>
        </w:numPr>
        <w:spacing w:after="120"/>
      </w:pPr>
      <w:r>
        <w:rPr>
          <w:b/>
          <w:bCs/>
        </w:rPr>
        <w:t xml:space="preserve">Brittle JSON Parsing: </w:t>
      </w:r>
      <w:r>
        <w:t>The model sometimes wraps JSON in markdown code blocks or adds preamble text. The parser handles the code-block case, but other edge cases can fail. Fallback state values prevent chain termination, though analysis quality degrades when a step falls back.</w:t>
      </w:r>
    </w:p>
    <w:p w14:paraId="19F362CF" w14:textId="77777777" w:rsidR="005B58F6" w:rsidRDefault="00000000">
      <w:pPr>
        <w:pStyle w:val="Heading2"/>
      </w:pPr>
      <w:r>
        <w:t>Reflection</w:t>
      </w:r>
    </w:p>
    <w:p w14:paraId="29226E7A" w14:textId="77777777" w:rsidR="005B58F6" w:rsidRDefault="00000000">
      <w:pPr>
        <w:spacing w:after="160"/>
      </w:pPr>
      <w:r>
        <w:t>The most significant learning was how much the quality of the safety signal analysis (Step 3) depends on how FDA data is summarized in Step 2. The first version passed raw API responses to the LLM; analysis quality improved substantially simply by restructuring the tool to extract only relevant fields, without changing any prompts. The data transformation between the tool and the LLM matters as much as prompt design.</w:t>
      </w:r>
    </w:p>
    <w:p w14:paraId="28F4F88B" w14:textId="77777777" w:rsidR="005B58F6" w:rsidRDefault="00000000">
      <w:pPr>
        <w:spacing w:after="120"/>
      </w:pPr>
      <w:r>
        <w:t>Given more time, two enhancements would have the highest impact:</w:t>
      </w:r>
    </w:p>
    <w:p w14:paraId="58EFA524" w14:textId="77777777" w:rsidR="005B58F6" w:rsidRDefault="00000000">
      <w:pPr>
        <w:pStyle w:val="ListParagraph"/>
        <w:numPr>
          <w:ilvl w:val="0"/>
          <w:numId w:val="2"/>
        </w:numPr>
        <w:spacing w:after="120"/>
      </w:pPr>
      <w:r>
        <w:rPr>
          <w:b/>
          <w:bCs/>
        </w:rPr>
        <w:t xml:space="preserve">News API Integration: </w:t>
      </w:r>
      <w:r>
        <w:t>Adding a second tool call to a news API would ground the market assessment (Step 4) in real-world events rather than purely inferring market implications from safety signals.</w:t>
      </w:r>
    </w:p>
    <w:p w14:paraId="7C9F3C34" w14:textId="77777777" w:rsidR="005B58F6" w:rsidRDefault="00000000">
      <w:pPr>
        <w:pStyle w:val="ListParagraph"/>
        <w:numPr>
          <w:ilvl w:val="0"/>
          <w:numId w:val="2"/>
        </w:numPr>
        <w:spacing w:after="120"/>
      </w:pPr>
      <w:r>
        <w:rPr>
          <w:b/>
          <w:bCs/>
        </w:rPr>
        <w:t xml:space="preserve">Caching Layer: </w:t>
      </w:r>
      <w:r>
        <w:t>A short-window cache would prevent redundant FDA queries for the same drug, reducing latency and API load without sacrificing data freshness.</w:t>
      </w:r>
    </w:p>
    <w:sectPr w:rsidR="005B58F6">
      <w:headerReference w:type="default" r:id="rId7"/>
      <w:footerReference w:type="default" r:id="rId8"/>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FDA26" w14:textId="77777777" w:rsidR="007E30E7" w:rsidRDefault="007E30E7">
      <w:r>
        <w:separator/>
      </w:r>
    </w:p>
  </w:endnote>
  <w:endnote w:type="continuationSeparator" w:id="0">
    <w:p w14:paraId="717BF86F" w14:textId="77777777" w:rsidR="007E30E7" w:rsidRDefault="007E3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C1314" w14:textId="77777777" w:rsidR="005B58F6" w:rsidRDefault="00000000">
    <w:pPr>
      <w:pBdr>
        <w:top w:val="single" w:sz="4" w:space="4" w:color="000000"/>
      </w:pBdr>
      <w:tabs>
        <w:tab w:val="right" w:pos="9360"/>
      </w:tabs>
      <w:spacing w:before="160"/>
    </w:pPr>
    <w:r>
      <w:rPr>
        <w:sz w:val="16"/>
        <w:szCs w:val="16"/>
      </w:rPr>
      <w:t>Pharma Drug Intelligence Agent</w:t>
    </w:r>
    <w:r>
      <w:tab/>
    </w:r>
    <w:r>
      <w:rPr>
        <w:sz w:val="16"/>
        <w:szCs w:val="16"/>
      </w:rPr>
      <w:t xml:space="preserve">Page </w:t>
    </w:r>
    <w:r>
      <w:fldChar w:fldCharType="begin"/>
    </w:r>
    <w:r>
      <w:instrText>PAGE</w:instrText>
    </w:r>
    <w:r>
      <w:fldChar w:fldCharType="separate"/>
    </w:r>
    <w:r w:rsidR="00073B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339A7" w14:textId="77777777" w:rsidR="007E30E7" w:rsidRDefault="007E30E7">
      <w:r>
        <w:separator/>
      </w:r>
    </w:p>
  </w:footnote>
  <w:footnote w:type="continuationSeparator" w:id="0">
    <w:p w14:paraId="6C4AC1DE" w14:textId="77777777" w:rsidR="007E30E7" w:rsidRDefault="007E30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28297" w14:textId="07AE8C77" w:rsidR="005B58F6" w:rsidRDefault="00000000">
    <w:pPr>
      <w:pBdr>
        <w:bottom w:val="single" w:sz="4" w:space="4" w:color="000000"/>
      </w:pBdr>
      <w:tabs>
        <w:tab w:val="right" w:pos="9360"/>
      </w:tabs>
      <w:spacing w:after="160"/>
    </w:pPr>
    <w:r>
      <w:rPr>
        <w:b/>
        <w:bCs/>
        <w:sz w:val="18"/>
        <w:szCs w:val="18"/>
      </w:rPr>
      <w:t>PHARMA DRUG INTELLIGENCE AGENT</w:t>
    </w:r>
    <w:r>
      <w:tab/>
    </w:r>
    <w:r>
      <w:rPr>
        <w:i/>
        <w:iCs/>
        <w:sz w:val="18"/>
        <w:szCs w:val="18"/>
      </w:rPr>
      <w:t>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900AC"/>
    <w:multiLevelType w:val="hybridMultilevel"/>
    <w:tmpl w:val="6B40FD58"/>
    <w:lvl w:ilvl="0" w:tplc="B86EC19E">
      <w:start w:val="1"/>
      <w:numFmt w:val="bullet"/>
      <w:lvlText w:val="●"/>
      <w:lvlJc w:val="left"/>
      <w:pPr>
        <w:ind w:left="720" w:hanging="360"/>
      </w:pPr>
    </w:lvl>
    <w:lvl w:ilvl="1" w:tplc="7A848E9A">
      <w:start w:val="1"/>
      <w:numFmt w:val="bullet"/>
      <w:lvlText w:val="○"/>
      <w:lvlJc w:val="left"/>
      <w:pPr>
        <w:ind w:left="1440" w:hanging="360"/>
      </w:pPr>
    </w:lvl>
    <w:lvl w:ilvl="2" w:tplc="18827E5C">
      <w:start w:val="1"/>
      <w:numFmt w:val="bullet"/>
      <w:lvlText w:val="■"/>
      <w:lvlJc w:val="left"/>
      <w:pPr>
        <w:ind w:left="2160" w:hanging="360"/>
      </w:pPr>
    </w:lvl>
    <w:lvl w:ilvl="3" w:tplc="2526ABEE">
      <w:start w:val="1"/>
      <w:numFmt w:val="bullet"/>
      <w:lvlText w:val="●"/>
      <w:lvlJc w:val="left"/>
      <w:pPr>
        <w:ind w:left="2880" w:hanging="360"/>
      </w:pPr>
    </w:lvl>
    <w:lvl w:ilvl="4" w:tplc="5AA86E3A">
      <w:start w:val="1"/>
      <w:numFmt w:val="bullet"/>
      <w:lvlText w:val="○"/>
      <w:lvlJc w:val="left"/>
      <w:pPr>
        <w:ind w:left="3600" w:hanging="360"/>
      </w:pPr>
    </w:lvl>
    <w:lvl w:ilvl="5" w:tplc="208CEB8C">
      <w:start w:val="1"/>
      <w:numFmt w:val="bullet"/>
      <w:lvlText w:val="■"/>
      <w:lvlJc w:val="left"/>
      <w:pPr>
        <w:ind w:left="4320" w:hanging="360"/>
      </w:pPr>
    </w:lvl>
    <w:lvl w:ilvl="6" w:tplc="E8A6C290">
      <w:start w:val="1"/>
      <w:numFmt w:val="bullet"/>
      <w:lvlText w:val="●"/>
      <w:lvlJc w:val="left"/>
      <w:pPr>
        <w:ind w:left="5040" w:hanging="360"/>
      </w:pPr>
    </w:lvl>
    <w:lvl w:ilvl="7" w:tplc="C994D102">
      <w:start w:val="1"/>
      <w:numFmt w:val="bullet"/>
      <w:lvlText w:val="●"/>
      <w:lvlJc w:val="left"/>
      <w:pPr>
        <w:ind w:left="5760" w:hanging="360"/>
      </w:pPr>
    </w:lvl>
    <w:lvl w:ilvl="8" w:tplc="CA5822E8">
      <w:start w:val="1"/>
      <w:numFmt w:val="bullet"/>
      <w:lvlText w:val="●"/>
      <w:lvlJc w:val="left"/>
      <w:pPr>
        <w:ind w:left="6480" w:hanging="360"/>
      </w:pPr>
    </w:lvl>
  </w:abstractNum>
  <w:abstractNum w:abstractNumId="1" w15:restartNumberingAfterBreak="0">
    <w:nsid w:val="4C1A3540"/>
    <w:multiLevelType w:val="hybridMultilevel"/>
    <w:tmpl w:val="07BACF7E"/>
    <w:lvl w:ilvl="0" w:tplc="8B445128">
      <w:start w:val="1"/>
      <w:numFmt w:val="bullet"/>
      <w:lvlText w:val="•"/>
      <w:lvlJc w:val="left"/>
      <w:pPr>
        <w:ind w:left="720" w:hanging="360"/>
      </w:pPr>
    </w:lvl>
    <w:lvl w:ilvl="1" w:tplc="DE946716">
      <w:numFmt w:val="decimal"/>
      <w:lvlText w:val=""/>
      <w:lvlJc w:val="left"/>
    </w:lvl>
    <w:lvl w:ilvl="2" w:tplc="3BD4AE7A">
      <w:numFmt w:val="decimal"/>
      <w:lvlText w:val=""/>
      <w:lvlJc w:val="left"/>
    </w:lvl>
    <w:lvl w:ilvl="3" w:tplc="00B20DF4">
      <w:numFmt w:val="decimal"/>
      <w:lvlText w:val=""/>
      <w:lvlJc w:val="left"/>
    </w:lvl>
    <w:lvl w:ilvl="4" w:tplc="CC60251E">
      <w:numFmt w:val="decimal"/>
      <w:lvlText w:val=""/>
      <w:lvlJc w:val="left"/>
    </w:lvl>
    <w:lvl w:ilvl="5" w:tplc="67D822E4">
      <w:numFmt w:val="decimal"/>
      <w:lvlText w:val=""/>
      <w:lvlJc w:val="left"/>
    </w:lvl>
    <w:lvl w:ilvl="6" w:tplc="D80E4288">
      <w:numFmt w:val="decimal"/>
      <w:lvlText w:val=""/>
      <w:lvlJc w:val="left"/>
    </w:lvl>
    <w:lvl w:ilvl="7" w:tplc="AAA2BE3A">
      <w:numFmt w:val="decimal"/>
      <w:lvlText w:val=""/>
      <w:lvlJc w:val="left"/>
    </w:lvl>
    <w:lvl w:ilvl="8" w:tplc="5C50EF8E">
      <w:numFmt w:val="decimal"/>
      <w:lvlText w:val=""/>
      <w:lvlJc w:val="left"/>
    </w:lvl>
  </w:abstractNum>
  <w:num w:numId="1" w16cid:durableId="513156089">
    <w:abstractNumId w:val="0"/>
    <w:lvlOverride w:ilvl="0">
      <w:startOverride w:val="1"/>
    </w:lvlOverride>
  </w:num>
  <w:num w:numId="2" w16cid:durableId="3778270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8F6"/>
    <w:rsid w:val="00073BCC"/>
    <w:rsid w:val="004A756D"/>
    <w:rsid w:val="005B58F6"/>
    <w:rsid w:val="006663C0"/>
    <w:rsid w:val="007E30E7"/>
    <w:rsid w:val="007F7C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CCCC0"/>
  <w15:docId w15:val="{11E6B433-8CE5-4FA2-855E-413827635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sz w:val="36"/>
      <w:szCs w:val="36"/>
    </w:rPr>
  </w:style>
  <w:style w:type="paragraph" w:styleId="Heading2">
    <w:name w:val="heading 2"/>
    <w:uiPriority w:val="9"/>
    <w:unhideWhenUsed/>
    <w:qFormat/>
    <w:pPr>
      <w:pBdr>
        <w:bottom w:val="single" w:sz="4" w:space="4" w:color="000000"/>
      </w:pBdr>
      <w:spacing w:before="32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F7CBE"/>
    <w:pPr>
      <w:tabs>
        <w:tab w:val="center" w:pos="4680"/>
        <w:tab w:val="right" w:pos="9360"/>
      </w:tabs>
    </w:pPr>
  </w:style>
  <w:style w:type="character" w:customStyle="1" w:styleId="HeaderChar">
    <w:name w:val="Header Char"/>
    <w:basedOn w:val="DefaultParagraphFont"/>
    <w:link w:val="Header"/>
    <w:uiPriority w:val="99"/>
    <w:rsid w:val="007F7CBE"/>
  </w:style>
  <w:style w:type="paragraph" w:styleId="Footer">
    <w:name w:val="footer"/>
    <w:basedOn w:val="Normal"/>
    <w:link w:val="FooterChar"/>
    <w:uiPriority w:val="99"/>
    <w:unhideWhenUsed/>
    <w:rsid w:val="007F7CBE"/>
    <w:pPr>
      <w:tabs>
        <w:tab w:val="center" w:pos="4680"/>
        <w:tab w:val="right" w:pos="9360"/>
      </w:tabs>
    </w:pPr>
  </w:style>
  <w:style w:type="character" w:customStyle="1" w:styleId="FooterChar">
    <w:name w:val="Footer Char"/>
    <w:basedOn w:val="DefaultParagraphFont"/>
    <w:link w:val="Footer"/>
    <w:uiPriority w:val="99"/>
    <w:rsid w:val="007F7C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799</Words>
  <Characters>4558</Characters>
  <Application>Microsoft Office Word</Application>
  <DocSecurity>0</DocSecurity>
  <Lines>37</Lines>
  <Paragraphs>10</Paragraphs>
  <ScaleCrop>false</ScaleCrop>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Akshat Gupta (U20230093)</cp:lastModifiedBy>
  <cp:revision>2</cp:revision>
  <dcterms:created xsi:type="dcterms:W3CDTF">2026-05-04T22:29:00Z</dcterms:created>
  <dcterms:modified xsi:type="dcterms:W3CDTF">2026-05-04T22:29:00Z</dcterms:modified>
</cp:coreProperties>
</file>