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PingCAP.com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Apr 14 Homepage Launch</w:t>
      </w:r>
    </w:p>
    <w:p>
      <w:pPr>
        <w:spacing w:after="16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Traffic Impact: Before → After</w:t>
      </w:r>
    </w:p>
    <w:p>
      <w:pPr>
        <w:spacing w:after="80"/>
      </w:pP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Launch: Tuesday April 14, 2026 — “Database for AI Agents”</w:t>
      </w:r>
    </w:p>
    <w:p>
      <w:pPr>
        <w:spacing w:after="3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 window: Apr 7–13 (7 days, Tue–Mon)  ·  Post window: Apr 14–20 (7 days, Tue–Mon)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Plus partial Week 2 trend: Apr 21–23 (3 days)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Homepage PVs +39%  ·  Active Users +35%  ·  Google Organic +65%  ·  Direct +33%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Executive Summary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The Apr 14 homepage launch produced an immediate, measurable, and sustained traffic lift across every top-of-funnel channel. </w:t>
      </w:r>
      <w:r>
        <w:rPr>
          <w:rFonts w:ascii="Arial" w:cs="Arial" w:eastAsia="Arial" w:hAnsi="Arial"/>
          <w:sz w:val="20"/>
          <w:szCs w:val="20"/>
        </w:rPr>
        <w:t xml:space="preserve">In matched 7-day windows (Apr 7–13 vs Apr 14–20, both Tue–Mon), the site grew +35% in active users, +39% in homepage PVs, and +65% in Google organic. The signal is too large for normal weekly variance and too consistent across channels to be coincidence.</w:t>
      </w:r>
    </w:p>
    <w:p>
      <w:pPr>
        <w:pBdr>
          <w:left w:val="single" w:color="228B22" w:sz="24" w:space="8"/>
        </w:pBdr>
        <w:shd w:fill="ECFDF5" w:val="clear"/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Headline: Awareness lifted immediately in week 1; signup conversion was flat in week 1 but is now climbing in week 2 (Apr 21–23). Classic positioning-change pattern — broader audience arrives first, qualified buyers follow.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Three numbers that matter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+35% active users in 7-day matched window. </w:t>
      </w:r>
      <w:r>
        <w:rPr>
          <w:rFonts w:ascii="Arial" w:cs="Arial" w:eastAsia="Arial" w:hAnsi="Arial"/>
          <w:sz w:val="20"/>
          <w:szCs w:val="20"/>
        </w:rPr>
        <w:t xml:space="preserve">41,803 → 56,600. Apr 23 alone hit 14,248 — the single highest day in the 20-day window.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+65% Google organic sessions. </w:t>
      </w:r>
      <w:r>
        <w:rPr>
          <w:rFonts w:ascii="Arial" w:cs="Arial" w:eastAsia="Arial" w:hAnsi="Arial"/>
          <w:sz w:val="20"/>
          <w:szCs w:val="20"/>
        </w:rPr>
        <w:t xml:space="preserve">7,497 → 12,371. Sustained across every post-launch day. This is the signature of a ranking improvement, not a spike.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Signups: flat in week 1 (+1%), climbing in week 2 (+29%). </w:t>
      </w:r>
      <w:r>
        <w:rPr>
          <w:rFonts w:ascii="Arial" w:cs="Arial" w:eastAsia="Arial" w:hAnsi="Arial"/>
          <w:sz w:val="20"/>
          <w:szCs w:val="20"/>
        </w:rPr>
        <w:t xml:space="preserve">auth.tidbcloud.com new users averaged 97/day pre-launch, 98/day in post-week-1, then 125/day in Apr 21–23. The funnel takes 7–10 days for the new audience to commit.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Before / After: Headline Metrics (7-day Matched Windows)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PRE = Apr 7–13 (Tue–Mon, 7 days)  ·  POST = Apr 14–20 (Tue–Mon, 7 days)  ·  Same weekday composition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500"/>
        <w:gridCol w:w="1300"/>
        <w:gridCol w:w="27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W1 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W1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41,803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56,600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+35.4%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Sustained, accelerating into W2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34,602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48,242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+39.4%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Audience expansion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7,497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12,371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+65.0%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Re-ranking is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27,892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36,950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+32.5%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Branded + AI-stripped traffic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−2%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17,572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24,449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+39.1%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effect of new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+26.2%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Downstream lift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−6.5%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W1 lag, W2 recovery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10,803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11,004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+1.9%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 flat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+1.3%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 flat — see W2 below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30,165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36,749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+21.8%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users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−18.7%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clearchannel campaign starts Apr 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137s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115s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−16%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Audience composition shift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−0.4 pp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Week 2 (Apr 21–23): Conversion Catching Up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Three days into post-week-2, the signup funnel is finally responding. </w:t>
      </w:r>
      <w:r>
        <w:rPr>
          <w:rFonts w:ascii="Arial" w:cs="Arial" w:eastAsia="Arial" w:hAnsi="Arial"/>
          <w:sz w:val="20"/>
          <w:szCs w:val="20"/>
        </w:rPr>
        <w:t xml:space="preserve">This is critical context — week 1 alone made the launch look like an awareness-only win. Week 2 changes the picture.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700"/>
        <w:gridCol w:w="16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 daily avg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W1 daily avg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 21–23 daily avg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vs Pre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5,972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8,086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12,359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+107%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2,510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3,493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4,057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+62%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1,071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2,081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+94%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3,985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5,279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9,249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+132%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+29%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4,309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5,250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8,888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+106%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+51%</w:t>
            </w:r>
          </w:p>
        </w:tc>
      </w:tr>
    </w:tbl>
    <w:p>
      <w:pPr>
        <w:pBdr>
          <w:left w:val="single" w:color="228B22" w:sz="24" w:space="8"/>
        </w:pBdr>
        <w:shd w:fill="ECFDF5" w:val="clear"/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Apr 23 was the single highest-traffic day in the 20-day window: 14,248 active users (vs 41,803/week pre-launch baseline = 5,972/day). Same day, tidbcloud.com hit 10,888 sessions — also a 20-day high. The launch is still gathering momentum 9 days in.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AI Referrers — The AEO Signal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Using 10-day windows (Apr 4–13 vs Apr 14–23) for stable counts since these are low-volume sources.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8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 10-day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10-day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+24.4%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 of the iceberg — most LLMs strip referrer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+185%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Biggest AI mover; preserves referrer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+57.9%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+41.2%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+36.8%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Strips referrer; underreports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+2.0%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 — 2–4 week recrawl lag</w:t>
            </w:r>
          </w:p>
        </w:tc>
      </w:tr>
    </w:tbl>
    <w:p>
      <w:pPr>
        <w:pBdr>
          <w:left w:val="single" w:color="2E75B6" w:sz="24" w:space="8"/>
        </w:pBdr>
        <w:shd w:fill="EFF6FF" w:val="clear"/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Most AI-driven traffic is invisible. ChatGPT, Claude, Perplexity strip referrer headers, so their clicks land in (direct). Direct grew +33% post-launch — some unknown but meaningful share is AI-assistant traffic. Track this directly by adding UTM-tagged links inside llms.txt.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TiDB Cloud Signup Funnel — The Critical Question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Week 1: Awareness up, signups flat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In matched 7-day windows, auth.tidbcloud.com (signup flow) was essentially unchanged: 10,803 → 11,004 sessions (+1.9%), 676 → 685 new users (+1.3%). All the new traffic was awareness, not conversion.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Week 2: Signups now climbing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Apr 21–23 daily new users on auth.tidbcloud.com: 130, 107, 138 — averaging 125/day vs the 97/day baseline (</w:t>
      </w: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+29%</w:t>
      </w:r>
      <w:r>
        <w:rPr>
          <w:rFonts w:ascii="Arial" w:cs="Arial" w:eastAsia="Arial" w:hAnsi="Arial"/>
          <w:sz w:val="20"/>
          <w:szCs w:val="20"/>
        </w:rPr>
        <w:t xml:space="preserve">). The signup conversion lag is real and now resolving. This is consistent with positioning changes that draw “researchers and evaluators” first, “buyers” 7–10 days later.</w:t>
      </w:r>
    </w:p>
    <w:p>
      <w:pPr>
        <w:pBdr>
          <w:left w:val="single" w:color="228B22" w:sz="24" w:space="8"/>
        </w:pBdr>
        <w:shd w:fill="ECFDF5" w:val="clear"/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Apr 23 set a 20-day record: tidbcloud.com main app hit 10,888 sessions. Existing users + recently-signed-up users are actively engaging — a healthy retention signal alongside the growing top of funnel.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Engagement trade-off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Session duration dropped 16% (137s → 115s, 10-day windows) but bounce rate held flat at ~72%. This is the audience-broadening pattern: more first-touch visitors arrive, scan, leave. The good news is bounce didn't get worse, and conversion is now catching up in week 2 — the “low-engagement” sessions weren't entirely wasted.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Correlation vs Causation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High confidence — multi-channel, sustained, magnitude too large for noise. </w:t>
      </w:r>
      <w:r>
        <w:rPr>
          <w:rFonts w:ascii="Arial" w:cs="Arial" w:eastAsia="Arial" w:hAnsi="Arial"/>
          <w:sz w:val="20"/>
          <w:szCs w:val="20"/>
        </w:rPr>
        <w:t xml:space="preserve">Five independent signals (homepage PVs, active users, Google organic, /ai/ page, MS Copilot) all moved up at the same time, aligned with the Apr 14 launch.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Alternative explanations checked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Calendar effect: </w:t>
      </w:r>
      <w:r>
        <w:rPr>
          <w:rFonts w:ascii="Arial" w:cs="Arial" w:eastAsia="Arial" w:hAnsi="Arial"/>
          <w:sz w:val="20"/>
          <w:szCs w:val="20"/>
        </w:rPr>
        <w:t xml:space="preserve">Pre window had 2 weekend days, Post W1 also had 2 weekend days. Matched. Not the explanation.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Seasonality: </w:t>
      </w:r>
      <w:r>
        <w:rPr>
          <w:rFonts w:ascii="Arial" w:cs="Arial" w:eastAsia="Arial" w:hAnsi="Arial"/>
          <w:sz w:val="20"/>
          <w:szCs w:val="20"/>
        </w:rPr>
        <w:t xml:space="preserve">Mid-April AI infra news cycle could have lifted the broader category. Test next: pull competitor traffic estimates (Similarweb).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Marketing campaigns: </w:t>
      </w:r>
      <w:r>
        <w:rPr>
          <w:rFonts w:ascii="Arial" w:cs="Arial" w:eastAsia="Arial" w:hAnsi="Arial"/>
          <w:sz w:val="20"/>
          <w:szCs w:val="20"/>
        </w:rPr>
        <w:t xml:space="preserve">Clearchannel paid campaign (utm_content=goldfish/memory) started Apr 17 but is tiny (11 sessions total). Cannot explain the +35% lift.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Google algorithm update: </w:t>
      </w:r>
      <w:r>
        <w:rPr>
          <w:rFonts w:ascii="Arial" w:cs="Arial" w:eastAsia="Arial" w:hAnsi="Arial"/>
          <w:sz w:val="20"/>
          <w:szCs w:val="20"/>
        </w:rPr>
        <w:t xml:space="preserve">Possible. Google organic +65% sustained pattern is consistent with both a ranking change AND an algo update favoring AI-aligned database content. Compare against CockroachDB / YugabyteDB traffic.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Validation plan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Re-run this analysis at end of Week 2 (Apr 27) and Week 3 (May 4). Confirm sustained pattern.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Track auth.tidbcloud.com new users daily for 2 more weeks. If Apr 21–23 trend continues (+29% daily), conversion catch-up is causal not coincidental.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Pull competitor traffic estimates (CockroachDB, YugabyteDB) for same period to isolate category-tailwind from positioning effect.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Fix Click_to_Cloud / form_trial event tracking (still broken since Mar 18) for clean conversion attribution.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Recommended Actions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Immediate (this week)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400"/>
        <w:gridCol w:w="26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Impact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Click_to_Cloud / form_trial GTM events (broken since Mar 18)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Restore conversion attribution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UTM links inside llms.txt to attribute AI-driven direct traffic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invisible to visible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prominent /ai/ → /compare/best-database-for-ai-agents/ 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 downstream AI intent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Next 2 weeks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400"/>
        <w:gridCol w:w="26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Impact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Re-run before/after at end of W2 (Apr 27) and W3 (May 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causation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CockroachDB / YugabyteDB traffic for Apr 7–23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Isolate category tailwind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/what-is-tidb/ page — 6+ weeks 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 definitional AI queries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Analysis generated April 23, 2026. Data source: GA4 via MCP. Timezone: Asia/Shanghai. Companion interactive dashboard: homepage-launch-impact-analysis.html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·  Apr 23,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PingCAP Apr 14 Homepage Launch — Traffic Impact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2026-04-27T14:49:08.868Z</dcterms:created>
  <dcterms:modified xsi:type="dcterms:W3CDTF">2026-04-27T14:49:08.870Z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