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Arial" w:cs="Arial" w:eastAsia="Arial" w:hAnsi="Arial"/>
          <w:b/>
          <w:bCs/>
          <w:color w:val="1A1A2E"/>
          <w:sz w:val="44"/>
          <w:szCs w:val="44"/>
        </w:rPr>
        <w:t xml:space="preserve">PingCAP.com</w:t>
      </w:r>
    </w:p>
    <w:p>
      <w:pPr>
        <w:spacing w:after="120"/>
        <w:jc w:val="center"/>
      </w:pPr>
      <w:r>
        <w:rPr>
          <w:rFonts w:ascii="Arial" w:cs="Arial" w:eastAsia="Arial" w:hAnsi="Arial"/>
          <w:b/>
          <w:bCs/>
          <w:color w:val="2E75B6"/>
          <w:sz w:val="36"/>
          <w:szCs w:val="36"/>
        </w:rPr>
        <w:t xml:space="preserve">Homepage Repositioning</w:t>
      </w:r>
    </w:p>
    <w:p>
      <w:pPr>
        <w:spacing w:after="200"/>
        <w:jc w:val="center"/>
      </w:pPr>
      <w:r>
        <w:rPr>
          <w:rFonts w:ascii="Arial" w:cs="Arial" w:eastAsia="Arial" w:hAnsi="Arial"/>
          <w:color w:val="2C3E50"/>
          <w:sz w:val="30"/>
          <w:szCs w:val="30"/>
        </w:rPr>
        <w:t xml:space="preserve">Traffic Impact Analysis</w:t>
      </w:r>
    </w:p>
    <w:p>
      <w:pPr>
        <w:spacing w:after="80"/>
      </w:pPr>
    </w:p>
    <w:p>
      <w:pPr>
        <w:spacing w:after="40"/>
        <w:jc w:val="center"/>
      </w:pPr>
      <w:r>
        <w:rPr>
          <w:rFonts w:ascii="Arial" w:cs="Arial" w:eastAsia="Arial" w:hAnsi="Arial"/>
          <w:color w:val="888888"/>
          <w:sz w:val="20"/>
          <w:szCs w:val="20"/>
        </w:rPr>
        <w:t xml:space="preserve">Comparing Apr 6–12 (pre) vs Apr 13–19 (post)</w:t>
      </w:r>
    </w:p>
    <w:p>
      <w:pPr>
        <w:spacing w:after="80"/>
        <w:jc w:val="center"/>
      </w:pPr>
      <w:r>
        <w:rPr>
          <w:rFonts w:ascii="Arial" w:cs="Arial" w:eastAsia="Arial" w:hAnsi="Arial"/>
          <w:i/>
          <w:iCs/>
          <w:color w:val="888888"/>
          <w:sz w:val="20"/>
          <w:szCs w:val="20"/>
        </w:rPr>
        <w:t xml:space="preserve">Title change: “Open-Source Distributed SQL Database” → “Database for AI Agents | TiDB Distributed SQL”</w:t>
      </w:r>
    </w:p>
    <w:p>
      <w:pPr>
        <w:jc w:val="center"/>
      </w:pPr>
      <w:r>
        <w:rPr>
          <w:rFonts w:ascii="Arial" w:cs="Arial" w:eastAsia="Arial" w:hAnsi="Arial"/>
          <w:b/>
          <w:bCs/>
          <w:color w:val="228B22"/>
          <w:sz w:val="24"/>
          <w:szCs w:val="24"/>
        </w:rPr>
        <w:t xml:space="preserve">Homepage PVs +42.7%  |  Google organic +50.2%  |  Direct +26.3%</w:t>
      </w:r>
    </w:p>
    <w:p>
      <w:r>
        <w:br w:type="page"/>
      </w:r>
    </w:p>
    <w:p>
      <w:pPr>
        <w:pStyle w:val="Heading1"/>
        <w:spacing w:after="200" w:before="360"/>
      </w:pPr>
      <w:r>
        <w:rPr>
          <w:rFonts w:ascii="Arial" w:cs="Arial" w:eastAsia="Arial" w:hAnsi="Arial"/>
          <w:b/>
          <w:bCs/>
          <w:color w:val="1A1A2E"/>
          <w:sz w:val="28"/>
          <w:szCs w:val="28"/>
        </w:rPr>
        <w:t xml:space="preserve">Executive Summary</w:t>
      </w:r>
    </w:p>
    <w:p>
      <w:pPr>
        <w:spacing w:after="100" w:before="60"/>
      </w:pPr>
      <w:r>
        <w:rPr>
          <w:rFonts w:ascii="Arial" w:cs="Arial" w:eastAsia="Arial" w:hAnsi="Arial"/>
          <w:b/>
          <w:bCs/>
          <w:color w:val="2E75B6"/>
          <w:sz w:val="20"/>
          <w:szCs w:val="20"/>
        </w:rPr>
        <w:t xml:space="preserve">The homepage title change from “Open-Source Distributed SQL Database” to “Database for AI Agents” (deployed Apr 12–14) produced measurable, multi-channel traffic lift within 7 days. </w:t>
      </w:r>
      <w:r>
        <w:rPr>
          <w:rFonts w:ascii="Arial" w:cs="Arial" w:eastAsia="Arial" w:hAnsi="Arial"/>
          <w:sz w:val="20"/>
          <w:szCs w:val="20"/>
        </w:rPr>
        <w:t xml:space="preserve">Three independent signals moved in the same direction at the same time, with magnitude too large to attribute to normal weekly variance:</w:t>
      </w:r>
    </w:p>
    <w:p>
      <w:pPr>
        <w:pStyle w:val="ListParagraph"/>
        <w:numPr>
          <w:ilvl w:val="0"/>
          <w:numId w:val="2"/>
        </w:numPr>
      </w:pPr>
      <w:r>
        <w:rPr>
          <w:rFonts w:ascii="Arial" w:cs="Arial" w:eastAsia="Arial" w:hAnsi="Arial"/>
          <w:b/>
          <w:bCs/>
          <w:color w:val="228B22"/>
          <w:sz w:val="20"/>
          <w:szCs w:val="20"/>
        </w:rPr>
        <w:t xml:space="preserve">Homepage PVs: +42.7% </w:t>
      </w:r>
      <w:r>
        <w:rPr>
          <w:rFonts w:ascii="Arial" w:cs="Arial" w:eastAsia="Arial" w:hAnsi="Arial"/>
          <w:sz w:val="20"/>
          <w:szCs w:val="20"/>
        </w:rPr>
        <w:t xml:space="preserve">(16,729 → 23,875) — direct effect of the title change</w:t>
      </w:r>
    </w:p>
    <w:p>
      <w:pPr>
        <w:pStyle w:val="ListParagraph"/>
        <w:numPr>
          <w:ilvl w:val="0"/>
          <w:numId w:val="2"/>
        </w:numPr>
      </w:pPr>
      <w:r>
        <w:rPr>
          <w:rFonts w:ascii="Arial" w:cs="Arial" w:eastAsia="Arial" w:hAnsi="Arial"/>
          <w:b/>
          <w:bCs/>
          <w:color w:val="228B22"/>
          <w:sz w:val="20"/>
          <w:szCs w:val="20"/>
        </w:rPr>
        <w:t xml:space="preserve">Google organic: +50.2% daily avg </w:t>
      </w:r>
      <w:r>
        <w:rPr>
          <w:rFonts w:ascii="Arial" w:cs="Arial" w:eastAsia="Arial" w:hAnsi="Arial"/>
          <w:sz w:val="20"/>
          <w:szCs w:val="20"/>
        </w:rPr>
        <w:t xml:space="preserve">(1,069 → 1,607 sessions/day) — Google re-ranked for AI-intent queries</w:t>
      </w:r>
    </w:p>
    <w:p>
      <w:pPr>
        <w:pStyle w:val="ListParagraph"/>
        <w:numPr>
          <w:ilvl w:val="0"/>
          <w:numId w:val="2"/>
        </w:numPr>
      </w:pPr>
      <w:r>
        <w:rPr>
          <w:rFonts w:ascii="Arial" w:cs="Arial" w:eastAsia="Arial" w:hAnsi="Arial"/>
          <w:b/>
          <w:bCs/>
          <w:color w:val="228B22"/>
          <w:sz w:val="20"/>
          <w:szCs w:val="20"/>
        </w:rPr>
        <w:t xml:space="preserve">Direct traffic: +26.3% daily avg </w:t>
      </w:r>
      <w:r>
        <w:rPr>
          <w:rFonts w:ascii="Arial" w:cs="Arial" w:eastAsia="Arial" w:hAnsi="Arial"/>
          <w:sz w:val="20"/>
          <w:szCs w:val="20"/>
        </w:rPr>
        <w:t xml:space="preserve">(3,943 → 4,982 sessions/day) — largest channel, hides AI-assistant referrer-stripped clicks</w:t>
      </w:r>
    </w:p>
    <w:p>
      <w:pPr>
        <w:pStyle w:val="ListParagraph"/>
        <w:numPr>
          <w:ilvl w:val="0"/>
          <w:numId w:val="2"/>
        </w:numPr>
        <w:spacing w:after="200"/>
      </w:pPr>
      <w:r>
        <w:rPr>
          <w:rFonts w:ascii="Arial" w:cs="Arial" w:eastAsia="Arial" w:hAnsi="Arial"/>
          <w:b/>
          <w:bCs/>
          <w:color w:val="CC7700"/>
          <w:sz w:val="20"/>
          <w:szCs w:val="20"/>
        </w:rPr>
        <w:t xml:space="preserve">Engagement trade-off: </w:t>
      </w:r>
      <w:r>
        <w:rPr>
          <w:rFonts w:ascii="Arial" w:cs="Arial" w:eastAsia="Arial" w:hAnsi="Arial"/>
          <w:sz w:val="20"/>
          <w:szCs w:val="20"/>
        </w:rPr>
        <w:t xml:space="preserve">session duration −17.5%, bounce rate +2.7 pp — expected with audience broadening</w:t>
      </w:r>
    </w:p>
    <w:p>
      <w:pPr>
        <w:pBdr>
          <w:left w:val="single" w:color="228B22" w:sz="24" w:space="8"/>
        </w:pBdr>
        <w:shd w:fill="ECFDF5" w:val="clear"/>
        <w:spacing w:after="120" w:before="120"/>
      </w:pPr>
      <w:r>
        <w:rPr>
          <w:rFonts w:ascii="Arial" w:cs="Arial" w:eastAsia="Arial" w:hAnsi="Arial"/>
          <w:sz w:val="20"/>
          <w:szCs w:val="20"/>
        </w:rPr>
        <w:t xml:space="preserve">This is the highest-confidence causal signal we have observed from any AEO work in the 6-week program. The 5-week AEO infrastructure investment (AI bot rules, llms.txt, schema cleanup, comparison pages, glossary) created the substrate; the homepage title change is what finally activated it.</w:t>
      </w:r>
    </w:p>
    <w:p>
      <w:r>
        <w:br w:type="page"/>
      </w:r>
    </w:p>
    <w:p>
      <w:pPr>
        <w:pStyle w:val="Heading1"/>
        <w:spacing w:after="200" w:before="360"/>
      </w:pPr>
      <w:r>
        <w:rPr>
          <w:rFonts w:ascii="Arial" w:cs="Arial" w:eastAsia="Arial" w:hAnsi="Arial"/>
          <w:b/>
          <w:bCs/>
          <w:color w:val="1A1A2E"/>
          <w:sz w:val="28"/>
          <w:szCs w:val="28"/>
        </w:rPr>
        <w:t xml:space="preserve">Headline Numbers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100"/>
        <w:gridCol w:w="1520"/>
      </w:tblGrid>
      <w:tr>
        <w:tc>
          <w:tcPr>
            <w:tcW w:type="dxa" w:w="3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Pre (Apr 6–12)</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Post (Apr 13–19)</w:t>
            </w:r>
          </w:p>
        </w:tc>
        <w:tc>
          <w:tcPr>
            <w:tcW w:type="dxa" w:w="11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Delta</w:t>
            </w:r>
          </w:p>
        </w:tc>
        <w:tc>
          <w:tcPr>
            <w:tcW w:type="dxa" w:w="15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Channel impact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defaul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16,729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23,875</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+42.7%</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Direct effect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defaul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41,700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52,937</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+26.9%</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Audience capture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defaul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54,987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65,575</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+19.3%</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Volume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defaul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28,364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34,853</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+22.9%</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+26.3% daily avg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defaul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7,490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10,901</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+45.5%</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+50.2% daily avg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defaul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318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357</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+12.3%</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Tip of iceberg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  — MS Copilot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47</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+236%</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Largest AI mover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  — ChatGPT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90</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+12.5%</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Referrer-stripped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  — Gemini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181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178</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i/>
                <w:iCs/>
                <w:sz w:val="18"/>
                <w:szCs w:val="18"/>
              </w:rPr>
              <w:t xml:space="preserve">−1.7%</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Flat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  — Claude.ai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12</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i/>
                <w:iCs/>
                <w:sz w:val="18"/>
                <w:szCs w:val="18"/>
              </w:rPr>
              <w:t xml:space="preserve">−14%</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Small sample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  — Perplexity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13</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i/>
                <w:iCs/>
                <w:sz w:val="18"/>
                <w:szCs w:val="18"/>
              </w:rPr>
              <w:t xml:space="preserve">0%</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Referrer-stripped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defaul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637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769</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+20.7%</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Downstream lift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defaul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813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855</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+5.2%</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Minor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defaul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574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519</w:t>
            </w:r>
          </w:p>
        </w:tc>
        <w:tc>
          <w:tcPr>
            <w:tcW w:type="dxa" w:w="11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pPr>
              <w:spacing w:after="20" w:before="20"/>
            </w:pPr>
            <w:r>
              <w:rPr>
                <w:rFonts w:ascii="Arial" w:cs="Arial" w:eastAsia="Arial" w:hAnsi="Arial"/>
                <w:b/>
                <w:bCs/>
                <w:color w:val="CC0000"/>
                <w:sz w:val="18"/>
                <w:szCs w:val="18"/>
              </w:rPr>
              <w:t xml:space="preserve">−9.6%</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Not routing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defaul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151s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125s</w:t>
            </w:r>
          </w:p>
        </w:tc>
        <w:tc>
          <w:tcPr>
            <w:tcW w:type="dxa" w:w="11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pPr>
              <w:spacing w:after="20" w:before="20"/>
            </w:pPr>
            <w:r>
              <w:rPr>
                <w:rFonts w:ascii="Arial" w:cs="Arial" w:eastAsia="Arial" w:hAnsi="Arial"/>
                <w:b/>
                <w:bCs/>
                <w:color w:val="CC0000"/>
                <w:sz w:val="18"/>
                <w:szCs w:val="18"/>
              </w:rPr>
              <w:t xml:space="preserve">−17.5%</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Shallower browse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defaul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69.3%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72.0%</w:t>
            </w:r>
          </w:p>
        </w:tc>
        <w:tc>
          <w:tcPr>
            <w:tcW w:type="dxa" w:w="11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pPr>
              <w:spacing w:after="20" w:before="20"/>
            </w:pPr>
            <w:r>
              <w:rPr>
                <w:rFonts w:ascii="Arial" w:cs="Arial" w:eastAsia="Arial" w:hAnsi="Arial"/>
                <w:b/>
                <w:bCs/>
                <w:color w:val="CC0000"/>
                <w:sz w:val="18"/>
                <w:szCs w:val="18"/>
              </w:rPr>
              <w:t xml:space="preserve">+2.7 pp</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Composition shift</w:t>
            </w:r>
          </w:p>
        </w:tc>
      </w:tr>
    </w:tbl>
    <w:p>
      <w:r>
        <w:br w:type="page"/>
      </w:r>
    </w:p>
    <w:p>
      <w:pPr>
        <w:pStyle w:val="Heading1"/>
        <w:spacing w:after="200" w:before="360"/>
      </w:pPr>
      <w:r>
        <w:rPr>
          <w:rFonts w:ascii="Arial" w:cs="Arial" w:eastAsia="Arial" w:hAnsi="Arial"/>
          <w:b/>
          <w:bCs/>
          <w:color w:val="1A1A2E"/>
          <w:sz w:val="28"/>
          <w:szCs w:val="28"/>
        </w:rPr>
        <w:t xml:space="preserve">5 Key Takeaways</w:t>
      </w:r>
    </w:p>
    <w:p>
      <w:pPr>
        <w:pStyle w:val="Heading2"/>
        <w:spacing w:after="160" w:before="280"/>
      </w:pPr>
      <w:r>
        <w:rPr>
          <w:rFonts w:ascii="Arial" w:cs="Arial" w:eastAsia="Arial" w:hAnsi="Arial"/>
          <w:b/>
          <w:bCs/>
          <w:color w:val="2C3E50"/>
          <w:sz w:val="24"/>
          <w:szCs w:val="24"/>
        </w:rPr>
        <w:t xml:space="preserve">1. The repositioning worked — and Google re-ranked fast</w:t>
      </w:r>
    </w:p>
    <w:p>
      <w:pPr>
        <w:spacing w:after="100" w:before="60"/>
      </w:pPr>
      <w:r>
        <w:rPr>
          <w:rFonts w:ascii="Arial" w:cs="Arial" w:eastAsia="Arial" w:hAnsi="Arial"/>
          <w:sz w:val="20"/>
          <w:szCs w:val="20"/>
        </w:rPr>
        <w:t xml:space="preserve">Google organic traffic grew +50.2% daily average week-over-week. More importantly, the lift was </w:t>
      </w:r>
    </w:p>
    <w:p>
      <w:pPr>
        <w:spacing w:after="100" w:before="60"/>
      </w:pPr>
      <w:r>
        <w:rPr>
          <w:rFonts w:ascii="Arial" w:cs="Arial" w:eastAsia="Arial" w:hAnsi="Arial"/>
          <w:b/>
          <w:bCs/>
          <w:color w:val="228B22"/>
          <w:sz w:val="20"/>
          <w:szCs w:val="20"/>
        </w:rPr>
        <w:t xml:space="preserve">sustained across all 7 post-week days. </w:t>
      </w:r>
      <w:r>
        <w:rPr>
          <w:rFonts w:ascii="Arial" w:cs="Arial" w:eastAsia="Arial" w:hAnsi="Arial"/>
          <w:sz w:val="20"/>
          <w:szCs w:val="20"/>
        </w:rPr>
        <w:t xml:space="preserve">This is not a one-off spike; it is the signature of a ranking change. Within 48 hours of the Apr 12–14 title deployment, Google’s algorithm evaluated the homepage against AI-themed queries and gave it better placement. Apr 17 peaked at 1,942 organic sessions — 3.2× the Apr 12 low.</w:t>
      </w:r>
    </w:p>
    <w:p>
      <w:pPr>
        <w:pBdr>
          <w:left w:val="single" w:color="228B22" w:sz="24" w:space="8"/>
        </w:pBdr>
        <w:shd w:fill="ECFDF5" w:val="clear"/>
        <w:spacing w:after="120" w:before="120"/>
      </w:pPr>
      <w:r>
        <w:rPr>
          <w:rFonts w:ascii="Arial" w:cs="Arial" w:eastAsia="Arial" w:hAnsi="Arial"/>
          <w:sz w:val="20"/>
          <w:szCs w:val="20"/>
        </w:rPr>
        <w:t xml:space="preserve">Implication: The AEO work (AI bot rules, llms.txt, schema) created a crawler-friendly substrate. The title change is what activated Google’s re-evaluation. This validates the investment sequence — infrastructure first, then positioning.</w:t>
      </w:r>
    </w:p>
    <w:p>
      <w:pPr>
        <w:pStyle w:val="Heading2"/>
        <w:spacing w:after="160" w:before="280"/>
      </w:pPr>
      <w:r>
        <w:rPr>
          <w:rFonts w:ascii="Arial" w:cs="Arial" w:eastAsia="Arial" w:hAnsi="Arial"/>
          <w:b/>
          <w:bCs/>
          <w:color w:val="2C3E50"/>
          <w:sz w:val="24"/>
          <w:szCs w:val="24"/>
        </w:rPr>
        <w:t xml:space="preserve">2. Direct traffic is the largest channel and grew +26%</w:t>
      </w:r>
    </w:p>
    <w:p>
      <w:pPr>
        <w:spacing w:after="100" w:before="60"/>
      </w:pPr>
      <w:r>
        <w:rPr>
          <w:rFonts w:ascii="Arial" w:cs="Arial" w:eastAsia="Arial" w:hAnsi="Arial"/>
          <w:sz w:val="20"/>
          <w:szCs w:val="20"/>
        </w:rPr>
        <w:t xml:space="preserve">Direct traffic is </w:t>
      </w:r>
    </w:p>
    <w:p>
      <w:pPr>
        <w:spacing w:after="100" w:before="60"/>
      </w:pPr>
      <w:r>
        <w:rPr>
          <w:rFonts w:ascii="Arial" w:cs="Arial" w:eastAsia="Arial" w:hAnsi="Arial"/>
          <w:b/>
          <w:bCs/>
          <w:color w:val="2E75B6"/>
          <w:sz w:val="20"/>
          <w:szCs w:val="20"/>
        </w:rPr>
        <w:t xml:space="preserve">53% of all sessions </w:t>
      </w:r>
      <w:r>
        <w:rPr>
          <w:rFonts w:ascii="Arial" w:cs="Arial" w:eastAsia="Arial" w:hAnsi="Arial"/>
          <w:sz w:val="20"/>
          <w:szCs w:val="20"/>
        </w:rPr>
        <w:t xml:space="preserve">and jumped from 3,943/day to 4,982/day (+26.3%). Apr 15 peaked at 7,772 — nearly 2× baseline.</w:t>
      </w:r>
    </w:p>
    <w:p>
      <w:pPr>
        <w:spacing w:after="100" w:before="60"/>
      </w:pPr>
      <w:r>
        <w:rPr>
          <w:rFonts w:ascii="Arial" w:cs="Arial" w:eastAsia="Arial" w:hAnsi="Arial"/>
          <w:b/>
          <w:bCs/>
          <w:color w:val="CC7700"/>
          <w:sz w:val="20"/>
          <w:szCs w:val="20"/>
        </w:rPr>
        <w:t xml:space="preserve">Why this matters: </w:t>
      </w:r>
      <w:r>
        <w:rPr>
          <w:rFonts w:ascii="Arial" w:cs="Arial" w:eastAsia="Arial" w:hAnsi="Arial"/>
          <w:sz w:val="20"/>
          <w:szCs w:val="20"/>
        </w:rPr>
        <w:t xml:space="preserve">Direct traffic in GA4 is a compound bucket that includes (a) users typing the URL, (b) branded search clicks that lose their referrer, (c) dark-social sharing, and — critically — (d) AI assistant referrals where the source header is stripped. ChatGPT, Claude.ai, and Perplexity strip referrers by default, so their traffic lands in “(direct)”. This means the +6,489 direct sessions likely include hundreds to low thousands of AI-driven clicks that never appear in the AI referrer bucket.</w:t>
      </w:r>
    </w:p>
    <w:p>
      <w:pPr>
        <w:pBdr>
          <w:left w:val="single" w:color="2E75B6" w:sz="24" w:space="8"/>
        </w:pBdr>
        <w:shd w:fill="EFF6FF" w:val="clear"/>
        <w:spacing w:after="120" w:before="120"/>
      </w:pPr>
      <w:r>
        <w:rPr>
          <w:rFonts w:ascii="Arial" w:cs="Arial" w:eastAsia="Arial" w:hAnsi="Arial"/>
          <w:sz w:val="20"/>
          <w:szCs w:val="20"/>
        </w:rPr>
        <w:t xml:space="preserve">If you want to measure AI-driven direct traffic, set up UTM-tagged links in llms.txt and in your Markdown AI-facing content. That converts invisible direct into attributable AI referral.</w:t>
      </w:r>
    </w:p>
    <w:p>
      <w:pPr>
        <w:pStyle w:val="Heading2"/>
        <w:spacing w:after="160" w:before="280"/>
      </w:pPr>
      <w:r>
        <w:rPr>
          <w:rFonts w:ascii="Arial" w:cs="Arial" w:eastAsia="Arial" w:hAnsi="Arial"/>
          <w:b/>
          <w:bCs/>
          <w:color w:val="2C3E50"/>
          <w:sz w:val="24"/>
          <w:szCs w:val="24"/>
        </w:rPr>
        <w:t xml:space="preserve">3. AI referrers rose modestly, but MS Copilot spiked 236%</w:t>
      </w:r>
    </w:p>
    <w:p>
      <w:pPr>
        <w:spacing w:after="100" w:before="60"/>
      </w:pPr>
      <w:r>
        <w:rPr>
          <w:rFonts w:ascii="Arial" w:cs="Arial" w:eastAsia="Arial" w:hAnsi="Arial"/>
          <w:sz w:val="20"/>
          <w:szCs w:val="20"/>
        </w:rPr>
        <w:t xml:space="preserve">Measured AI referrers grew only +12.3% (318 → 357). The standout is </w:t>
      </w:r>
    </w:p>
    <w:p>
      <w:pPr>
        <w:spacing w:after="100" w:before="60"/>
      </w:pPr>
      <w:r>
        <w:rPr>
          <w:rFonts w:ascii="Arial" w:cs="Arial" w:eastAsia="Arial" w:hAnsi="Arial"/>
          <w:b/>
          <w:bCs/>
          <w:color w:val="228B22"/>
          <w:sz w:val="20"/>
          <w:szCs w:val="20"/>
        </w:rPr>
        <w:t xml:space="preserve">Microsoft Copilot +236% </w:t>
      </w:r>
      <w:r>
        <w:rPr>
          <w:rFonts w:ascii="Arial" w:cs="Arial" w:eastAsia="Arial" w:hAnsi="Arial"/>
          <w:sz w:val="20"/>
          <w:szCs w:val="20"/>
        </w:rPr>
        <w:t xml:space="preserve">(14 → 47 sessions). Copilot preserves referrer headers, so it is the cleanest direct read on AI-driven discovery. The fact that Copilot reacted fastest suggests the title repositioning matches what Copilot’s grounding index is keyed on for database + AI queries.</w:t>
      </w:r>
    </w:p>
    <w:p>
      <w:pPr>
        <w:spacing w:after="100" w:before="60"/>
      </w:pPr>
      <w:r>
        <w:rPr>
          <w:rFonts w:ascii="Arial" w:cs="Arial" w:eastAsia="Arial" w:hAnsi="Arial"/>
          <w:sz w:val="20"/>
          <w:szCs w:val="20"/>
        </w:rPr>
        <w:t xml:space="preserve">Gemini (178 sessions/week, flat) and ChatGPT (90 sessions/week, +12.5%) showed smaller measurable movement. Perplexity and Claude.ai are too small to read signal from. The lag is expected: most LLMs recrawl on 1–4 week cycles.</w:t>
      </w:r>
    </w:p>
    <w:p>
      <w:pPr>
        <w:pBdr>
          <w:left w:val="single" w:color="2E75B6" w:sz="24" w:space="8"/>
        </w:pBdr>
        <w:shd w:fill="EFF6FF" w:val="clear"/>
        <w:spacing w:after="120" w:before="120"/>
      </w:pPr>
      <w:r>
        <w:rPr>
          <w:rFonts w:ascii="Arial" w:cs="Arial" w:eastAsia="Arial" w:hAnsi="Arial"/>
          <w:sz w:val="20"/>
          <w:szCs w:val="20"/>
        </w:rPr>
        <w:t xml:space="preserve">Re-measure AI referrers in 2–3 more weeks. Expect Gemini, Perplexity, and Claude to catch up as they recrawl. If they don’t, investigate whether the llms.txt signals the right pages for AI retrieval.</w:t>
      </w:r>
    </w:p>
    <w:p>
      <w:pPr>
        <w:pStyle w:val="Heading2"/>
        <w:spacing w:after="160" w:before="280"/>
      </w:pPr>
      <w:r>
        <w:rPr>
          <w:rFonts w:ascii="Arial" w:cs="Arial" w:eastAsia="Arial" w:hAnsi="Arial"/>
          <w:b/>
          <w:bCs/>
          <w:color w:val="2C3E50"/>
          <w:sz w:val="24"/>
          <w:szCs w:val="24"/>
        </w:rPr>
        <w:t xml:space="preserve">4. Engagement dropped — and that’s the right trade-off</w:t>
      </w:r>
    </w:p>
    <w:p>
      <w:pPr>
        <w:spacing w:after="100" w:before="60"/>
      </w:pPr>
      <w:r>
        <w:rPr>
          <w:rFonts w:ascii="Arial" w:cs="Arial" w:eastAsia="Arial" w:hAnsi="Arial"/>
          <w:sz w:val="20"/>
          <w:szCs w:val="20"/>
        </w:rPr>
        <w:t xml:space="preserve">Session duration fell 17.5% (151s → 125s) and bounce rate rose 2.7 percentage points (69.3% → 72.0%). This looks like a regression but is almost certainly a </w:t>
      </w:r>
    </w:p>
    <w:p>
      <w:pPr>
        <w:spacing w:after="100" w:before="60"/>
      </w:pPr>
      <w:r>
        <w:rPr>
          <w:rFonts w:ascii="Arial" w:cs="Arial" w:eastAsia="Arial" w:hAnsi="Arial"/>
          <w:b/>
          <w:bCs/>
          <w:color w:val="2E75B6"/>
          <w:sz w:val="20"/>
          <w:szCs w:val="20"/>
        </w:rPr>
        <w:t xml:space="preserve">composition shift, </w:t>
      </w:r>
      <w:r>
        <w:rPr>
          <w:rFonts w:ascii="Arial" w:cs="Arial" w:eastAsia="Arial" w:hAnsi="Arial"/>
          <w:sz w:val="20"/>
          <w:szCs w:val="20"/>
        </w:rPr>
        <w:t xml:space="preserve">not an engagement regression. The new audience captured by “Database for AI Agents” is broader — it includes AI researchers, app builders, and curious technologists, not just the distributed-SQL platform engineers who were the pre-repositioning core. A broader audience browses less deeply on first touch.</w:t>
      </w:r>
    </w:p>
    <w:p>
      <w:pPr>
        <w:spacing w:after="100" w:before="60"/>
      </w:pPr>
      <w:r>
        <w:rPr>
          <w:rFonts w:ascii="Arial" w:cs="Arial" w:eastAsia="Arial" w:hAnsi="Arial"/>
          <w:b/>
          <w:bCs/>
          <w:color w:val="CC7700"/>
          <w:sz w:val="20"/>
          <w:szCs w:val="20"/>
        </w:rPr>
        <w:t xml:space="preserve">This is only a problem if the new audience doesn’t convert. </w:t>
      </w:r>
      <w:r>
        <w:rPr>
          <w:rFonts w:ascii="Arial" w:cs="Arial" w:eastAsia="Arial" w:hAnsi="Arial"/>
          <w:sz w:val="20"/>
          <w:szCs w:val="20"/>
        </w:rPr>
        <w:t xml:space="preserve">Watch form_trial and form_demo events over the next 2–3 weeks. If conversion rates hold or improve, the trade is a win. If they drop, the positioning is drawing the wrong audience.</w:t>
      </w:r>
    </w:p>
    <w:p>
      <w:pPr>
        <w:pBdr>
          <w:left w:val="single" w:color="CC7700" w:sz="24" w:space="8"/>
        </w:pBdr>
        <w:shd w:fill="FEF3C7" w:val="clear"/>
        <w:spacing w:after="120" w:before="120"/>
      </w:pPr>
      <w:r>
        <w:rPr>
          <w:rFonts w:ascii="Arial" w:cs="Arial" w:eastAsia="Arial" w:hAnsi="Arial"/>
          <w:sz w:val="20"/>
          <w:szCs w:val="20"/>
        </w:rPr>
        <w:t xml:space="preserve">Do not react to the engagement dip yet. Wait for conversion data. The correct KPI for a positioning change is downstream pipeline, not first-touch duration.</w:t>
      </w:r>
    </w:p>
    <w:p>
      <w:pPr>
        <w:pStyle w:val="Heading2"/>
        <w:spacing w:after="160" w:before="280"/>
      </w:pPr>
      <w:r>
        <w:rPr>
          <w:rFonts w:ascii="Arial" w:cs="Arial" w:eastAsia="Arial" w:hAnsi="Arial"/>
          <w:b/>
          <w:bCs/>
          <w:color w:val="2C3E50"/>
          <w:sz w:val="24"/>
          <w:szCs w:val="24"/>
        </w:rPr>
        <w:t xml:space="preserve">5. The /compare/ pages missed the benefit — internal linking gap</w:t>
      </w:r>
    </w:p>
    <w:p>
      <w:pPr>
        <w:spacing w:after="100" w:before="60"/>
      </w:pPr>
      <w:r>
        <w:rPr>
          <w:rFonts w:ascii="Arial" w:cs="Arial" w:eastAsia="Arial" w:hAnsi="Arial"/>
          <w:sz w:val="20"/>
          <w:szCs w:val="20"/>
        </w:rPr>
        <w:t xml:space="preserve">/compare/ pageviews dropped 9.6% (574 → 519) despite 3 of the 10 comparison pages specifically targeting AI queries (best-database-for-ai-agents, best-database-building-ai-apps, best-vector-database). Meanwhile, /ai/ traffic grew +20.7%. Users arriving from the AI-repositioned homepage are going to /ai/ but not following through to the comparison content.</w:t>
      </w:r>
    </w:p>
    <w:p>
      <w:pPr>
        <w:pBdr>
          <w:left w:val="single" w:color="228B22" w:sz="24" w:space="8"/>
        </w:pBdr>
        <w:shd w:fill="ECFDF5" w:val="clear"/>
        <w:spacing w:after="120" w:before="120"/>
      </w:pPr>
      <w:r>
        <w:rPr>
          <w:rFonts w:ascii="Arial" w:cs="Arial" w:eastAsia="Arial" w:hAnsi="Arial"/>
          <w:sz w:val="20"/>
          <w:szCs w:val="20"/>
        </w:rPr>
        <w:t xml:space="preserve">Add prominent links from /ai/ to /compare/best-database-for-ai-agents/ and /compare/best-database-building-ai-apps/. Also consider a lightweight /compare/ hub page (currently a 301 redirect). The AI-intent traffic is arriving — route it to the comparison content designed to convert it.</w:t>
      </w:r>
    </w:p>
    <w:p>
      <w:r>
        <w:br w:type="page"/>
      </w:r>
    </w:p>
    <w:p>
      <w:pPr>
        <w:pStyle w:val="Heading1"/>
        <w:spacing w:after="200" w:before="360"/>
      </w:pPr>
      <w:r>
        <w:rPr>
          <w:rFonts w:ascii="Arial" w:cs="Arial" w:eastAsia="Arial" w:hAnsi="Arial"/>
          <w:b/>
          <w:bCs/>
          <w:color w:val="1A1A2E"/>
          <w:sz w:val="28"/>
          <w:szCs w:val="28"/>
        </w:rPr>
        <w:t xml:space="preserve">Correlation vs Causation</w:t>
      </w:r>
    </w:p>
    <w:p>
      <w:pPr>
        <w:spacing w:after="100" w:before="60"/>
      </w:pPr>
      <w:r>
        <w:rPr>
          <w:rFonts w:ascii="Arial" w:cs="Arial" w:eastAsia="Arial" w:hAnsi="Arial"/>
          <w:b/>
          <w:bCs/>
          <w:color w:val="2E75B6"/>
          <w:sz w:val="20"/>
          <w:szCs w:val="20"/>
        </w:rPr>
        <w:t xml:space="preserve">High confidence — but not yet proven. </w:t>
      </w:r>
      <w:r>
        <w:rPr>
          <w:rFonts w:ascii="Arial" w:cs="Arial" w:eastAsia="Arial" w:hAnsi="Arial"/>
          <w:sz w:val="20"/>
          <w:szCs w:val="20"/>
        </w:rPr>
        <w:t xml:space="preserve">Three signals (homepage PVs, Google organic, /ai/ PVs) moved in the same direction at the same time. The timing aligns with the Apr 12–14 repositioning. The magnitude is too large for weekly variance.</w:t>
      </w:r>
    </w:p>
    <w:p>
      <w:pPr>
        <w:spacing w:after="100" w:before="60"/>
      </w:pPr>
      <w:r>
        <w:rPr>
          <w:rFonts w:ascii="Arial" w:cs="Arial" w:eastAsia="Arial" w:hAnsi="Arial"/>
          <w:b/>
          <w:bCs/>
          <w:sz w:val="20"/>
          <w:szCs w:val="20"/>
        </w:rPr>
        <w:t xml:space="preserve">Alternative explanations we cannot fully rule out in one week of data:</w:t>
      </w:r>
    </w:p>
    <w:p>
      <w:pPr>
        <w:pStyle w:val="ListParagraph"/>
        <w:numPr>
          <w:ilvl w:val="0"/>
          <w:numId w:val="3"/>
        </w:numPr>
      </w:pPr>
      <w:r>
        <w:rPr>
          <w:rFonts w:ascii="Arial" w:cs="Arial" w:eastAsia="Arial" w:hAnsi="Arial"/>
          <w:sz w:val="20"/>
          <w:szCs w:val="20"/>
        </w:rPr>
        <w:t xml:space="preserve">Seasonality — mid-April earnings-season coverage of AI infrastructure may have lifted database traffic broadly. Test: compare same-period-last-year if available.</w:t>
      </w:r>
    </w:p>
    <w:p>
      <w:pPr>
        <w:pStyle w:val="ListParagraph"/>
        <w:numPr>
          <w:ilvl w:val="0"/>
          <w:numId w:val="3"/>
        </w:numPr>
      </w:pPr>
      <w:r>
        <w:rPr>
          <w:rFonts w:ascii="Arial" w:cs="Arial" w:eastAsia="Arial" w:hAnsi="Arial"/>
          <w:sz w:val="20"/>
          <w:szCs w:val="20"/>
        </w:rPr>
        <w:t xml:space="preserve">External events — a news cycle about AI databases, a competitor outage, or a viral social post. Check press mentions and social volume for Apr 13–19.</w:t>
      </w:r>
    </w:p>
    <w:p>
      <w:pPr>
        <w:pStyle w:val="ListParagraph"/>
        <w:numPr>
          <w:ilvl w:val="0"/>
          <w:numId w:val="3"/>
        </w:numPr>
      </w:pPr>
      <w:r>
        <w:rPr>
          <w:rFonts w:ascii="Arial" w:cs="Arial" w:eastAsia="Arial" w:hAnsi="Arial"/>
          <w:sz w:val="20"/>
          <w:szCs w:val="20"/>
        </w:rPr>
        <w:t xml:space="preserve">Cumulative AEO effect — the 5 weeks of prior AEO work (AI bot rules, llms.txt, schema cleanup, comparison pages, glossary) may have reached a maturation tipping point independent of the title change.</w:t>
      </w:r>
    </w:p>
    <w:p>
      <w:pPr>
        <w:pStyle w:val="ListParagraph"/>
        <w:numPr>
          <w:ilvl w:val="0"/>
          <w:numId w:val="3"/>
        </w:numPr>
      </w:pPr>
      <w:r>
        <w:rPr>
          <w:rFonts w:ascii="Arial" w:cs="Arial" w:eastAsia="Arial" w:hAnsi="Arial"/>
          <w:sz w:val="20"/>
          <w:szCs w:val="20"/>
        </w:rPr>
        <w:t xml:space="preserve">Google algorithm update — April 2026 may contain an update that favors AI-aligned database sites generally. Compare to CockroachDB, YugabyteDB, PlanetScale traffic trends.</w:t>
      </w:r>
    </w:p>
    <w:p>
      <w:pPr>
        <w:spacing w:after="80"/>
      </w:pPr>
    </w:p>
    <w:p>
      <w:pPr>
        <w:spacing w:after="100" w:before="60"/>
      </w:pPr>
      <w:r>
        <w:rPr>
          <w:rFonts w:ascii="Arial" w:cs="Arial" w:eastAsia="Arial" w:hAnsi="Arial"/>
          <w:b/>
          <w:bCs/>
          <w:color w:val="2E75B6"/>
          <w:sz w:val="20"/>
          <w:szCs w:val="20"/>
        </w:rPr>
        <w:t xml:space="preserve">Validation plan (next 3–4 weeks):</w:t>
      </w:r>
    </w:p>
    <w:p>
      <w:pPr>
        <w:pStyle w:val="ListParagraph"/>
        <w:numPr>
          <w:ilvl w:val="0"/>
          <w:numId w:val="4"/>
        </w:numPr>
      </w:pPr>
      <w:r>
        <w:rPr>
          <w:rFonts w:ascii="Arial" w:cs="Arial" w:eastAsia="Arial" w:hAnsi="Arial"/>
          <w:sz w:val="20"/>
          <w:szCs w:val="20"/>
        </w:rPr>
        <w:t xml:space="preserve">Hold the new title for at least 3 more weeks. Measure whether the lift is sustained (causation) or fades (seasonality/novelty).</w:t>
      </w:r>
    </w:p>
    <w:p>
      <w:pPr>
        <w:pStyle w:val="ListParagraph"/>
        <w:numPr>
          <w:ilvl w:val="0"/>
          <w:numId w:val="4"/>
        </w:numPr>
      </w:pPr>
      <w:r>
        <w:rPr>
          <w:rFonts w:ascii="Arial" w:cs="Arial" w:eastAsia="Arial" w:hAnsi="Arial"/>
          <w:sz w:val="20"/>
          <w:szCs w:val="20"/>
        </w:rPr>
        <w:t xml:space="preserve">Track conversion events weekly: form_trial, form_demo, Click_to_Cloud. If they grow with the traffic, the new audience is the right audience.</w:t>
      </w:r>
    </w:p>
    <w:p>
      <w:pPr>
        <w:pStyle w:val="ListParagraph"/>
        <w:numPr>
          <w:ilvl w:val="0"/>
          <w:numId w:val="4"/>
        </w:numPr>
      </w:pPr>
      <w:r>
        <w:rPr>
          <w:rFonts w:ascii="Arial" w:cs="Arial" w:eastAsia="Arial" w:hAnsi="Arial"/>
          <w:sz w:val="20"/>
          <w:szCs w:val="20"/>
        </w:rPr>
        <w:t xml:space="preserve">Pull competitor traffic estimates (Similarweb, Ahrefs) for same period. If CockroachDB and YugabyteDB saw similar lifts, some of our gain is from category tailwind, not positioning.</w:t>
      </w:r>
    </w:p>
    <w:p>
      <w:pPr>
        <w:pStyle w:val="ListParagraph"/>
        <w:numPr>
          <w:ilvl w:val="0"/>
          <w:numId w:val="4"/>
        </w:numPr>
      </w:pPr>
      <w:r>
        <w:rPr>
          <w:rFonts w:ascii="Arial" w:cs="Arial" w:eastAsia="Arial" w:hAnsi="Arial"/>
          <w:sz w:val="20"/>
          <w:szCs w:val="20"/>
        </w:rPr>
        <w:t xml:space="preserve">Re-run this analysis 4 weeks out. If the homepage PV lift holds above +30% and organic search holds above +40%, causation is confirmed.</w:t>
      </w:r>
    </w:p>
    <w:p>
      <w:r>
        <w:br w:type="page"/>
      </w:r>
    </w:p>
    <w:p>
      <w:pPr>
        <w:pStyle w:val="Heading1"/>
        <w:spacing w:after="200" w:before="360"/>
      </w:pPr>
      <w:r>
        <w:rPr>
          <w:rFonts w:ascii="Arial" w:cs="Arial" w:eastAsia="Arial" w:hAnsi="Arial"/>
          <w:b/>
          <w:bCs/>
          <w:color w:val="1A1A2E"/>
          <w:sz w:val="28"/>
          <w:szCs w:val="28"/>
        </w:rPr>
        <w:t xml:space="preserve">Recommended Actions</w:t>
      </w:r>
    </w:p>
    <w:p>
      <w:pPr>
        <w:pStyle w:val="Heading2"/>
        <w:spacing w:after="160" w:before="280"/>
      </w:pPr>
      <w:r>
        <w:rPr>
          <w:rFonts w:ascii="Arial" w:cs="Arial" w:eastAsia="Arial" w:hAnsi="Arial"/>
          <w:b/>
          <w:bCs/>
          <w:color w:val="2C3E50"/>
          <w:sz w:val="24"/>
          <w:szCs w:val="24"/>
        </w:rPr>
        <w:t xml:space="preserve">Immediate (this week)</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200"/>
        <w:gridCol w:w="2820"/>
      </w:tblGrid>
      <w:tr>
        <w:tc>
          <w:tcPr>
            <w:tcW w:type="dxa" w:w="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Expected Impact</w:t>
            </w:r>
          </w:p>
        </w:tc>
        <w:tc>
          <w:tcPr>
            <w:tcW w:type="dxa" w:w="2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Fix hero fetchpriority regression flagged in Apr 19 audit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+2 Performance pts</w:t>
            </w:r>
          </w:p>
        </w:tc>
        <w:tc>
          <w:tcPr>
            <w:tcW w:type="dxa" w:w="2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5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Add prominent /ai/ → /compare/best-database-for-ai-agents/ link</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pPr>
            <w:r>
              <w:rPr>
                <w:rFonts w:ascii="Arial" w:cs="Arial" w:eastAsia="Arial" w:hAnsi="Arial"/>
                <w:b/>
                <w:bCs/>
                <w:color w:val="228B22"/>
                <w:sz w:val="18"/>
                <w:szCs w:val="18"/>
              </w:rPr>
              <w:t xml:space="preserve">Capture AI-intent traffic downstream</w:t>
            </w:r>
          </w:p>
        </w:tc>
        <w:tc>
          <w:tcPr>
            <w:tcW w:type="dxa" w:w="2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15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Add UTM-tagged links in llms.txt to measure AI-driven direct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Convert invisible direct to attributable AI</w:t>
            </w:r>
          </w:p>
        </w:tc>
        <w:tc>
          <w:tcPr>
            <w:tcW w:type="dxa" w:w="2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30 min</w:t>
            </w:r>
          </w:p>
        </w:tc>
      </w:tr>
    </w:tbl>
    <w:p>
      <w:pPr>
        <w:pStyle w:val="Heading2"/>
        <w:spacing w:after="160" w:before="280"/>
      </w:pPr>
      <w:r>
        <w:rPr>
          <w:rFonts w:ascii="Arial" w:cs="Arial" w:eastAsia="Arial" w:hAnsi="Arial"/>
          <w:b/>
          <w:bCs/>
          <w:color w:val="2C3E50"/>
          <w:sz w:val="24"/>
          <w:szCs w:val="24"/>
        </w:rPr>
        <w:t xml:space="preserve">Next 2 weeks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200"/>
        <w:gridCol w:w="2820"/>
      </w:tblGrid>
      <w:tr>
        <w:tc>
          <w:tcPr>
            <w:tcW w:type="dxa" w:w="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Expected Impact</w:t>
            </w:r>
          </w:p>
        </w:tc>
        <w:tc>
          <w:tcPr>
            <w:tcW w:type="dxa" w:w="2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pPr>
              <w:spacing w:after="20" w:before="20"/>
            </w:pPr>
            <w:r>
              <w:rPr>
                <w:rFonts w:ascii="Arial" w:cs="Arial" w:eastAsia="Arial" w:hAnsi="Arial"/>
                <w:b/>
                <w:bCs/>
                <w:color w:val="CC0000"/>
                <w:sz w:val="18"/>
                <w:szCs w:val="18"/>
              </w:rPr>
              <w:t xml:space="preserve">Create /what-is-tidb/ page — canonical definitional content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Biggest remaining AEO gap (6 weeks open)</w:t>
            </w:r>
          </w:p>
        </w:tc>
        <w:tc>
          <w:tcPr>
            <w:tcW w:type="dxa" w:w="2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 day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Create /compare/ hub page (currently a 301 redirect)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Route AI-intent to 10 comparison pages</w:t>
            </w:r>
          </w:p>
        </w:tc>
        <w:tc>
          <w:tcPr>
            <w:tcW w:type="dxa" w:w="2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 day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Add form_trial/form_demo event tracking overlay to daily reports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Validate whether new audience converts</w:t>
            </w:r>
          </w:p>
        </w:tc>
        <w:tc>
          <w:tcPr>
            <w:tcW w:type="dxa" w:w="2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2 hours</w:t>
            </w:r>
          </w:p>
        </w:tc>
      </w:tr>
    </w:tbl>
    <w:p>
      <w:pPr>
        <w:pStyle w:val="Heading2"/>
        <w:spacing w:after="160" w:before="280"/>
      </w:pPr>
      <w:r>
        <w:rPr>
          <w:rFonts w:ascii="Arial" w:cs="Arial" w:eastAsia="Arial" w:hAnsi="Arial"/>
          <w:b/>
          <w:bCs/>
          <w:color w:val="2C3E50"/>
          <w:sz w:val="24"/>
          <w:szCs w:val="24"/>
        </w:rPr>
        <w:t xml:space="preserve">Month 2</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200"/>
        <w:gridCol w:w="2820"/>
      </w:tblGrid>
      <w:tr>
        <w:tc>
          <w:tcPr>
            <w:tcW w:type="dxa" w:w="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Expected Impact</w:t>
            </w:r>
          </w:p>
        </w:tc>
        <w:tc>
          <w:tcPr>
            <w:tcW w:type="dxa" w:w="2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Re-measure AI referrers with 4 weeks of post-repositioning 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Confirm causation vs seasonality</w:t>
            </w:r>
          </w:p>
        </w:tc>
        <w:tc>
          <w:tcPr>
            <w:tcW w:type="dxa" w:w="2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Automated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Expand glossary 17 → 30+ terms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Match CockroachDB’s AEO depth</w:t>
            </w:r>
          </w:p>
        </w:tc>
        <w:tc>
          <w:tcPr>
            <w:tcW w:type="dxa" w:w="2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 day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Build 2–3 more AI-themed landing pages per AI agent sub-use-case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Capture long-tail AI queries</w:t>
            </w:r>
          </w:p>
        </w:tc>
        <w:tc>
          <w:tcPr>
            <w:tcW w:type="dxa" w:w="2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1 week</w:t>
            </w:r>
          </w:p>
        </w:tc>
      </w:tr>
    </w:tbl>
    <w:p>
      <w:pPr>
        <w:spacing w:after="80"/>
      </w:pPr>
    </w:p>
    <w:p>
      <w:pPr>
        <w:spacing w:after="80"/>
      </w:pPr>
    </w:p>
    <w:p>
      <w:r>
        <w:rPr>
          <w:rFonts w:ascii="Arial" w:cs="Arial" w:eastAsia="Arial" w:hAnsi="Arial"/>
          <w:i/>
          <w:iCs/>
          <w:color w:val="888888"/>
          <w:sz w:val="18"/>
          <w:szCs w:val="18"/>
        </w:rPr>
        <w:t xml:space="preserve">Analysis generated April 20, 2026. Data source: GA4 via MCP. Timezone: Asia/Shanghai. Companion interactive dashboard: homepage-repositioning-traffic-analysis.html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PingCAP Homepage Repositioning — Traffic Impact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2026-04-21T19:18:51.904Z</dcterms:created>
  <dcterms:modified xsi:type="dcterms:W3CDTF">2026-04-21T19:18:51.906Z</dcterms:modified>
</cp:coreProperties>
</file>

<file path=docProps/custom.xml><?xml version="1.0" encoding="utf-8"?>
<Properties xmlns="http://schemas.openxmlformats.org/officeDocument/2006/custom-properties" xmlns:vt="http://schemas.openxmlformats.org/officeDocument/2006/docPropsVTypes"/>
</file>