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Times" w:cs="Times" w:eastAsia="Times" w:hAnsi="Times"/>
          <w:sz w:val="52"/>
          <w:szCs w:val="52"/>
          <w:rtl w:val="0"/>
        </w:rPr>
        <w:t xml:space="preserve">Data Intake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Helvetica Neue" w:cs="Helvetica Neue" w:eastAsia="Helvetica Neue" w:hAnsi="Helvetica Neue"/>
          <w:color w:val="222d35"/>
          <w:sz w:val="43"/>
          <w:szCs w:val="43"/>
          <w:rtl w:val="0"/>
        </w:rPr>
        <w:t xml:space="preserve">G2M insight for Cab Investment firm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Report date: 8/14/2024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Internship Batch: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0e68b3"/>
            <w:sz w:val="24"/>
            <w:szCs w:val="24"/>
            <w:rtl w:val="0"/>
          </w:rPr>
          <w:t xml:space="preserve">LISUM47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Version:&lt;1.0&gt;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Data intake by: Akshata Atpadkar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Data intake reviewer: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Data storage location: &lt;location URL eg: github, drive&gt;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Tabular data details: </w:t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Observations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Cab_Data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359392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49171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Transaction_ID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e3e3e3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Roboto" w:cs="Roboto" w:eastAsia="Roboto" w:hAnsi="Roboto"/>
                <w:b w:val="1"/>
                <w:color w:val="e3e3e3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440098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csv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nvas.instructure.com/courses/1237664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