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Biological and Chemical Factors Affecting Continuous Glucose Monitoring (CGM)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Biological factors that decrease CGM accuracy include dehydration, altered hematocrit, and certain physiological conditions like low blood pressure. Chemical factors include the presence of interfering substances like ascorbic acid (Vitamin C) and acetaminophen, as well as extreme temperatures and humidity, which can affect the sensor’s chemical reactions and performance.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Biological Factors: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Dehydration: Can affect interstitial fluid glucose levels and lead to inaccurate readings.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Hematocrit: A low or high red blood cell count can decrease accuracy.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Blood Perfusion: Low blood pressure can reduce blood flow to the sensor site, impacting the reading.</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Other Substances: Naturally occurring substances like uric acid and bilirubin can interfere with sensor readings.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Chemical Factors: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Interfering medications and supplements: Certain substances can cause false readings.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Ascorbic Acid (Vitamin C): May cause falsely high readings, depending on the sensor model.</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Acetaminophen (Tylenol): Can cause falsely high readings, depending on the sensor model.</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Other Medications: Salicylates (found in aspirin) can sometimes cause falsely low readings.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Environmental Conditions: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Temperature: Extreme heat or cold can affect the chemical reactions within the sensor.</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Humidity: High humidity can weaken the sensor’s adhesive, causing it to shift and lead to erratic readings.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Other Chemical Interferences: Various organic compounds, like maltose and dopamine, can interfere with the sensor’s chemical processes. Skin creams and lotions can interfere with the sensor’s chemical processes. </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Rotate Sites: Regularly change your sensor location to avoid scar tissue build-up, which might affect sensor performance over time.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Lipids and Proteins Decrease Continuous Glucose Monitoring Accuracy?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Neither specific lipids nor specific proteins have been widely identified as direct interfering substances that decrease continuous glucose monitoring (CGM) accuracy in the same way certain medications do. Instead, the composition of meals containing fats and proteins affects the rate and magnitude of postprandial (after-meal) glucose changes, which can impact how accurately a CGM reflects real-time blood glucose.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How Macronutrients Affect CGM Readings: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Fats and Proteins in Meals: Meals with a combination of carbohydrates, fats, and proteins generally result in smaller and slower increases in glucose concentrations compared to carbohydrate-only meals. The presence of fat and protein can delay gastric emptying and glucose absorption, which impacts the postprandial glucose curve that the CGM tracks.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Sensor Physiology: CGMs measure glucose in the interstitial fluid, not directly in the blood, leading to a natural physiological lag time of several minutes. This lag becomes more apparent during rapid changes in blood glucose, such as immediately after a meal, where the CGM reading might not instantly match the current blood glucose level. High-fat, high-protein meals can also lead to more gradual glucose changes, which in turn affect the device’s ability to track the specific peaks and nadirs accurately, with accuracy sometimes declining in the post-meal phase.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Take the blood glucose before eating meals and after finishing the meal. </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Sensor Fouling: Some research suggests that various organic compounds, including amino acids and proteins, could potentially migrate through the sensor membranes and “poison” the bare platinum electrodes used in some electrochemical sensors, leading to signal deterioration and sensor drift over time. However, modern CGM systems employ advanced membrane arrangements and algorithmic corrections to minimize these impacts.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