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05C" w:rsidP="00E72143" w:rsidRDefault="00E72143" w14:paraId="2B2B1FC5" w14:textId="3894826E">
      <w:pPr>
        <w:jc w:val="center"/>
        <w:rPr>
          <w:b/>
          <w:bCs/>
        </w:rPr>
      </w:pPr>
      <w:bookmarkStart w:name="_Toc370702097" w:id="0"/>
      <w:bookmarkStart w:name="_Toc378572577" w:id="1"/>
      <w:bookmarkStart w:name="_Toc379290239" w:id="2"/>
      <w:bookmarkStart w:name="_Toc379359178" w:id="3"/>
      <w:bookmarkStart w:name="_Toc10989200" w:id="4"/>
      <w:bookmarkStart w:name="_Toc35678865" w:id="5"/>
      <w:bookmarkStart w:name="_Toc206474967" w:id="6"/>
      <w:r w:rsidRPr="00E72143">
        <w:rPr>
          <w:b/>
          <w:bCs/>
        </w:rPr>
        <w:t>ACCESS CONTROL POLICY</w:t>
      </w:r>
    </w:p>
    <w:p w:rsidRPr="00E72143" w:rsidR="00E72143" w:rsidP="00E72143" w:rsidRDefault="00E72143" w14:paraId="49480496" w14:textId="6AE4CD46">
      <w:pPr>
        <w:jc w:val="center"/>
        <w:rPr>
          <w:b/>
          <w:bCs/>
        </w:rPr>
      </w:pPr>
      <w:r>
        <w:rPr>
          <w:b/>
          <w:bCs/>
        </w:rPr>
        <w:t xml:space="preserve"> </w:t>
      </w:r>
    </w:p>
    <w:p w:rsidR="4E9C6013" w:rsidP="4E9C6013" w:rsidRDefault="4E9C6013" w14:paraId="1045D48B" w14:textId="5A361700">
      <w:pPr>
        <w:pStyle w:val="Normal"/>
        <w:rPr>
          <w:rFonts w:ascii="Times New Roman" w:hAnsi="Times New Roman" w:eastAsia="Times New Roman" w:cs="Times New Roman"/>
          <w:sz w:val="24"/>
          <w:szCs w:val="24"/>
        </w:rPr>
      </w:pPr>
    </w:p>
    <w:tbl>
      <w:tblPr>
        <w:tblW w:w="901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05"/>
        <w:gridCol w:w="4505"/>
      </w:tblGrid>
      <w:tr w:rsidRPr="0079105C" w:rsidR="0079105C" w:rsidTr="43501C4B" w14:paraId="552A8728" w14:textId="77777777">
        <w:trPr>
          <w:trHeight w:val="495"/>
        </w:trPr>
        <w:tc>
          <w:tcPr>
            <w:tcW w:w="45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79105C" w:rsidR="0079105C" w:rsidP="0079105C" w:rsidRDefault="0079105C" w14:paraId="5FBA697F" w14:textId="57C0AE05">
            <w:pPr>
              <w:jc w:val="center"/>
              <w:textAlignment w:val="baseline"/>
              <w:rPr>
                <w:rFonts w:ascii="Segoe UI" w:hAnsi="Segoe UI" w:cs="Segoe UI"/>
                <w:sz w:val="18"/>
                <w:szCs w:val="18"/>
                <w:lang w:val="en-IN" w:eastAsia="en-IN"/>
              </w:rPr>
            </w:pPr>
            <w:r>
              <w:br/>
            </w:r>
            <w:r w:rsidRPr="4E9C6013" w:rsidR="0079105C">
              <w:rPr>
                <w:b w:val="1"/>
                <w:bCs w:val="1"/>
                <w:color w:val="333332"/>
                <w:sz w:val="22"/>
                <w:szCs w:val="22"/>
                <w:lang w:eastAsia="en-IN"/>
              </w:rPr>
              <w:t>Document Name</w:t>
            </w:r>
            <w:r w:rsidRPr="4E9C6013" w:rsidR="0079105C">
              <w:rPr>
                <w:color w:val="333332"/>
                <w:sz w:val="22"/>
                <w:szCs w:val="22"/>
                <w:lang w:val="en-IN" w:eastAsia="en-IN"/>
              </w:rPr>
              <w:t>  </w:t>
            </w:r>
          </w:p>
        </w:tc>
        <w:tc>
          <w:tcPr>
            <w:tcW w:w="4505" w:type="dxa"/>
            <w:tcBorders>
              <w:top w:val="single" w:color="000000" w:themeColor="text1" w:sz="6" w:space="0"/>
              <w:left w:val="nil"/>
              <w:bottom w:val="single" w:color="000000" w:themeColor="text1" w:sz="6" w:space="0"/>
              <w:right w:val="single" w:color="000000" w:themeColor="text1" w:sz="6" w:space="0"/>
            </w:tcBorders>
            <w:shd w:val="clear" w:color="auto" w:fill="auto"/>
            <w:tcMar/>
            <w:hideMark/>
          </w:tcPr>
          <w:p w:rsidR="4E9C6013" w:rsidP="4E9C6013" w:rsidRDefault="4E9C6013" w14:paraId="4529347C" w14:textId="08746FAC">
            <w:pPr>
              <w:jc w:val="center"/>
              <w:rPr>
                <w:b w:val="1"/>
                <w:bCs w:val="1"/>
                <w:color w:val="333332"/>
                <w:sz w:val="22"/>
                <w:szCs w:val="22"/>
                <w:lang w:eastAsia="en-IN"/>
              </w:rPr>
            </w:pPr>
          </w:p>
          <w:p w:rsidRPr="0079105C" w:rsidR="0079105C" w:rsidP="0079105C" w:rsidRDefault="00E72143" w14:paraId="0D6E2267" w14:textId="5CB28544">
            <w:pPr>
              <w:jc w:val="center"/>
              <w:textAlignment w:val="baseline"/>
              <w:rPr>
                <w:rFonts w:ascii="Segoe UI" w:hAnsi="Segoe UI" w:cs="Segoe UI"/>
                <w:sz w:val="18"/>
                <w:szCs w:val="18"/>
                <w:lang w:val="en-IN" w:eastAsia="en-IN"/>
              </w:rPr>
            </w:pPr>
            <w:r>
              <w:rPr>
                <w:b/>
                <w:bCs/>
                <w:color w:val="333332"/>
                <w:sz w:val="22"/>
                <w:szCs w:val="22"/>
                <w:lang w:eastAsia="en-IN"/>
              </w:rPr>
              <w:t>Access Control</w:t>
            </w:r>
            <w:r w:rsidRPr="0079105C" w:rsidR="0079105C">
              <w:rPr>
                <w:b/>
                <w:bCs/>
                <w:color w:val="333332"/>
                <w:sz w:val="22"/>
                <w:szCs w:val="22"/>
                <w:lang w:eastAsia="en-IN"/>
              </w:rPr>
              <w:t xml:space="preserve"> Policy</w:t>
            </w:r>
            <w:r w:rsidRPr="0079105C" w:rsidR="0079105C">
              <w:rPr>
                <w:color w:val="333332"/>
                <w:sz w:val="22"/>
                <w:szCs w:val="22"/>
                <w:lang w:val="en-IN" w:eastAsia="en-IN"/>
              </w:rPr>
              <w:t> </w:t>
            </w:r>
          </w:p>
        </w:tc>
      </w:tr>
      <w:tr w:rsidRPr="0079105C" w:rsidR="0079105C" w:rsidTr="43501C4B" w14:paraId="222A7FDB" w14:textId="77777777">
        <w:trPr>
          <w:trHeight w:val="450"/>
        </w:trPr>
        <w:tc>
          <w:tcPr>
            <w:tcW w:w="450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4E9C6013" w:rsidP="4E9C6013" w:rsidRDefault="4E9C6013" w14:paraId="28521382" w14:textId="63C2B3B1">
            <w:pPr>
              <w:jc w:val="center"/>
              <w:rPr>
                <w:b w:val="1"/>
                <w:bCs w:val="1"/>
                <w:color w:val="333332"/>
                <w:sz w:val="22"/>
                <w:szCs w:val="22"/>
                <w:lang w:eastAsia="en-IN"/>
              </w:rPr>
            </w:pPr>
          </w:p>
          <w:p w:rsidRPr="0079105C" w:rsidR="0079105C" w:rsidP="0079105C" w:rsidRDefault="0079105C" w14:paraId="5B8FFD25" w14:textId="77777777">
            <w:pPr>
              <w:jc w:val="center"/>
              <w:textAlignment w:val="baseline"/>
              <w:rPr>
                <w:rFonts w:ascii="Segoe UI" w:hAnsi="Segoe UI" w:cs="Segoe UI"/>
                <w:sz w:val="18"/>
                <w:szCs w:val="18"/>
                <w:lang w:val="en-IN" w:eastAsia="en-IN"/>
              </w:rPr>
            </w:pPr>
            <w:r w:rsidRPr="0079105C">
              <w:rPr>
                <w:b/>
                <w:bCs/>
                <w:color w:val="333332"/>
                <w:sz w:val="22"/>
                <w:szCs w:val="22"/>
                <w:lang w:eastAsia="en-IN"/>
              </w:rPr>
              <w:t>Version</w:t>
            </w:r>
            <w:r w:rsidRPr="0079105C">
              <w:rPr>
                <w:color w:val="333332"/>
                <w:sz w:val="22"/>
                <w:szCs w:val="22"/>
                <w:lang w:val="en-IN" w:eastAsia="en-IN"/>
              </w:rPr>
              <w:t>  </w:t>
            </w:r>
          </w:p>
        </w:tc>
        <w:tc>
          <w:tcPr>
            <w:tcW w:w="4505" w:type="dxa"/>
            <w:tcBorders>
              <w:top w:val="nil"/>
              <w:left w:val="nil"/>
              <w:bottom w:val="single" w:color="000000" w:themeColor="text1" w:sz="6" w:space="0"/>
              <w:right w:val="single" w:color="000000" w:themeColor="text1" w:sz="6" w:space="0"/>
            </w:tcBorders>
            <w:shd w:val="clear" w:color="auto" w:fill="auto"/>
            <w:tcMar/>
            <w:hideMark/>
          </w:tcPr>
          <w:p w:rsidR="4E9C6013" w:rsidP="4E9C6013" w:rsidRDefault="4E9C6013" w14:paraId="3F3AB6DF" w14:textId="445920AF">
            <w:pPr>
              <w:jc w:val="center"/>
              <w:rPr>
                <w:b w:val="1"/>
                <w:bCs w:val="1"/>
                <w:color w:val="333332"/>
                <w:sz w:val="22"/>
                <w:szCs w:val="22"/>
                <w:lang w:eastAsia="en-IN"/>
              </w:rPr>
            </w:pPr>
          </w:p>
          <w:p w:rsidRPr="0079105C" w:rsidR="0079105C" w:rsidP="0079105C" w:rsidRDefault="0079105C" w14:paraId="3DEF58B2" w14:textId="0DDC451E">
            <w:pPr>
              <w:jc w:val="center"/>
              <w:textAlignment w:val="baseline"/>
              <w:rPr>
                <w:rFonts w:ascii="Segoe UI" w:hAnsi="Segoe UI" w:cs="Segoe UI"/>
                <w:sz w:val="18"/>
                <w:szCs w:val="18"/>
                <w:lang w:val="en-IN" w:eastAsia="en-IN"/>
              </w:rPr>
            </w:pPr>
            <w:r w:rsidRPr="0079105C">
              <w:rPr>
                <w:b/>
                <w:bCs/>
                <w:color w:val="333332"/>
                <w:sz w:val="22"/>
                <w:szCs w:val="22"/>
                <w:lang w:eastAsia="en-IN"/>
              </w:rPr>
              <w:t>0.</w:t>
            </w:r>
            <w:r w:rsidR="00E72143">
              <w:rPr>
                <w:b/>
                <w:bCs/>
                <w:color w:val="333332"/>
                <w:sz w:val="22"/>
                <w:szCs w:val="22"/>
                <w:lang w:eastAsia="en-IN"/>
              </w:rPr>
              <w:t>1</w:t>
            </w:r>
          </w:p>
        </w:tc>
      </w:tr>
      <w:tr w:rsidRPr="0079105C" w:rsidR="0079105C" w:rsidTr="43501C4B" w14:paraId="3F871FC5" w14:textId="77777777">
        <w:trPr>
          <w:trHeight w:val="480"/>
        </w:trPr>
        <w:tc>
          <w:tcPr>
            <w:tcW w:w="450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4E9C6013" w:rsidP="4E9C6013" w:rsidRDefault="4E9C6013" w14:paraId="7F4E4241" w14:textId="07E01BEF">
            <w:pPr>
              <w:jc w:val="center"/>
              <w:rPr>
                <w:b w:val="1"/>
                <w:bCs w:val="1"/>
                <w:sz w:val="22"/>
                <w:szCs w:val="22"/>
                <w:lang w:eastAsia="en-IN"/>
              </w:rPr>
            </w:pPr>
          </w:p>
          <w:p w:rsidRPr="0079105C" w:rsidR="0079105C" w:rsidP="4E9C6013" w:rsidRDefault="0079105C" w14:paraId="5377AA35" w14:textId="68BBCA4D">
            <w:pPr>
              <w:jc w:val="center"/>
              <w:textAlignment w:val="baseline"/>
              <w:rPr>
                <w:b w:val="1"/>
                <w:bCs w:val="1"/>
                <w:sz w:val="22"/>
                <w:szCs w:val="22"/>
                <w:lang w:eastAsia="en-IN"/>
              </w:rPr>
            </w:pPr>
            <w:r w:rsidRPr="4E9C6013" w:rsidR="0079105C">
              <w:rPr>
                <w:b w:val="1"/>
                <w:bCs w:val="1"/>
                <w:sz w:val="22"/>
                <w:szCs w:val="22"/>
                <w:lang w:eastAsia="en-IN"/>
              </w:rPr>
              <w:t>Last Updated by</w:t>
            </w:r>
          </w:p>
        </w:tc>
        <w:tc>
          <w:tcPr>
            <w:tcW w:w="4505" w:type="dxa"/>
            <w:tcBorders>
              <w:top w:val="nil"/>
              <w:left w:val="nil"/>
              <w:bottom w:val="single" w:color="000000" w:themeColor="text1" w:sz="6" w:space="0"/>
              <w:right w:val="single" w:color="000000" w:themeColor="text1" w:sz="6" w:space="0"/>
            </w:tcBorders>
            <w:shd w:val="clear" w:color="auto" w:fill="auto"/>
            <w:tcMar/>
            <w:hideMark/>
          </w:tcPr>
          <w:p w:rsidR="4E9C6013" w:rsidP="4E9C6013" w:rsidRDefault="4E9C6013" w14:paraId="7F37818E" w14:textId="6E35F147">
            <w:pPr>
              <w:jc w:val="center"/>
              <w:rPr>
                <w:b w:val="1"/>
                <w:bCs w:val="1"/>
                <w:color w:val="333332"/>
                <w:sz w:val="22"/>
                <w:szCs w:val="22"/>
                <w:lang w:eastAsia="en-IN"/>
              </w:rPr>
            </w:pPr>
          </w:p>
          <w:p w:rsidRPr="0079105C" w:rsidR="0079105C" w:rsidP="0079105C" w:rsidRDefault="0079105C" w14:paraId="30C98F31" w14:textId="323B4646">
            <w:pPr>
              <w:jc w:val="center"/>
              <w:textAlignment w:val="baseline"/>
              <w:rPr>
                <w:rFonts w:ascii="Segoe UI" w:hAnsi="Segoe UI" w:cs="Segoe UI"/>
                <w:sz w:val="18"/>
                <w:szCs w:val="18"/>
                <w:lang w:val="en-IN" w:eastAsia="en-IN"/>
              </w:rPr>
            </w:pPr>
            <w:r>
              <w:rPr>
                <w:b/>
                <w:bCs/>
                <w:color w:val="333332"/>
                <w:sz w:val="22"/>
                <w:szCs w:val="22"/>
                <w:lang w:eastAsia="en-IN"/>
              </w:rPr>
              <w:t>Anjaly T A</w:t>
            </w:r>
          </w:p>
        </w:tc>
      </w:tr>
      <w:tr w:rsidRPr="0079105C" w:rsidR="0079105C" w:rsidTr="43501C4B" w14:paraId="26BA124C" w14:textId="77777777">
        <w:trPr>
          <w:trHeight w:val="450"/>
        </w:trPr>
        <w:tc>
          <w:tcPr>
            <w:tcW w:w="450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4E9C6013" w:rsidP="4E9C6013" w:rsidRDefault="4E9C6013" w14:paraId="753055C1" w14:textId="18940956">
            <w:pPr>
              <w:jc w:val="center"/>
              <w:rPr>
                <w:b w:val="1"/>
                <w:bCs w:val="1"/>
                <w:color w:val="333332"/>
                <w:sz w:val="22"/>
                <w:szCs w:val="22"/>
                <w:lang w:eastAsia="en-IN"/>
              </w:rPr>
            </w:pPr>
          </w:p>
          <w:p w:rsidRPr="0079105C" w:rsidR="0079105C" w:rsidP="0079105C" w:rsidRDefault="0079105C" w14:paraId="7510859A" w14:textId="49E49BB4">
            <w:pPr>
              <w:jc w:val="center"/>
              <w:textAlignment w:val="baseline"/>
              <w:rPr>
                <w:rFonts w:ascii="Segoe UI" w:hAnsi="Segoe UI" w:cs="Segoe UI"/>
                <w:sz w:val="18"/>
                <w:szCs w:val="18"/>
                <w:lang w:val="en-IN" w:eastAsia="en-IN"/>
              </w:rPr>
            </w:pPr>
            <w:r>
              <w:rPr>
                <w:b/>
                <w:bCs/>
                <w:color w:val="333332"/>
                <w:sz w:val="22"/>
                <w:szCs w:val="22"/>
                <w:lang w:eastAsia="en-IN"/>
              </w:rPr>
              <w:t>Approved</w:t>
            </w:r>
            <w:r w:rsidRPr="0079105C">
              <w:rPr>
                <w:b/>
                <w:bCs/>
                <w:color w:val="333332"/>
                <w:sz w:val="22"/>
                <w:szCs w:val="22"/>
                <w:lang w:eastAsia="en-IN"/>
              </w:rPr>
              <w:t xml:space="preserve"> By</w:t>
            </w:r>
            <w:r w:rsidRPr="0079105C">
              <w:rPr>
                <w:color w:val="333332"/>
                <w:sz w:val="22"/>
                <w:szCs w:val="22"/>
                <w:lang w:val="en-IN" w:eastAsia="en-IN"/>
              </w:rPr>
              <w:t>  </w:t>
            </w:r>
          </w:p>
        </w:tc>
        <w:tc>
          <w:tcPr>
            <w:tcW w:w="4505" w:type="dxa"/>
            <w:tcBorders>
              <w:top w:val="nil"/>
              <w:left w:val="nil"/>
              <w:bottom w:val="single" w:color="000000" w:themeColor="text1" w:sz="6" w:space="0"/>
              <w:right w:val="single" w:color="000000" w:themeColor="text1" w:sz="6" w:space="0"/>
            </w:tcBorders>
            <w:shd w:val="clear" w:color="auto" w:fill="auto"/>
            <w:tcMar/>
            <w:hideMark/>
          </w:tcPr>
          <w:p w:rsidR="4E9C6013" w:rsidP="4E9C6013" w:rsidRDefault="4E9C6013" w14:paraId="02E43EEB" w14:textId="35F29FE0">
            <w:pPr>
              <w:jc w:val="center"/>
              <w:rPr>
                <w:b w:val="1"/>
                <w:bCs w:val="1"/>
                <w:color w:val="333332"/>
                <w:sz w:val="22"/>
                <w:szCs w:val="22"/>
                <w:lang w:val="en-IN" w:eastAsia="en-IN"/>
              </w:rPr>
            </w:pPr>
          </w:p>
          <w:p w:rsidRPr="0079105C" w:rsidR="0079105C" w:rsidP="0079105C" w:rsidRDefault="00E72143" w14:paraId="15E253EB" w14:textId="393F905B">
            <w:pPr>
              <w:jc w:val="center"/>
              <w:textAlignment w:val="baseline"/>
              <w:rPr>
                <w:rFonts w:ascii="Segoe UI" w:hAnsi="Segoe UI" w:cs="Segoe UI"/>
                <w:b/>
                <w:bCs/>
                <w:sz w:val="18"/>
                <w:szCs w:val="18"/>
                <w:lang w:val="en-IN" w:eastAsia="en-IN"/>
              </w:rPr>
            </w:pPr>
            <w:r w:rsidRPr="00E72143">
              <w:rPr>
                <w:b/>
                <w:bCs/>
                <w:color w:val="333332"/>
                <w:sz w:val="22"/>
                <w:szCs w:val="22"/>
                <w:lang w:val="en-IN" w:eastAsia="en-IN"/>
              </w:rPr>
              <w:t>Inderjit Singh Bedi</w:t>
            </w:r>
            <w:r w:rsidRPr="0079105C" w:rsidR="0079105C">
              <w:rPr>
                <w:b/>
                <w:bCs/>
                <w:color w:val="333332"/>
                <w:sz w:val="22"/>
                <w:szCs w:val="22"/>
                <w:lang w:val="en-IN" w:eastAsia="en-IN"/>
              </w:rPr>
              <w:t>  </w:t>
            </w:r>
          </w:p>
        </w:tc>
      </w:tr>
      <w:tr w:rsidRPr="0079105C" w:rsidR="0079105C" w:rsidTr="43501C4B" w14:paraId="6B65FE0D" w14:textId="77777777">
        <w:trPr>
          <w:trHeight w:val="450"/>
        </w:trPr>
        <w:tc>
          <w:tcPr>
            <w:tcW w:w="450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4E9C6013" w:rsidP="4E9C6013" w:rsidRDefault="4E9C6013" w14:paraId="78775B08" w14:textId="4C3C1904">
            <w:pPr>
              <w:jc w:val="center"/>
              <w:rPr>
                <w:b w:val="1"/>
                <w:bCs w:val="1"/>
                <w:color w:val="333332"/>
                <w:sz w:val="22"/>
                <w:szCs w:val="22"/>
                <w:lang w:eastAsia="en-IN"/>
              </w:rPr>
            </w:pPr>
          </w:p>
          <w:p w:rsidRPr="0079105C" w:rsidR="0079105C" w:rsidP="0079105C" w:rsidRDefault="0079105C" w14:paraId="4B5CC2BA" w14:textId="77777777">
            <w:pPr>
              <w:jc w:val="center"/>
              <w:textAlignment w:val="baseline"/>
              <w:rPr>
                <w:rFonts w:ascii="Segoe UI" w:hAnsi="Segoe UI" w:cs="Segoe UI"/>
                <w:sz w:val="18"/>
                <w:szCs w:val="18"/>
                <w:lang w:val="en-IN" w:eastAsia="en-IN"/>
              </w:rPr>
            </w:pPr>
            <w:r w:rsidRPr="0079105C">
              <w:rPr>
                <w:b/>
                <w:bCs/>
                <w:color w:val="333332"/>
                <w:sz w:val="22"/>
                <w:szCs w:val="22"/>
                <w:lang w:eastAsia="en-IN"/>
              </w:rPr>
              <w:t>Released on</w:t>
            </w:r>
            <w:r w:rsidRPr="0079105C">
              <w:rPr>
                <w:color w:val="333332"/>
                <w:sz w:val="22"/>
                <w:szCs w:val="22"/>
                <w:lang w:val="en-IN" w:eastAsia="en-IN"/>
              </w:rPr>
              <w:t>  </w:t>
            </w:r>
          </w:p>
        </w:tc>
        <w:tc>
          <w:tcPr>
            <w:tcW w:w="4505" w:type="dxa"/>
            <w:tcBorders>
              <w:top w:val="nil"/>
              <w:left w:val="nil"/>
              <w:bottom w:val="single" w:color="000000" w:themeColor="text1" w:sz="6" w:space="0"/>
              <w:right w:val="single" w:color="000000" w:themeColor="text1" w:sz="6" w:space="0"/>
            </w:tcBorders>
            <w:shd w:val="clear" w:color="auto" w:fill="auto"/>
            <w:tcMar/>
            <w:hideMark/>
          </w:tcPr>
          <w:p w:rsidR="4E9C6013" w:rsidP="4E9C6013" w:rsidRDefault="4E9C6013" w14:paraId="12DD5D2F" w14:textId="574E6BAA">
            <w:pPr>
              <w:jc w:val="center"/>
              <w:rPr>
                <w:b w:val="1"/>
                <w:bCs w:val="1"/>
                <w:color w:val="333332"/>
                <w:sz w:val="22"/>
                <w:szCs w:val="22"/>
                <w:lang w:val="en-IN" w:eastAsia="en-IN"/>
              </w:rPr>
            </w:pPr>
          </w:p>
          <w:p w:rsidRPr="0079105C" w:rsidR="0079105C" w:rsidP="0079105C" w:rsidRDefault="0079105C" w14:paraId="40A74099" w14:textId="62ED326C">
            <w:pPr>
              <w:jc w:val="center"/>
              <w:textAlignment w:val="baseline"/>
              <w:rPr>
                <w:rFonts w:ascii="Segoe UI" w:hAnsi="Segoe UI" w:cs="Segoe UI"/>
                <w:b w:val="1"/>
                <w:bCs w:val="1"/>
                <w:sz w:val="18"/>
                <w:szCs w:val="18"/>
                <w:lang w:val="en-IN" w:eastAsia="en-IN"/>
              </w:rPr>
            </w:pPr>
            <w:r w:rsidRPr="43501C4B" w:rsidR="0079105C">
              <w:rPr>
                <w:b w:val="1"/>
                <w:bCs w:val="1"/>
                <w:color w:val="333332"/>
                <w:sz w:val="22"/>
                <w:szCs w:val="22"/>
                <w:lang w:val="en-IN" w:eastAsia="en-IN"/>
              </w:rPr>
              <w:t>  </w:t>
            </w:r>
            <w:r w:rsidRPr="43501C4B" w:rsidR="2C5D4BDD">
              <w:rPr>
                <w:b w:val="1"/>
                <w:bCs w:val="1"/>
                <w:color w:val="333332"/>
                <w:sz w:val="22"/>
                <w:szCs w:val="22"/>
                <w:lang w:val="en-IN" w:eastAsia="en-IN"/>
              </w:rPr>
              <w:t>22</w:t>
            </w:r>
            <w:r w:rsidRPr="43501C4B" w:rsidR="00E72143">
              <w:rPr>
                <w:b w:val="1"/>
                <w:bCs w:val="1"/>
                <w:color w:val="333332"/>
                <w:sz w:val="22"/>
                <w:szCs w:val="22"/>
                <w:lang w:val="en-IN" w:eastAsia="en-IN"/>
              </w:rPr>
              <w:t>-0</w:t>
            </w:r>
            <w:r w:rsidRPr="43501C4B" w:rsidR="27619510">
              <w:rPr>
                <w:b w:val="1"/>
                <w:bCs w:val="1"/>
                <w:color w:val="333332"/>
                <w:sz w:val="22"/>
                <w:szCs w:val="22"/>
                <w:lang w:val="en-IN" w:eastAsia="en-IN"/>
              </w:rPr>
              <w:t>9</w:t>
            </w:r>
            <w:r w:rsidRPr="43501C4B" w:rsidR="00E72143">
              <w:rPr>
                <w:b w:val="1"/>
                <w:bCs w:val="1"/>
                <w:color w:val="333332"/>
                <w:sz w:val="22"/>
                <w:szCs w:val="22"/>
                <w:lang w:val="en-IN" w:eastAsia="en-IN"/>
              </w:rPr>
              <w:t>-2022</w:t>
            </w:r>
          </w:p>
        </w:tc>
      </w:tr>
    </w:tbl>
    <w:p w:rsidR="0079105C" w:rsidP="00E72143" w:rsidRDefault="0079105C" w14:paraId="42172C7F" w14:textId="77777777">
      <w:pPr>
        <w:pStyle w:val="Heading1"/>
        <w:numPr>
          <w:ilvl w:val="0"/>
          <w:numId w:val="0"/>
        </w:numPr>
      </w:pPr>
    </w:p>
    <w:p w:rsidR="00663634" w:rsidP="00663634" w:rsidRDefault="00663634" w14:paraId="22AC9284" w14:textId="14CAC5E9">
      <w:pPr>
        <w:pStyle w:val="Heading1"/>
      </w:pPr>
      <w:r>
        <w:t>Introduction</w:t>
      </w:r>
      <w:bookmarkEnd w:id="0"/>
      <w:bookmarkEnd w:id="1"/>
      <w:bookmarkEnd w:id="2"/>
      <w:bookmarkEnd w:id="3"/>
      <w:bookmarkEnd w:id="4"/>
      <w:bookmarkEnd w:id="5"/>
      <w:bookmarkEnd w:id="6"/>
      <w:r>
        <w:t xml:space="preserve">  </w:t>
      </w:r>
    </w:p>
    <w:p w:rsidR="00663634" w:rsidP="00663634" w:rsidRDefault="00663634" w14:paraId="517DA31A" w14:textId="77777777">
      <w:pPr>
        <w:pStyle w:val="Body"/>
        <w:overflowPunct/>
        <w:autoSpaceDE/>
        <w:autoSpaceDN/>
        <w:adjustRightInd/>
        <w:ind w:left="432"/>
        <w:textAlignment w:val="auto"/>
      </w:pPr>
      <w:r>
        <w:t>Information is the critical aspect for any organization’s existence and growth. It is of utmost importance that the policy is defined at organizational level to establish the need to secure information and information processing facilities. Access to information, information processing facilities, and business processes should be controlled on the basis of business and security requirements.</w:t>
      </w:r>
    </w:p>
    <w:p w:rsidRPr="00BC5EAD" w:rsidR="00663634" w:rsidP="00663634" w:rsidRDefault="00663634" w14:paraId="5BE6EB6B" w14:textId="77777777">
      <w:pPr>
        <w:pStyle w:val="Heading1"/>
      </w:pPr>
      <w:bookmarkStart w:name="_Toc206474968" w:id="7"/>
      <w:r w:rsidRPr="00BC5EAD">
        <w:t>Objective</w:t>
      </w:r>
      <w:bookmarkEnd w:id="7"/>
    </w:p>
    <w:p w:rsidR="00663634" w:rsidP="00663634" w:rsidRDefault="00663634" w14:paraId="44E252F2" w14:textId="77777777">
      <w:pPr>
        <w:tabs>
          <w:tab w:val="left" w:pos="180"/>
        </w:tabs>
        <w:ind w:left="432"/>
        <w:jc w:val="both"/>
      </w:pPr>
      <w:r>
        <w:t xml:space="preserve">The purpose of this Policy is to prevent unauthorized access to operating systems. This Policy is designed to protect </w:t>
      </w:r>
      <w:r>
        <w:rPr>
          <w:bCs/>
          <w:i/>
          <w:iCs/>
        </w:rPr>
        <w:t>information</w:t>
      </w:r>
      <w:r>
        <w:t xml:space="preserve"> from unauthorized change, destruction, or disclosure, whether intentional or accidental.</w:t>
      </w:r>
    </w:p>
    <w:p w:rsidR="00663634" w:rsidP="00663634" w:rsidRDefault="00663634" w14:paraId="3994D70B" w14:textId="77777777">
      <w:pPr>
        <w:pStyle w:val="Heading1"/>
      </w:pPr>
      <w:bookmarkStart w:name="_Toc173316859" w:id="8"/>
      <w:bookmarkStart w:name="_Toc206474969" w:id="9"/>
      <w:r>
        <w:t>Scope</w:t>
      </w:r>
      <w:bookmarkEnd w:id="8"/>
      <w:bookmarkEnd w:id="9"/>
    </w:p>
    <w:p w:rsidR="00663634" w:rsidP="00663634" w:rsidRDefault="00663634" w14:paraId="1E0AA5A1" w14:textId="68B0F674">
      <w:pPr>
        <w:ind w:left="432"/>
        <w:jc w:val="both"/>
      </w:pPr>
      <w:r>
        <w:rPr>
          <w:szCs w:val="20"/>
        </w:rPr>
        <w:t>The scope of this Policy</w:t>
      </w:r>
      <w:r w:rsidRPr="00B367DC">
        <w:rPr>
          <w:szCs w:val="20"/>
        </w:rPr>
        <w:t xml:space="preserve"> includes all </w:t>
      </w:r>
      <w:r w:rsidR="00994249">
        <w:rPr>
          <w:szCs w:val="20"/>
        </w:rPr>
        <w:t>Xtracap</w:t>
      </w:r>
      <w:r>
        <w:rPr>
          <w:szCs w:val="20"/>
        </w:rPr>
        <w:t xml:space="preserve"> employees.</w:t>
      </w:r>
      <w:r w:rsidRPr="00B367DC">
        <w:rPr>
          <w:szCs w:val="20"/>
        </w:rPr>
        <w:t xml:space="preserve"> </w:t>
      </w:r>
      <w:r>
        <w:t>Each employee is responsible for carrying out his or her responsibilities under this Policy.</w:t>
      </w:r>
    </w:p>
    <w:p w:rsidRPr="00C3199D" w:rsidR="00663634" w:rsidP="00663634" w:rsidRDefault="00663634" w14:paraId="006DEFA2" w14:textId="77777777">
      <w:pPr>
        <w:pStyle w:val="Heading1"/>
      </w:pPr>
      <w:bookmarkStart w:name="_Toc206474971" w:id="10"/>
      <w:r>
        <w:t>Enforcement</w:t>
      </w:r>
      <w:bookmarkEnd w:id="10"/>
    </w:p>
    <w:p w:rsidR="00663634" w:rsidP="00663634" w:rsidRDefault="00663634" w14:paraId="148ECBD5" w14:textId="4AB9D55B">
      <w:pPr>
        <w:pStyle w:val="bullet1"/>
        <w:ind w:left="432" w:firstLine="0"/>
      </w:pPr>
      <w:r w:rsidRPr="00ED395A">
        <w:t xml:space="preserve">Violations of this </w:t>
      </w:r>
      <w:r>
        <w:t>Policy</w:t>
      </w:r>
      <w:r w:rsidRPr="00ED395A">
        <w:t xml:space="preserve"> </w:t>
      </w:r>
      <w:r w:rsidRPr="00ED395A" w:rsidR="00601A88">
        <w:t>include but</w:t>
      </w:r>
      <w:r w:rsidRPr="00ED395A">
        <w:t xml:space="preserve"> are not limited to: accessing </w:t>
      </w:r>
      <w:r>
        <w:rPr>
          <w:bCs/>
          <w:i/>
          <w:iCs/>
        </w:rPr>
        <w:t>information and information processing facilities</w:t>
      </w:r>
      <w:r w:rsidRPr="00ED395A">
        <w:t xml:space="preserve"> which the individual has no legitimate access to; enabling unauthorized individuals to access the </w:t>
      </w:r>
      <w:r>
        <w:rPr>
          <w:bCs/>
          <w:i/>
          <w:iCs/>
        </w:rPr>
        <w:t>information</w:t>
      </w:r>
      <w:r w:rsidRPr="00ED395A">
        <w:t xml:space="preserve">; disclosing </w:t>
      </w:r>
      <w:r>
        <w:rPr>
          <w:bCs/>
          <w:i/>
          <w:iCs/>
        </w:rPr>
        <w:t>information</w:t>
      </w:r>
      <w:r w:rsidRPr="00ED395A">
        <w:t xml:space="preserve"> in a way which violates applicable policy, </w:t>
      </w:r>
      <w:r>
        <w:t>Policy</w:t>
      </w:r>
      <w:r w:rsidRPr="00ED395A">
        <w:t xml:space="preserve"> or other relevant regulations or laws; or inappropriately modifying or destroying </w:t>
      </w:r>
      <w:r w:rsidRPr="0022448B">
        <w:rPr>
          <w:i/>
        </w:rPr>
        <w:t>information</w:t>
      </w:r>
      <w:r w:rsidRPr="00ED395A">
        <w:rPr>
          <w:bCs/>
          <w:i/>
          <w:iCs/>
        </w:rPr>
        <w:t>.</w:t>
      </w:r>
      <w:r w:rsidRPr="00ED395A">
        <w:t xml:space="preserve"> Violations may result in access revocation, corrective action up to and including dismissal, and/or civil or criminal prosecution under applicable law. </w:t>
      </w:r>
    </w:p>
    <w:p w:rsidRPr="00221FD1" w:rsidR="00663634" w:rsidP="00663634" w:rsidRDefault="00663634" w14:paraId="452E63C6" w14:textId="77777777">
      <w:pPr>
        <w:pStyle w:val="Heading1"/>
      </w:pPr>
      <w:bookmarkStart w:name="_Toc206474972" w:id="11"/>
      <w:r>
        <w:t>Policy</w:t>
      </w:r>
      <w:r w:rsidRPr="00221FD1">
        <w:t xml:space="preserve"> for </w:t>
      </w:r>
      <w:r>
        <w:t>Access Control</w:t>
      </w:r>
      <w:bookmarkEnd w:id="11"/>
    </w:p>
    <w:p w:rsidR="00663634" w:rsidP="00663634" w:rsidRDefault="00663634" w14:paraId="1FB68D84" w14:textId="77777777">
      <w:pPr>
        <w:tabs>
          <w:tab w:val="left" w:pos="180"/>
        </w:tabs>
        <w:ind w:left="432"/>
        <w:jc w:val="both"/>
      </w:pPr>
      <w:r w:rsidRPr="00543026">
        <w:t xml:space="preserve">It is the responsibility of </w:t>
      </w:r>
      <w:r w:rsidRPr="00543026">
        <w:rPr>
          <w:bCs/>
          <w:iCs/>
        </w:rPr>
        <w:t>Staff</w:t>
      </w:r>
      <w:r w:rsidRPr="00543026">
        <w:t xml:space="preserve"> to protect </w:t>
      </w:r>
      <w:r>
        <w:rPr>
          <w:bCs/>
          <w:i/>
          <w:iCs/>
        </w:rPr>
        <w:t>information</w:t>
      </w:r>
      <w:r w:rsidRPr="00543026">
        <w:t xml:space="preserve"> from unauthorized ch</w:t>
      </w:r>
      <w:r>
        <w:t>ange, destruction or disclosure</w:t>
      </w:r>
      <w:r w:rsidRPr="00543026">
        <w:t xml:space="preserve">. </w:t>
      </w:r>
    </w:p>
    <w:p w:rsidR="00663634" w:rsidP="00663634" w:rsidRDefault="00663634" w14:paraId="395FD65F" w14:textId="77777777">
      <w:pPr>
        <w:tabs>
          <w:tab w:val="left" w:pos="180"/>
        </w:tabs>
        <w:ind w:left="432"/>
        <w:jc w:val="both"/>
      </w:pPr>
    </w:p>
    <w:p w:rsidR="00663634" w:rsidP="00663634" w:rsidRDefault="00663634" w14:paraId="2CAFD70D" w14:textId="77777777">
      <w:pPr>
        <w:pStyle w:val="Heading2"/>
      </w:pPr>
      <w:bookmarkStart w:name="_Toc206474973" w:id="12"/>
      <w:r>
        <w:t>Access to information or information processing facilities</w:t>
      </w:r>
      <w:bookmarkEnd w:id="12"/>
    </w:p>
    <w:p w:rsidR="00663634" w:rsidP="00663634" w:rsidRDefault="00663634" w14:paraId="70D9CDB5" w14:textId="77777777">
      <w:pPr>
        <w:tabs>
          <w:tab w:val="left" w:pos="180"/>
        </w:tabs>
        <w:ind w:left="540"/>
        <w:jc w:val="both"/>
      </w:pPr>
    </w:p>
    <w:p w:rsidR="00663634" w:rsidP="00663634" w:rsidRDefault="00663634" w14:paraId="6EB59D99" w14:textId="6233CE34">
      <w:pPr>
        <w:numPr>
          <w:ilvl w:val="0"/>
          <w:numId w:val="3"/>
        </w:numPr>
        <w:tabs>
          <w:tab w:val="clear" w:pos="1080"/>
          <w:tab w:val="left" w:pos="180"/>
          <w:tab w:val="num" w:pos="900"/>
        </w:tabs>
        <w:ind w:left="900"/>
        <w:jc w:val="both"/>
      </w:pPr>
      <w:r>
        <w:t xml:space="preserve">On the first day of joining, System Admin &amp; Human Resource (HR) departments ensure that personnel have computer system ready, inline with Human Resource </w:t>
      </w:r>
      <w:r>
        <w:lastRenderedPageBreak/>
        <w:t>Security Procedure, User Access Management Procedure</w:t>
      </w:r>
      <w:r w:rsidR="00566CE9">
        <w:t xml:space="preserve"> </w:t>
      </w:r>
      <w:r>
        <w:t xml:space="preserve">and Password Management </w:t>
      </w:r>
      <w:r w:rsidR="00566CE9">
        <w:t>Policy.</w:t>
      </w:r>
    </w:p>
    <w:p w:rsidR="00663634" w:rsidP="00663634" w:rsidRDefault="00663634" w14:paraId="486BF8BB" w14:textId="77777777">
      <w:pPr>
        <w:tabs>
          <w:tab w:val="left" w:pos="180"/>
        </w:tabs>
        <w:ind w:left="540"/>
        <w:jc w:val="both"/>
      </w:pPr>
    </w:p>
    <w:p w:rsidR="00311C23" w:rsidP="00311C23" w:rsidRDefault="00663634" w14:paraId="7959B02B" w14:textId="26E40246">
      <w:pPr>
        <w:numPr>
          <w:ilvl w:val="0"/>
          <w:numId w:val="3"/>
        </w:numPr>
        <w:tabs>
          <w:tab w:val="clear" w:pos="1080"/>
          <w:tab w:val="left" w:pos="180"/>
          <w:tab w:val="num" w:pos="900"/>
        </w:tabs>
        <w:ind w:left="900"/>
        <w:jc w:val="both"/>
      </w:pPr>
      <w:r>
        <w:t xml:space="preserve">Access to information and information processing facilities is controlled and restricted as per the role and responsibility of the </w:t>
      </w:r>
      <w:r w:rsidR="00566CE9">
        <w:t>personnel</w:t>
      </w:r>
      <w:r w:rsidR="00311C23">
        <w:t xml:space="preserve"> &amp; the group they’re assigned to:</w:t>
      </w:r>
    </w:p>
    <w:p w:rsidR="00311C23" w:rsidP="00311C23" w:rsidRDefault="00311C23" w14:paraId="449405E7" w14:textId="77777777">
      <w:pPr>
        <w:pStyle w:val="ListParagraph"/>
      </w:pPr>
    </w:p>
    <w:p w:rsidR="00311C23" w:rsidP="00311C23" w:rsidRDefault="00311C23" w14:paraId="143807E8" w14:textId="424A8235">
      <w:pPr>
        <w:numPr>
          <w:ilvl w:val="1"/>
          <w:numId w:val="3"/>
        </w:numPr>
        <w:tabs>
          <w:tab w:val="left" w:pos="180"/>
        </w:tabs>
        <w:jc w:val="both"/>
        <w:rPr/>
      </w:pPr>
      <w:r w:rsidR="00311C23">
        <w:rPr/>
        <w:t>Leadership Group: Access to all the</w:t>
      </w:r>
      <w:r w:rsidR="16BC5E48">
        <w:rPr/>
        <w:t xml:space="preserve"> files and</w:t>
      </w:r>
      <w:r w:rsidR="00311C23">
        <w:rPr/>
        <w:t xml:space="preserve"> groups</w:t>
      </w:r>
    </w:p>
    <w:p w:rsidR="0079105C" w:rsidP="00311C23" w:rsidRDefault="0079105C" w14:paraId="1EC54283" w14:textId="78FEDD1A">
      <w:pPr>
        <w:numPr>
          <w:ilvl w:val="1"/>
          <w:numId w:val="3"/>
        </w:numPr>
        <w:tabs>
          <w:tab w:val="left" w:pos="180"/>
        </w:tabs>
        <w:jc w:val="both"/>
      </w:pPr>
      <w:r>
        <w:t>HR: Mohammed Riaz</w:t>
      </w:r>
    </w:p>
    <w:p w:rsidR="0079105C" w:rsidP="00311C23" w:rsidRDefault="0079105C" w14:paraId="701E1703" w14:textId="5F52A86D">
      <w:pPr>
        <w:numPr>
          <w:ilvl w:val="1"/>
          <w:numId w:val="3"/>
        </w:numPr>
        <w:tabs>
          <w:tab w:val="left" w:pos="180"/>
        </w:tabs>
        <w:jc w:val="both"/>
      </w:pPr>
      <w:r>
        <w:t>Marketing: Leadership +Marketing group</w:t>
      </w:r>
    </w:p>
    <w:p w:rsidR="0079105C" w:rsidP="0079105C" w:rsidRDefault="0079105C" w14:paraId="63F0E1CD" w14:textId="3DB91901">
      <w:pPr>
        <w:numPr>
          <w:ilvl w:val="1"/>
          <w:numId w:val="3"/>
        </w:numPr>
        <w:tabs>
          <w:tab w:val="left" w:pos="180"/>
        </w:tabs>
        <w:jc w:val="both"/>
      </w:pPr>
      <w:r>
        <w:t>BA: BA+</w:t>
      </w:r>
      <w:r w:rsidR="00E72143">
        <w:t xml:space="preserve"> </w:t>
      </w:r>
      <w:r>
        <w:t>QA</w:t>
      </w:r>
      <w:r w:rsidR="00E72143">
        <w:t xml:space="preserve"> +</w:t>
      </w:r>
      <w:r w:rsidRPr="00E72143" w:rsidR="00E72143">
        <w:t xml:space="preserve"> </w:t>
      </w:r>
      <w:r w:rsidR="00E72143">
        <w:t>Leadership</w:t>
      </w:r>
    </w:p>
    <w:p w:rsidR="00311C23" w:rsidP="00311C23" w:rsidRDefault="00311C23" w14:paraId="4F7A27AA" w14:textId="1F00C04C">
      <w:pPr>
        <w:numPr>
          <w:ilvl w:val="1"/>
          <w:numId w:val="3"/>
        </w:numPr>
        <w:tabs>
          <w:tab w:val="left" w:pos="180"/>
        </w:tabs>
        <w:jc w:val="both"/>
      </w:pPr>
      <w:r>
        <w:t xml:space="preserve">IT </w:t>
      </w:r>
      <w:r w:rsidR="0079105C">
        <w:t>Team: All IT Team members + Leadership</w:t>
      </w:r>
    </w:p>
    <w:p w:rsidR="0079105C" w:rsidP="00311C23" w:rsidRDefault="0079105C" w14:paraId="5242B4EB" w14:textId="213473EA">
      <w:pPr>
        <w:numPr>
          <w:ilvl w:val="1"/>
          <w:numId w:val="3"/>
        </w:numPr>
        <w:tabs>
          <w:tab w:val="left" w:pos="180"/>
        </w:tabs>
        <w:jc w:val="both"/>
      </w:pPr>
      <w:r>
        <w:t>BDM: All Business development members + leadership</w:t>
      </w:r>
    </w:p>
    <w:p w:rsidR="00663634" w:rsidP="00663634" w:rsidRDefault="0066636E" w14:paraId="27EC56B8" w14:textId="62C60BDE">
      <w:pPr>
        <w:tabs>
          <w:tab w:val="left" w:pos="180"/>
        </w:tabs>
        <w:ind w:left="540"/>
        <w:jc w:val="both"/>
      </w:pPr>
      <w:r w:rsidR="0066636E">
        <w:rPr/>
        <w:t xml:space="preserve"> </w:t>
      </w:r>
    </w:p>
    <w:p w:rsidR="00663634" w:rsidP="00663634" w:rsidRDefault="00663634" w14:paraId="30C7A4B1" w14:textId="77777777">
      <w:pPr>
        <w:numPr>
          <w:ilvl w:val="0"/>
          <w:numId w:val="3"/>
        </w:numPr>
        <w:tabs>
          <w:tab w:val="clear" w:pos="1080"/>
          <w:tab w:val="left" w:pos="180"/>
          <w:tab w:val="num" w:pos="900"/>
        </w:tabs>
        <w:ind w:left="900"/>
        <w:jc w:val="both"/>
      </w:pPr>
      <w:r>
        <w:t>Access controls are both physical and logical, where physical access control covers controlled physical entry to information &amp; information processing facilities and logical access control covers controlled electronic access to information &amp; information processing facilities:</w:t>
      </w:r>
    </w:p>
    <w:p w:rsidR="00663634" w:rsidP="00663634" w:rsidRDefault="00663634" w14:paraId="7605D797" w14:textId="77777777">
      <w:pPr>
        <w:tabs>
          <w:tab w:val="left" w:pos="180"/>
        </w:tabs>
        <w:jc w:val="both"/>
      </w:pPr>
    </w:p>
    <w:p w:rsidR="00663634" w:rsidP="00663634" w:rsidRDefault="00663634" w14:paraId="592CAC06" w14:textId="77777777">
      <w:pPr>
        <w:numPr>
          <w:ilvl w:val="0"/>
          <w:numId w:val="3"/>
        </w:numPr>
        <w:tabs>
          <w:tab w:val="clear" w:pos="1080"/>
          <w:tab w:val="left" w:pos="180"/>
          <w:tab w:val="num" w:pos="900"/>
        </w:tabs>
        <w:ind w:left="900"/>
        <w:jc w:val="both"/>
      </w:pPr>
      <w:r>
        <w:t>These rules are established based on premise “Everything other than rules defined are generally forbidden unless expressly permitted” rather than the weaker rule “Everything is generally permitted unless expressly forbidden”;</w:t>
      </w:r>
    </w:p>
    <w:p w:rsidR="00663634" w:rsidP="00663634" w:rsidRDefault="00663634" w14:paraId="21D038E0" w14:textId="77777777">
      <w:pPr>
        <w:tabs>
          <w:tab w:val="left" w:pos="180"/>
        </w:tabs>
        <w:jc w:val="both"/>
      </w:pPr>
    </w:p>
    <w:p w:rsidR="00663634" w:rsidP="00663634" w:rsidRDefault="00663634" w14:paraId="4C22A2EB" w14:textId="5A369E66">
      <w:pPr>
        <w:numPr>
          <w:ilvl w:val="0"/>
          <w:numId w:val="3"/>
        </w:numPr>
        <w:tabs>
          <w:tab w:val="clear" w:pos="1080"/>
          <w:tab w:val="left" w:pos="180"/>
          <w:tab w:val="num" w:pos="900"/>
        </w:tabs>
        <w:ind w:left="900"/>
        <w:jc w:val="both"/>
        <w:rPr/>
      </w:pPr>
      <w:r w:rsidR="00663634">
        <w:rPr/>
        <w:t>Department</w:t>
      </w:r>
      <w:r w:rsidR="4E1BDAB3">
        <w:rPr/>
        <w:t>-</w:t>
      </w:r>
      <w:r w:rsidR="00663634">
        <w:rPr/>
        <w:t>specific rules and rights must be defined, reviewed</w:t>
      </w:r>
      <w:r w:rsidR="3515C853">
        <w:rPr/>
        <w:t>,</w:t>
      </w:r>
      <w:r w:rsidR="00663634">
        <w:rPr/>
        <w:t xml:space="preserve"> and approved by </w:t>
      </w:r>
      <w:r w:rsidR="7CD77985">
        <w:rPr/>
        <w:t xml:space="preserve">the IT-Infra </w:t>
      </w:r>
      <w:r w:rsidR="00663634">
        <w:rPr/>
        <w:t xml:space="preserve">Head </w:t>
      </w:r>
      <w:r w:rsidR="53CAB472">
        <w:rPr/>
        <w:t>and it</w:t>
      </w:r>
      <w:r w:rsidR="00663634">
        <w:rPr/>
        <w:t xml:space="preserve"> is reviewed</w:t>
      </w:r>
      <w:r w:rsidR="48E38CC9">
        <w:rPr/>
        <w:t xml:space="preserve"> </w:t>
      </w:r>
      <w:r w:rsidR="35E70CE4">
        <w:rPr/>
        <w:t xml:space="preserve">on </w:t>
      </w:r>
      <w:r w:rsidR="32878D76">
        <w:rPr/>
        <w:t>a quarterly</w:t>
      </w:r>
      <w:r w:rsidR="113C0C47">
        <w:rPr/>
        <w:t xml:space="preserve"> </w:t>
      </w:r>
      <w:r w:rsidR="5CD5A75B">
        <w:rPr/>
        <w:t>basis</w:t>
      </w:r>
      <w:r w:rsidR="00663634">
        <w:rPr/>
        <w:t xml:space="preserve"> to </w:t>
      </w:r>
      <w:r w:rsidR="6A7F27AC">
        <w:rPr/>
        <w:t>assess</w:t>
      </w:r>
      <w:r w:rsidR="00663634">
        <w:rPr/>
        <w:t xml:space="preserve"> the risks associated with access rights;</w:t>
      </w:r>
    </w:p>
    <w:p w:rsidR="00663634" w:rsidP="00663634" w:rsidRDefault="00663634" w14:paraId="67D0FE64" w14:textId="77777777">
      <w:pPr>
        <w:tabs>
          <w:tab w:val="left" w:pos="180"/>
        </w:tabs>
        <w:jc w:val="both"/>
      </w:pPr>
    </w:p>
    <w:p w:rsidR="00663634" w:rsidP="00663634" w:rsidRDefault="00663634" w14:paraId="57BC272E" w14:textId="77777777">
      <w:pPr>
        <w:numPr>
          <w:ilvl w:val="0"/>
          <w:numId w:val="3"/>
        </w:numPr>
        <w:tabs>
          <w:tab w:val="clear" w:pos="1080"/>
          <w:tab w:val="left" w:pos="180"/>
          <w:tab w:val="num" w:pos="900"/>
        </w:tabs>
        <w:ind w:left="900"/>
        <w:jc w:val="both"/>
      </w:pPr>
      <w:r>
        <w:t>Access control rules and rights for each user and/or group of users are clearly defined and implemented.</w:t>
      </w:r>
    </w:p>
    <w:p w:rsidR="00881B85" w:rsidRDefault="00881B85" w14:paraId="235923ED" w14:textId="77777777"/>
    <w:sectPr w:rsidR="00881B8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2B406A"/>
    <w:multiLevelType w:val="multilevel"/>
    <w:tmpl w:val="473679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24F48E7"/>
    <w:multiLevelType w:val="hybridMultilevel"/>
    <w:tmpl w:val="2EF8335E"/>
    <w:lvl w:ilvl="0" w:tplc="89228426">
      <w:start w:val="1"/>
      <w:numFmt w:val="bullet"/>
      <w:lvlText w:val="□"/>
      <w:lvlJc w:val="left"/>
      <w:pPr>
        <w:tabs>
          <w:tab w:val="num" w:pos="1080"/>
        </w:tabs>
        <w:ind w:left="1080" w:hanging="360"/>
      </w:pPr>
      <w:rPr>
        <w:rFonts w:hint="default" w:ascii="Courier New" w:hAnsi="Courier New"/>
      </w:rPr>
    </w:lvl>
    <w:lvl w:ilvl="1" w:tplc="04090003">
      <w:start w:val="1"/>
      <w:numFmt w:val="bullet"/>
      <w:lvlText w:val="o"/>
      <w:lvlJc w:val="left"/>
      <w:pPr>
        <w:tabs>
          <w:tab w:val="num" w:pos="1800"/>
        </w:tabs>
        <w:ind w:left="1800" w:hanging="360"/>
      </w:pPr>
      <w:rPr>
        <w:rFonts w:hint="default" w:ascii="Courier New" w:hAnsi="Courier New" w:cs="Courier New"/>
      </w:rPr>
    </w:lvl>
    <w:lvl w:ilvl="2" w:tplc="04090005">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num w:numId="1" w16cid:durableId="1748453077">
    <w:abstractNumId w:val="1"/>
  </w:num>
  <w:num w:numId="2" w16cid:durableId="424151231">
    <w:abstractNumId w:val="0"/>
    <w:lvlOverride w:ilvl="0">
      <w:lvl w:ilvl="0">
        <w:start w:val="1"/>
        <w:numFmt w:val="bullet"/>
        <w:lvlText w:val=""/>
        <w:legacy w:legacy="1" w:legacySpace="0" w:legacyIndent="360"/>
        <w:lvlJc w:val="left"/>
        <w:pPr>
          <w:ind w:left="720" w:hanging="360"/>
        </w:pPr>
        <w:rPr>
          <w:rFonts w:hint="default" w:ascii="Wingdings" w:hAnsi="Wingdings"/>
        </w:rPr>
      </w:lvl>
    </w:lvlOverride>
  </w:num>
  <w:num w:numId="3" w16cid:durableId="1579362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34"/>
    <w:rsid w:val="00311C23"/>
    <w:rsid w:val="00563353"/>
    <w:rsid w:val="00566CE9"/>
    <w:rsid w:val="00601A88"/>
    <w:rsid w:val="006400C6"/>
    <w:rsid w:val="00663634"/>
    <w:rsid w:val="0066636E"/>
    <w:rsid w:val="0079105C"/>
    <w:rsid w:val="00881B85"/>
    <w:rsid w:val="00994249"/>
    <w:rsid w:val="00E72143"/>
    <w:rsid w:val="00FA29F9"/>
    <w:rsid w:val="01EC0900"/>
    <w:rsid w:val="0A0463DB"/>
    <w:rsid w:val="0E042F67"/>
    <w:rsid w:val="103862C8"/>
    <w:rsid w:val="113C0C47"/>
    <w:rsid w:val="16BC5E48"/>
    <w:rsid w:val="22E237C7"/>
    <w:rsid w:val="26083810"/>
    <w:rsid w:val="27619510"/>
    <w:rsid w:val="2C5D4BDD"/>
    <w:rsid w:val="32878D76"/>
    <w:rsid w:val="3515C853"/>
    <w:rsid w:val="35E70CE4"/>
    <w:rsid w:val="3D0A51E0"/>
    <w:rsid w:val="43501C4B"/>
    <w:rsid w:val="48E38CC9"/>
    <w:rsid w:val="4E1BDAB3"/>
    <w:rsid w:val="4E9C6013"/>
    <w:rsid w:val="53CAB472"/>
    <w:rsid w:val="58C17407"/>
    <w:rsid w:val="5CD5A75B"/>
    <w:rsid w:val="6A7F27AC"/>
    <w:rsid w:val="6F842673"/>
    <w:rsid w:val="731EDC6A"/>
    <w:rsid w:val="735914AD"/>
    <w:rsid w:val="7656A565"/>
    <w:rsid w:val="7CD77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AF76"/>
  <w15:chartTrackingRefBased/>
  <w15:docId w15:val="{7C2A5F6E-EE8C-4A3C-AC69-DE61C0A9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3634"/>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663634"/>
    <w:pPr>
      <w:keepNext/>
      <w:numPr>
        <w:numId w:val="1"/>
      </w:numPr>
      <w:spacing w:before="240" w:after="120"/>
      <w:outlineLvl w:val="0"/>
    </w:pPr>
    <w:rPr>
      <w:b/>
      <w:bCs/>
    </w:rPr>
  </w:style>
  <w:style w:type="paragraph" w:styleId="Heading2">
    <w:name w:val="heading 2"/>
    <w:basedOn w:val="Normal"/>
    <w:next w:val="Normal"/>
    <w:link w:val="Heading2Char"/>
    <w:qFormat/>
    <w:rsid w:val="00663634"/>
    <w:pPr>
      <w:keepNext/>
      <w:numPr>
        <w:ilvl w:val="1"/>
        <w:numId w:val="1"/>
      </w:numPr>
      <w:spacing w:after="120"/>
      <w:outlineLvl w:val="1"/>
    </w:pPr>
    <w:rPr>
      <w:b/>
      <w:szCs w:val="20"/>
    </w:rPr>
  </w:style>
  <w:style w:type="paragraph" w:styleId="Heading3">
    <w:name w:val="heading 3"/>
    <w:basedOn w:val="Normal"/>
    <w:next w:val="Normal"/>
    <w:link w:val="Heading3Char"/>
    <w:qFormat/>
    <w:rsid w:val="00663634"/>
    <w:pPr>
      <w:keepNext/>
      <w:numPr>
        <w:ilvl w:val="2"/>
        <w:numId w:val="1"/>
      </w:numPr>
      <w:spacing w:after="120"/>
      <w:jc w:val="both"/>
      <w:outlineLvl w:val="2"/>
    </w:pPr>
    <w:rPr>
      <w:szCs w:val="20"/>
    </w:rPr>
  </w:style>
  <w:style w:type="paragraph" w:styleId="Heading4">
    <w:name w:val="heading 4"/>
    <w:basedOn w:val="Normal"/>
    <w:next w:val="Normal"/>
    <w:link w:val="Heading4Char"/>
    <w:qFormat/>
    <w:rsid w:val="00663634"/>
    <w:pPr>
      <w:keepNext/>
      <w:numPr>
        <w:ilvl w:val="3"/>
        <w:numId w:val="1"/>
      </w:numPr>
      <w:spacing w:before="120" w:after="120"/>
      <w:outlineLvl w:val="3"/>
    </w:pPr>
    <w:rPr>
      <w:szCs w:val="20"/>
    </w:rPr>
  </w:style>
  <w:style w:type="paragraph" w:styleId="Heading5">
    <w:name w:val="heading 5"/>
    <w:basedOn w:val="Normal"/>
    <w:next w:val="Normal"/>
    <w:link w:val="Heading5Char"/>
    <w:qFormat/>
    <w:rsid w:val="00663634"/>
    <w:pPr>
      <w:numPr>
        <w:ilvl w:val="4"/>
        <w:numId w:val="1"/>
      </w:numPr>
      <w:spacing w:before="240" w:after="60"/>
      <w:outlineLvl w:val="4"/>
    </w:pPr>
    <w:rPr>
      <w:rFonts w:ascii="Arial" w:hAnsi="Arial"/>
      <w:sz w:val="22"/>
      <w:szCs w:val="20"/>
    </w:rPr>
  </w:style>
  <w:style w:type="paragraph" w:styleId="Heading6">
    <w:name w:val="heading 6"/>
    <w:basedOn w:val="Normal"/>
    <w:next w:val="Normal"/>
    <w:link w:val="Heading6Char"/>
    <w:qFormat/>
    <w:rsid w:val="00663634"/>
    <w:pPr>
      <w:keepNext/>
      <w:numPr>
        <w:ilvl w:val="5"/>
        <w:numId w:val="1"/>
      </w:numPr>
      <w:spacing w:before="40" w:after="40"/>
      <w:outlineLvl w:val="5"/>
    </w:pPr>
    <w:rPr>
      <w:b/>
      <w:bCs/>
      <w:szCs w:val="20"/>
    </w:rPr>
  </w:style>
  <w:style w:type="paragraph" w:styleId="Heading7">
    <w:name w:val="heading 7"/>
    <w:basedOn w:val="Normal"/>
    <w:next w:val="Normal"/>
    <w:link w:val="Heading7Char"/>
    <w:qFormat/>
    <w:rsid w:val="00663634"/>
    <w:pPr>
      <w:keepNext/>
      <w:numPr>
        <w:ilvl w:val="6"/>
        <w:numId w:val="1"/>
      </w:numPr>
      <w:spacing w:before="40" w:after="40"/>
      <w:outlineLvl w:val="6"/>
    </w:pPr>
    <w:rPr>
      <w:b/>
      <w:bCs/>
      <w:sz w:val="20"/>
      <w:szCs w:val="20"/>
    </w:rPr>
  </w:style>
  <w:style w:type="paragraph" w:styleId="Heading8">
    <w:name w:val="heading 8"/>
    <w:basedOn w:val="Normal"/>
    <w:next w:val="Normal"/>
    <w:link w:val="Heading8Char"/>
    <w:qFormat/>
    <w:rsid w:val="00663634"/>
    <w:pPr>
      <w:keepNext/>
      <w:numPr>
        <w:ilvl w:val="7"/>
        <w:numId w:val="1"/>
      </w:numPr>
      <w:spacing w:before="40" w:after="40"/>
      <w:outlineLvl w:val="7"/>
    </w:pPr>
    <w:rPr>
      <w:szCs w:val="20"/>
    </w:rPr>
  </w:style>
  <w:style w:type="paragraph" w:styleId="Heading9">
    <w:name w:val="heading 9"/>
    <w:basedOn w:val="Normal"/>
    <w:next w:val="Normal"/>
    <w:link w:val="Heading9Char"/>
    <w:qFormat/>
    <w:rsid w:val="00663634"/>
    <w:pPr>
      <w:numPr>
        <w:ilvl w:val="8"/>
        <w:numId w:val="1"/>
      </w:numPr>
      <w:spacing w:before="240" w:after="60"/>
      <w:outlineLvl w:val="8"/>
    </w:pPr>
    <w:rPr>
      <w:rFonts w:ascii="Arial" w:hAnsi="Arial"/>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663634"/>
    <w:rPr>
      <w:rFonts w:ascii="Times New Roman" w:hAnsi="Times New Roman" w:eastAsia="Times New Roman" w:cs="Times New Roman"/>
      <w:b/>
      <w:bCs/>
      <w:sz w:val="24"/>
      <w:szCs w:val="24"/>
      <w:lang w:val="en-US"/>
    </w:rPr>
  </w:style>
  <w:style w:type="character" w:styleId="Heading2Char" w:customStyle="1">
    <w:name w:val="Heading 2 Char"/>
    <w:basedOn w:val="DefaultParagraphFont"/>
    <w:link w:val="Heading2"/>
    <w:rsid w:val="00663634"/>
    <w:rPr>
      <w:rFonts w:ascii="Times New Roman" w:hAnsi="Times New Roman" w:eastAsia="Times New Roman" w:cs="Times New Roman"/>
      <w:b/>
      <w:sz w:val="24"/>
      <w:szCs w:val="20"/>
      <w:lang w:val="en-US"/>
    </w:rPr>
  </w:style>
  <w:style w:type="character" w:styleId="Heading3Char" w:customStyle="1">
    <w:name w:val="Heading 3 Char"/>
    <w:basedOn w:val="DefaultParagraphFont"/>
    <w:link w:val="Heading3"/>
    <w:rsid w:val="00663634"/>
    <w:rPr>
      <w:rFonts w:ascii="Times New Roman" w:hAnsi="Times New Roman" w:eastAsia="Times New Roman" w:cs="Times New Roman"/>
      <w:sz w:val="24"/>
      <w:szCs w:val="20"/>
      <w:lang w:val="en-US"/>
    </w:rPr>
  </w:style>
  <w:style w:type="character" w:styleId="Heading4Char" w:customStyle="1">
    <w:name w:val="Heading 4 Char"/>
    <w:basedOn w:val="DefaultParagraphFont"/>
    <w:link w:val="Heading4"/>
    <w:rsid w:val="00663634"/>
    <w:rPr>
      <w:rFonts w:ascii="Times New Roman" w:hAnsi="Times New Roman" w:eastAsia="Times New Roman" w:cs="Times New Roman"/>
      <w:sz w:val="24"/>
      <w:szCs w:val="20"/>
      <w:lang w:val="en-US"/>
    </w:rPr>
  </w:style>
  <w:style w:type="character" w:styleId="Heading5Char" w:customStyle="1">
    <w:name w:val="Heading 5 Char"/>
    <w:basedOn w:val="DefaultParagraphFont"/>
    <w:link w:val="Heading5"/>
    <w:rsid w:val="00663634"/>
    <w:rPr>
      <w:rFonts w:ascii="Arial" w:hAnsi="Arial" w:eastAsia="Times New Roman" w:cs="Times New Roman"/>
      <w:szCs w:val="20"/>
      <w:lang w:val="en-US"/>
    </w:rPr>
  </w:style>
  <w:style w:type="character" w:styleId="Heading6Char" w:customStyle="1">
    <w:name w:val="Heading 6 Char"/>
    <w:basedOn w:val="DefaultParagraphFont"/>
    <w:link w:val="Heading6"/>
    <w:rsid w:val="00663634"/>
    <w:rPr>
      <w:rFonts w:ascii="Times New Roman" w:hAnsi="Times New Roman" w:eastAsia="Times New Roman" w:cs="Times New Roman"/>
      <w:b/>
      <w:bCs/>
      <w:sz w:val="24"/>
      <w:szCs w:val="20"/>
      <w:lang w:val="en-US"/>
    </w:rPr>
  </w:style>
  <w:style w:type="character" w:styleId="Heading7Char" w:customStyle="1">
    <w:name w:val="Heading 7 Char"/>
    <w:basedOn w:val="DefaultParagraphFont"/>
    <w:link w:val="Heading7"/>
    <w:rsid w:val="00663634"/>
    <w:rPr>
      <w:rFonts w:ascii="Times New Roman" w:hAnsi="Times New Roman" w:eastAsia="Times New Roman" w:cs="Times New Roman"/>
      <w:b/>
      <w:bCs/>
      <w:sz w:val="20"/>
      <w:szCs w:val="20"/>
      <w:lang w:val="en-US"/>
    </w:rPr>
  </w:style>
  <w:style w:type="character" w:styleId="Heading8Char" w:customStyle="1">
    <w:name w:val="Heading 8 Char"/>
    <w:basedOn w:val="DefaultParagraphFont"/>
    <w:link w:val="Heading8"/>
    <w:rsid w:val="00663634"/>
    <w:rPr>
      <w:rFonts w:ascii="Times New Roman" w:hAnsi="Times New Roman" w:eastAsia="Times New Roman" w:cs="Times New Roman"/>
      <w:sz w:val="24"/>
      <w:szCs w:val="20"/>
      <w:lang w:val="en-US"/>
    </w:rPr>
  </w:style>
  <w:style w:type="character" w:styleId="Heading9Char" w:customStyle="1">
    <w:name w:val="Heading 9 Char"/>
    <w:basedOn w:val="DefaultParagraphFont"/>
    <w:link w:val="Heading9"/>
    <w:rsid w:val="00663634"/>
    <w:rPr>
      <w:rFonts w:ascii="Arial" w:hAnsi="Arial" w:eastAsia="Times New Roman" w:cs="Times New Roman"/>
      <w:i/>
      <w:sz w:val="18"/>
      <w:szCs w:val="20"/>
      <w:lang w:val="en-US"/>
    </w:rPr>
  </w:style>
  <w:style w:type="paragraph" w:styleId="Body" w:customStyle="1">
    <w:name w:val="Body"/>
    <w:rsid w:val="00663634"/>
    <w:pPr>
      <w:overflowPunct w:val="0"/>
      <w:autoSpaceDE w:val="0"/>
      <w:autoSpaceDN w:val="0"/>
      <w:adjustRightInd w:val="0"/>
      <w:spacing w:after="120" w:line="240" w:lineRule="auto"/>
      <w:ind w:left="360"/>
      <w:jc w:val="both"/>
      <w:textAlignment w:val="baseline"/>
    </w:pPr>
    <w:rPr>
      <w:rFonts w:ascii="Times New Roman" w:hAnsi="Times New Roman" w:eastAsia="Times New Roman" w:cs="Times New Roman"/>
      <w:sz w:val="24"/>
      <w:szCs w:val="20"/>
      <w:lang w:val="en-US"/>
    </w:rPr>
  </w:style>
  <w:style w:type="paragraph" w:styleId="bullet1" w:customStyle="1">
    <w:name w:val="bullet1"/>
    <w:basedOn w:val="Body"/>
    <w:rsid w:val="00663634"/>
    <w:pPr>
      <w:ind w:left="720" w:hanging="360"/>
    </w:pPr>
  </w:style>
  <w:style w:type="paragraph" w:styleId="ListParagraph">
    <w:name w:val="List Paragraph"/>
    <w:basedOn w:val="Normal"/>
    <w:uiPriority w:val="34"/>
    <w:qFormat/>
    <w:rsid w:val="00311C23"/>
    <w:pPr>
      <w:ind w:left="720"/>
      <w:contextualSpacing/>
    </w:pPr>
  </w:style>
  <w:style w:type="paragraph" w:styleId="paragraph" w:customStyle="1">
    <w:name w:val="paragraph"/>
    <w:basedOn w:val="Normal"/>
    <w:rsid w:val="0079105C"/>
    <w:pPr>
      <w:spacing w:before="100" w:beforeAutospacing="1" w:after="100" w:afterAutospacing="1"/>
    </w:pPr>
    <w:rPr>
      <w:lang w:val="en-IN" w:eastAsia="en-IN"/>
    </w:rPr>
  </w:style>
  <w:style w:type="character" w:styleId="normaltextrun" w:customStyle="1">
    <w:name w:val="normaltextrun"/>
    <w:basedOn w:val="DefaultParagraphFont"/>
    <w:rsid w:val="0079105C"/>
  </w:style>
  <w:style w:type="character" w:styleId="eop" w:customStyle="1">
    <w:name w:val="eop"/>
    <w:basedOn w:val="DefaultParagraphFont"/>
    <w:rsid w:val="0079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46536">
      <w:bodyDiv w:val="1"/>
      <w:marLeft w:val="0"/>
      <w:marRight w:val="0"/>
      <w:marTop w:val="0"/>
      <w:marBottom w:val="0"/>
      <w:divBdr>
        <w:top w:val="none" w:sz="0" w:space="0" w:color="auto"/>
        <w:left w:val="none" w:sz="0" w:space="0" w:color="auto"/>
        <w:bottom w:val="none" w:sz="0" w:space="0" w:color="auto"/>
        <w:right w:val="none" w:sz="0" w:space="0" w:color="auto"/>
      </w:divBdr>
      <w:divsChild>
        <w:div w:id="817650805">
          <w:marLeft w:val="0"/>
          <w:marRight w:val="0"/>
          <w:marTop w:val="0"/>
          <w:marBottom w:val="0"/>
          <w:divBdr>
            <w:top w:val="none" w:sz="0" w:space="0" w:color="auto"/>
            <w:left w:val="none" w:sz="0" w:space="0" w:color="auto"/>
            <w:bottom w:val="none" w:sz="0" w:space="0" w:color="auto"/>
            <w:right w:val="none" w:sz="0" w:space="0" w:color="auto"/>
          </w:divBdr>
          <w:divsChild>
            <w:div w:id="327438756">
              <w:marLeft w:val="0"/>
              <w:marRight w:val="0"/>
              <w:marTop w:val="0"/>
              <w:marBottom w:val="0"/>
              <w:divBdr>
                <w:top w:val="none" w:sz="0" w:space="0" w:color="auto"/>
                <w:left w:val="none" w:sz="0" w:space="0" w:color="auto"/>
                <w:bottom w:val="none" w:sz="0" w:space="0" w:color="auto"/>
                <w:right w:val="none" w:sz="0" w:space="0" w:color="auto"/>
              </w:divBdr>
            </w:div>
          </w:divsChild>
        </w:div>
        <w:div w:id="1034158860">
          <w:marLeft w:val="0"/>
          <w:marRight w:val="0"/>
          <w:marTop w:val="0"/>
          <w:marBottom w:val="0"/>
          <w:divBdr>
            <w:top w:val="none" w:sz="0" w:space="0" w:color="auto"/>
            <w:left w:val="none" w:sz="0" w:space="0" w:color="auto"/>
            <w:bottom w:val="none" w:sz="0" w:space="0" w:color="auto"/>
            <w:right w:val="none" w:sz="0" w:space="0" w:color="auto"/>
          </w:divBdr>
          <w:divsChild>
            <w:div w:id="351420739">
              <w:marLeft w:val="0"/>
              <w:marRight w:val="0"/>
              <w:marTop w:val="0"/>
              <w:marBottom w:val="0"/>
              <w:divBdr>
                <w:top w:val="none" w:sz="0" w:space="0" w:color="auto"/>
                <w:left w:val="none" w:sz="0" w:space="0" w:color="auto"/>
                <w:bottom w:val="none" w:sz="0" w:space="0" w:color="auto"/>
                <w:right w:val="none" w:sz="0" w:space="0" w:color="auto"/>
              </w:divBdr>
            </w:div>
          </w:divsChild>
        </w:div>
        <w:div w:id="585651731">
          <w:marLeft w:val="0"/>
          <w:marRight w:val="0"/>
          <w:marTop w:val="0"/>
          <w:marBottom w:val="0"/>
          <w:divBdr>
            <w:top w:val="none" w:sz="0" w:space="0" w:color="auto"/>
            <w:left w:val="none" w:sz="0" w:space="0" w:color="auto"/>
            <w:bottom w:val="none" w:sz="0" w:space="0" w:color="auto"/>
            <w:right w:val="none" w:sz="0" w:space="0" w:color="auto"/>
          </w:divBdr>
          <w:divsChild>
            <w:div w:id="1940408810">
              <w:marLeft w:val="0"/>
              <w:marRight w:val="0"/>
              <w:marTop w:val="0"/>
              <w:marBottom w:val="0"/>
              <w:divBdr>
                <w:top w:val="none" w:sz="0" w:space="0" w:color="auto"/>
                <w:left w:val="none" w:sz="0" w:space="0" w:color="auto"/>
                <w:bottom w:val="none" w:sz="0" w:space="0" w:color="auto"/>
                <w:right w:val="none" w:sz="0" w:space="0" w:color="auto"/>
              </w:divBdr>
            </w:div>
          </w:divsChild>
        </w:div>
        <w:div w:id="180049901">
          <w:marLeft w:val="0"/>
          <w:marRight w:val="0"/>
          <w:marTop w:val="0"/>
          <w:marBottom w:val="0"/>
          <w:divBdr>
            <w:top w:val="none" w:sz="0" w:space="0" w:color="auto"/>
            <w:left w:val="none" w:sz="0" w:space="0" w:color="auto"/>
            <w:bottom w:val="none" w:sz="0" w:space="0" w:color="auto"/>
            <w:right w:val="none" w:sz="0" w:space="0" w:color="auto"/>
          </w:divBdr>
          <w:divsChild>
            <w:div w:id="742025617">
              <w:marLeft w:val="0"/>
              <w:marRight w:val="0"/>
              <w:marTop w:val="0"/>
              <w:marBottom w:val="0"/>
              <w:divBdr>
                <w:top w:val="none" w:sz="0" w:space="0" w:color="auto"/>
                <w:left w:val="none" w:sz="0" w:space="0" w:color="auto"/>
                <w:bottom w:val="none" w:sz="0" w:space="0" w:color="auto"/>
                <w:right w:val="none" w:sz="0" w:space="0" w:color="auto"/>
              </w:divBdr>
            </w:div>
          </w:divsChild>
        </w:div>
        <w:div w:id="532159125">
          <w:marLeft w:val="0"/>
          <w:marRight w:val="0"/>
          <w:marTop w:val="0"/>
          <w:marBottom w:val="0"/>
          <w:divBdr>
            <w:top w:val="none" w:sz="0" w:space="0" w:color="auto"/>
            <w:left w:val="none" w:sz="0" w:space="0" w:color="auto"/>
            <w:bottom w:val="none" w:sz="0" w:space="0" w:color="auto"/>
            <w:right w:val="none" w:sz="0" w:space="0" w:color="auto"/>
          </w:divBdr>
          <w:divsChild>
            <w:div w:id="987052751">
              <w:marLeft w:val="0"/>
              <w:marRight w:val="0"/>
              <w:marTop w:val="0"/>
              <w:marBottom w:val="0"/>
              <w:divBdr>
                <w:top w:val="none" w:sz="0" w:space="0" w:color="auto"/>
                <w:left w:val="none" w:sz="0" w:space="0" w:color="auto"/>
                <w:bottom w:val="none" w:sz="0" w:space="0" w:color="auto"/>
                <w:right w:val="none" w:sz="0" w:space="0" w:color="auto"/>
              </w:divBdr>
            </w:div>
          </w:divsChild>
        </w:div>
        <w:div w:id="2031301006">
          <w:marLeft w:val="0"/>
          <w:marRight w:val="0"/>
          <w:marTop w:val="0"/>
          <w:marBottom w:val="0"/>
          <w:divBdr>
            <w:top w:val="none" w:sz="0" w:space="0" w:color="auto"/>
            <w:left w:val="none" w:sz="0" w:space="0" w:color="auto"/>
            <w:bottom w:val="none" w:sz="0" w:space="0" w:color="auto"/>
            <w:right w:val="none" w:sz="0" w:space="0" w:color="auto"/>
          </w:divBdr>
          <w:divsChild>
            <w:div w:id="1700548136">
              <w:marLeft w:val="0"/>
              <w:marRight w:val="0"/>
              <w:marTop w:val="0"/>
              <w:marBottom w:val="0"/>
              <w:divBdr>
                <w:top w:val="none" w:sz="0" w:space="0" w:color="auto"/>
                <w:left w:val="none" w:sz="0" w:space="0" w:color="auto"/>
                <w:bottom w:val="none" w:sz="0" w:space="0" w:color="auto"/>
                <w:right w:val="none" w:sz="0" w:space="0" w:color="auto"/>
              </w:divBdr>
            </w:div>
          </w:divsChild>
        </w:div>
        <w:div w:id="180710052">
          <w:marLeft w:val="0"/>
          <w:marRight w:val="0"/>
          <w:marTop w:val="0"/>
          <w:marBottom w:val="0"/>
          <w:divBdr>
            <w:top w:val="none" w:sz="0" w:space="0" w:color="auto"/>
            <w:left w:val="none" w:sz="0" w:space="0" w:color="auto"/>
            <w:bottom w:val="none" w:sz="0" w:space="0" w:color="auto"/>
            <w:right w:val="none" w:sz="0" w:space="0" w:color="auto"/>
          </w:divBdr>
          <w:divsChild>
            <w:div w:id="752777468">
              <w:marLeft w:val="0"/>
              <w:marRight w:val="0"/>
              <w:marTop w:val="0"/>
              <w:marBottom w:val="0"/>
              <w:divBdr>
                <w:top w:val="none" w:sz="0" w:space="0" w:color="auto"/>
                <w:left w:val="none" w:sz="0" w:space="0" w:color="auto"/>
                <w:bottom w:val="none" w:sz="0" w:space="0" w:color="auto"/>
                <w:right w:val="none" w:sz="0" w:space="0" w:color="auto"/>
              </w:divBdr>
            </w:div>
          </w:divsChild>
        </w:div>
        <w:div w:id="709689388">
          <w:marLeft w:val="0"/>
          <w:marRight w:val="0"/>
          <w:marTop w:val="0"/>
          <w:marBottom w:val="0"/>
          <w:divBdr>
            <w:top w:val="none" w:sz="0" w:space="0" w:color="auto"/>
            <w:left w:val="none" w:sz="0" w:space="0" w:color="auto"/>
            <w:bottom w:val="none" w:sz="0" w:space="0" w:color="auto"/>
            <w:right w:val="none" w:sz="0" w:space="0" w:color="auto"/>
          </w:divBdr>
          <w:divsChild>
            <w:div w:id="830410227">
              <w:marLeft w:val="0"/>
              <w:marRight w:val="0"/>
              <w:marTop w:val="0"/>
              <w:marBottom w:val="0"/>
              <w:divBdr>
                <w:top w:val="none" w:sz="0" w:space="0" w:color="auto"/>
                <w:left w:val="none" w:sz="0" w:space="0" w:color="auto"/>
                <w:bottom w:val="none" w:sz="0" w:space="0" w:color="auto"/>
                <w:right w:val="none" w:sz="0" w:space="0" w:color="auto"/>
              </w:divBdr>
            </w:div>
          </w:divsChild>
        </w:div>
        <w:div w:id="1693070163">
          <w:marLeft w:val="0"/>
          <w:marRight w:val="0"/>
          <w:marTop w:val="0"/>
          <w:marBottom w:val="0"/>
          <w:divBdr>
            <w:top w:val="none" w:sz="0" w:space="0" w:color="auto"/>
            <w:left w:val="none" w:sz="0" w:space="0" w:color="auto"/>
            <w:bottom w:val="none" w:sz="0" w:space="0" w:color="auto"/>
            <w:right w:val="none" w:sz="0" w:space="0" w:color="auto"/>
          </w:divBdr>
          <w:divsChild>
            <w:div w:id="717440738">
              <w:marLeft w:val="0"/>
              <w:marRight w:val="0"/>
              <w:marTop w:val="0"/>
              <w:marBottom w:val="0"/>
              <w:divBdr>
                <w:top w:val="none" w:sz="0" w:space="0" w:color="auto"/>
                <w:left w:val="none" w:sz="0" w:space="0" w:color="auto"/>
                <w:bottom w:val="none" w:sz="0" w:space="0" w:color="auto"/>
                <w:right w:val="none" w:sz="0" w:space="0" w:color="auto"/>
              </w:divBdr>
            </w:div>
          </w:divsChild>
        </w:div>
        <w:div w:id="436995626">
          <w:marLeft w:val="0"/>
          <w:marRight w:val="0"/>
          <w:marTop w:val="0"/>
          <w:marBottom w:val="0"/>
          <w:divBdr>
            <w:top w:val="none" w:sz="0" w:space="0" w:color="auto"/>
            <w:left w:val="none" w:sz="0" w:space="0" w:color="auto"/>
            <w:bottom w:val="none" w:sz="0" w:space="0" w:color="auto"/>
            <w:right w:val="none" w:sz="0" w:space="0" w:color="auto"/>
          </w:divBdr>
          <w:divsChild>
            <w:div w:id="258219671">
              <w:marLeft w:val="0"/>
              <w:marRight w:val="0"/>
              <w:marTop w:val="0"/>
              <w:marBottom w:val="0"/>
              <w:divBdr>
                <w:top w:val="none" w:sz="0" w:space="0" w:color="auto"/>
                <w:left w:val="none" w:sz="0" w:space="0" w:color="auto"/>
                <w:bottom w:val="none" w:sz="0" w:space="0" w:color="auto"/>
                <w:right w:val="none" w:sz="0" w:space="0" w:color="auto"/>
              </w:divBdr>
            </w:div>
          </w:divsChild>
        </w:div>
        <w:div w:id="1112359597">
          <w:marLeft w:val="0"/>
          <w:marRight w:val="0"/>
          <w:marTop w:val="0"/>
          <w:marBottom w:val="0"/>
          <w:divBdr>
            <w:top w:val="none" w:sz="0" w:space="0" w:color="auto"/>
            <w:left w:val="none" w:sz="0" w:space="0" w:color="auto"/>
            <w:bottom w:val="none" w:sz="0" w:space="0" w:color="auto"/>
            <w:right w:val="none" w:sz="0" w:space="0" w:color="auto"/>
          </w:divBdr>
          <w:divsChild>
            <w:div w:id="2119400525">
              <w:marLeft w:val="0"/>
              <w:marRight w:val="0"/>
              <w:marTop w:val="0"/>
              <w:marBottom w:val="0"/>
              <w:divBdr>
                <w:top w:val="none" w:sz="0" w:space="0" w:color="auto"/>
                <w:left w:val="none" w:sz="0" w:space="0" w:color="auto"/>
                <w:bottom w:val="none" w:sz="0" w:space="0" w:color="auto"/>
                <w:right w:val="none" w:sz="0" w:space="0" w:color="auto"/>
              </w:divBdr>
            </w:div>
          </w:divsChild>
        </w:div>
        <w:div w:id="2129087087">
          <w:marLeft w:val="0"/>
          <w:marRight w:val="0"/>
          <w:marTop w:val="0"/>
          <w:marBottom w:val="0"/>
          <w:divBdr>
            <w:top w:val="none" w:sz="0" w:space="0" w:color="auto"/>
            <w:left w:val="none" w:sz="0" w:space="0" w:color="auto"/>
            <w:bottom w:val="none" w:sz="0" w:space="0" w:color="auto"/>
            <w:right w:val="none" w:sz="0" w:space="0" w:color="auto"/>
          </w:divBdr>
          <w:divsChild>
            <w:div w:id="3097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91AC8C-9B7E-40CB-B402-6D2FB966C9D2}"/>
</file>

<file path=customXml/itemProps2.xml><?xml version="1.0" encoding="utf-8"?>
<ds:datastoreItem xmlns:ds="http://schemas.openxmlformats.org/officeDocument/2006/customXml" ds:itemID="{C4A16131-AFD4-4DA1-88AE-937338195FD4}"/>
</file>

<file path=customXml/itemProps3.xml><?xml version="1.0" encoding="utf-8"?>
<ds:datastoreItem xmlns:ds="http://schemas.openxmlformats.org/officeDocument/2006/customXml" ds:itemID="{82AE26D8-5D68-4D30-8549-3A6167C364F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Kishore</dc:creator>
  <cp:keywords/>
  <dc:description/>
  <cp:lastModifiedBy>Anjaly T A</cp:lastModifiedBy>
  <cp:revision>6</cp:revision>
  <dcterms:created xsi:type="dcterms:W3CDTF">2022-08-27T14:35:00Z</dcterms:created>
  <dcterms:modified xsi:type="dcterms:W3CDTF">2022-09-23T20:35:07Z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