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379"/>
        <w:gridCol w:w="1337"/>
      </w:tblGrid>
      <w:tr w:rsidR="00BF0EAC" w:rsidTr="007206E7">
        <w:tc>
          <w:tcPr>
            <w:tcW w:w="1526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b/>
                <w:sz w:val="28"/>
                <w:szCs w:val="32"/>
              </w:rPr>
            </w:pPr>
            <w:r w:rsidRPr="007206E7">
              <w:rPr>
                <w:rFonts w:ascii="Times New Roman" w:hAnsi="Times New Roman"/>
                <w:b/>
                <w:sz w:val="28"/>
                <w:szCs w:val="32"/>
              </w:rPr>
              <w:t>Table No.</w:t>
            </w:r>
          </w:p>
        </w:tc>
        <w:tc>
          <w:tcPr>
            <w:tcW w:w="6379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b/>
                <w:sz w:val="28"/>
                <w:szCs w:val="32"/>
              </w:rPr>
            </w:pPr>
            <w:r w:rsidRPr="007206E7">
              <w:rPr>
                <w:rFonts w:ascii="Times New Roman" w:hAnsi="Times New Roman"/>
                <w:b/>
                <w:sz w:val="28"/>
                <w:szCs w:val="32"/>
              </w:rPr>
              <w:t>Table Name</w:t>
            </w:r>
          </w:p>
        </w:tc>
        <w:tc>
          <w:tcPr>
            <w:tcW w:w="1337" w:type="dxa"/>
          </w:tcPr>
          <w:p w:rsidR="00BF0EAC" w:rsidRPr="007206E7" w:rsidRDefault="007206E7" w:rsidP="00A864FA">
            <w:pPr>
              <w:spacing w:line="360" w:lineRule="atLeast"/>
              <w:rPr>
                <w:rFonts w:ascii="Times New Roman" w:hAnsi="Times New Roman"/>
                <w:b/>
                <w:sz w:val="28"/>
                <w:szCs w:val="32"/>
              </w:rPr>
            </w:pPr>
            <w:r w:rsidRPr="007206E7">
              <w:rPr>
                <w:rFonts w:ascii="Times New Roman" w:hAnsi="Times New Roman"/>
                <w:b/>
                <w:sz w:val="28"/>
                <w:szCs w:val="32"/>
              </w:rPr>
              <w:t>Page No.</w:t>
            </w:r>
          </w:p>
        </w:tc>
      </w:tr>
      <w:tr w:rsidR="00BF0EAC" w:rsidTr="007206E7">
        <w:tc>
          <w:tcPr>
            <w:tcW w:w="1526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2.1</w:t>
            </w:r>
          </w:p>
        </w:tc>
        <w:tc>
          <w:tcPr>
            <w:tcW w:w="6379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b/>
                <w:sz w:val="32"/>
                <w:szCs w:val="32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Genders in Hindi (</w:t>
            </w:r>
            <w:r w:rsidRPr="007206E7">
              <w:rPr>
                <w:rFonts w:ascii="Mangal" w:eastAsia="LiberationSerif" w:hAnsi="Mangal" w:cs="Mangal"/>
                <w:sz w:val="24"/>
                <w:szCs w:val="24"/>
                <w:lang w:val="en-IN"/>
              </w:rPr>
              <w:t>ई</w:t>
            </w: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337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sz w:val="32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26</w:t>
            </w:r>
          </w:p>
        </w:tc>
      </w:tr>
      <w:tr w:rsidR="00BF0EAC" w:rsidTr="007206E7">
        <w:tc>
          <w:tcPr>
            <w:tcW w:w="1526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2.2</w:t>
            </w:r>
          </w:p>
        </w:tc>
        <w:tc>
          <w:tcPr>
            <w:tcW w:w="6379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Genders in Hindi (</w:t>
            </w:r>
            <w:proofErr w:type="spellStart"/>
            <w:r w:rsidRPr="007206E7">
              <w:rPr>
                <w:rFonts w:ascii="Mangal" w:eastAsia="LiberationSerif" w:hAnsi="Mangal" w:cs="Mangal"/>
                <w:sz w:val="24"/>
                <w:szCs w:val="24"/>
                <w:lang w:val="en-IN"/>
              </w:rPr>
              <w:t>अन</w:t>
            </w:r>
            <w:proofErr w:type="spellEnd"/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337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26</w:t>
            </w:r>
          </w:p>
        </w:tc>
      </w:tr>
      <w:tr w:rsidR="00BF0EAC" w:rsidTr="007206E7">
        <w:tc>
          <w:tcPr>
            <w:tcW w:w="1526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2.3</w:t>
            </w:r>
          </w:p>
        </w:tc>
        <w:tc>
          <w:tcPr>
            <w:tcW w:w="6379" w:type="dxa"/>
          </w:tcPr>
          <w:p w:rsidR="007206E7" w:rsidRPr="007206E7" w:rsidRDefault="00BF0EAC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Cases in Hindi</w:t>
            </w:r>
          </w:p>
        </w:tc>
        <w:tc>
          <w:tcPr>
            <w:tcW w:w="1337" w:type="dxa"/>
          </w:tcPr>
          <w:p w:rsidR="00BF0EAC" w:rsidRPr="007206E7" w:rsidRDefault="00BF0EAC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28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bookmarkStart w:id="0" w:name="_GoBack" w:colFirst="1" w:colLast="1"/>
            <w:r w:rsidRPr="007206E7">
              <w:rPr>
                <w:rFonts w:ascii="Times New Roman" w:hAnsi="Times New Roman"/>
                <w:sz w:val="24"/>
                <w:szCs w:val="32"/>
              </w:rPr>
              <w:t>2.4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 xml:space="preserve">The present tense form of verb </w:t>
            </w:r>
            <w:proofErr w:type="spellStart"/>
            <w:r w:rsidRPr="007206E7">
              <w:rPr>
                <w:rFonts w:ascii="Mangal" w:eastAsia="LiberationSerif" w:hAnsi="Mangal" w:cs="Mangal"/>
                <w:sz w:val="24"/>
                <w:szCs w:val="24"/>
                <w:lang w:val="en-IN"/>
              </w:rPr>
              <w:t>होना</w:t>
            </w:r>
            <w:proofErr w:type="spellEnd"/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31</w:t>
            </w:r>
          </w:p>
        </w:tc>
      </w:tr>
      <w:bookmarkEnd w:id="0"/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2.5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 xml:space="preserve">The past tense form of </w:t>
            </w:r>
            <w:proofErr w:type="spellStart"/>
            <w:r w:rsidRPr="007206E7">
              <w:rPr>
                <w:rFonts w:ascii="Mangal" w:eastAsia="LiberationSerif" w:hAnsi="Mangal" w:cs="Mangal"/>
                <w:sz w:val="24"/>
                <w:szCs w:val="24"/>
                <w:lang w:val="en-IN"/>
              </w:rPr>
              <w:t>होना</w:t>
            </w:r>
            <w:proofErr w:type="spellEnd"/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31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2.6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 xml:space="preserve">The presumptive forms of the verb </w:t>
            </w:r>
            <w:proofErr w:type="spellStart"/>
            <w:r w:rsidRPr="007206E7">
              <w:rPr>
                <w:rFonts w:ascii="Mangal" w:eastAsia="LiberationSerif" w:hAnsi="Mangal" w:cs="Mangal"/>
                <w:sz w:val="24"/>
                <w:szCs w:val="24"/>
                <w:lang w:val="en-IN"/>
              </w:rPr>
              <w:t>होना</w:t>
            </w:r>
            <w:proofErr w:type="spellEnd"/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31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2.7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 xml:space="preserve">The subjective form of </w:t>
            </w:r>
            <w:proofErr w:type="spellStart"/>
            <w:r w:rsidRPr="007206E7">
              <w:rPr>
                <w:rFonts w:ascii="Mangal" w:eastAsia="LiberationSerif" w:hAnsi="Mangal" w:cs="Mangal"/>
                <w:sz w:val="24"/>
                <w:szCs w:val="24"/>
                <w:lang w:val="en-IN"/>
              </w:rPr>
              <w:t>होना</w:t>
            </w:r>
            <w:proofErr w:type="spellEnd"/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32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2.8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Compound verbs</w:t>
            </w:r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33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2.9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Inflected adjectives</w:t>
            </w:r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34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2.10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Non-</w:t>
            </w: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Inflected adjectives</w:t>
            </w:r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34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2.11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Connectives</w:t>
            </w:r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35</w:t>
            </w:r>
          </w:p>
        </w:tc>
      </w:tr>
      <w:tr w:rsidR="007206E7" w:rsidTr="007206E7">
        <w:tc>
          <w:tcPr>
            <w:tcW w:w="1526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2.12</w:t>
            </w:r>
          </w:p>
        </w:tc>
        <w:tc>
          <w:tcPr>
            <w:tcW w:w="6379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</w:pPr>
            <w:r w:rsidRPr="007206E7">
              <w:rPr>
                <w:rFonts w:ascii="Times New Roman" w:eastAsia="LiberationSerif" w:hAnsi="Times New Roman"/>
                <w:sz w:val="24"/>
                <w:szCs w:val="24"/>
                <w:lang w:val="en-IN"/>
              </w:rPr>
              <w:t>Interjection</w:t>
            </w:r>
          </w:p>
        </w:tc>
        <w:tc>
          <w:tcPr>
            <w:tcW w:w="1337" w:type="dxa"/>
          </w:tcPr>
          <w:p w:rsidR="007206E7" w:rsidRPr="007206E7" w:rsidRDefault="007206E7" w:rsidP="00A864FA">
            <w:pPr>
              <w:spacing w:line="360" w:lineRule="atLeast"/>
              <w:rPr>
                <w:rFonts w:ascii="Times New Roman" w:hAnsi="Times New Roman"/>
                <w:sz w:val="24"/>
                <w:szCs w:val="32"/>
              </w:rPr>
            </w:pPr>
            <w:r w:rsidRPr="007206E7">
              <w:rPr>
                <w:rFonts w:ascii="Times New Roman" w:hAnsi="Times New Roman"/>
                <w:sz w:val="24"/>
                <w:szCs w:val="32"/>
              </w:rPr>
              <w:t>35</w:t>
            </w:r>
          </w:p>
        </w:tc>
      </w:tr>
    </w:tbl>
    <w:p w:rsidR="00057AD0" w:rsidRDefault="007206E7"/>
    <w:sectPr w:rsidR="0005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AC"/>
    <w:rsid w:val="007206E7"/>
    <w:rsid w:val="007840CD"/>
    <w:rsid w:val="00B64E0C"/>
    <w:rsid w:val="00B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0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EA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0E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</dc:creator>
  <cp:lastModifiedBy>akshat</cp:lastModifiedBy>
  <cp:revision>2</cp:revision>
  <dcterms:created xsi:type="dcterms:W3CDTF">2012-11-26T17:44:00Z</dcterms:created>
  <dcterms:modified xsi:type="dcterms:W3CDTF">2012-11-26T17:50:00Z</dcterms:modified>
</cp:coreProperties>
</file>