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spacing w:val="5"/>
          <w:lang w:val="en-IN"/>
        </w:rPr>
      </w:pPr>
      <w:r>
        <w:rPr>
          <w:rFonts w:cs="Times New Roman" w:ascii="Times New Roman" w:hAnsi="Times New Roman"/>
          <w:b/>
          <w:bCs/>
          <w:spacing w:val="5"/>
          <w:lang w:val="en-IN"/>
        </w:rPr>
        <w:t>PDAC / Cancer Targets</w:t>
      </w:r>
    </w:p>
    <w:tbl>
      <w:tblPr>
        <w:tblW w:w="9360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68"/>
        <w:gridCol w:w="5703"/>
        <w:gridCol w:w="1989"/>
      </w:tblGrid>
      <w:tr>
        <w:trPr>
          <w:tblHeader w:val="true"/>
        </w:trPr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Protein (Target)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FDA</w:t>
              <w:noBreakHyphen/>
              <w:t>approved drug (example)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Comment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KRAS (G12D/G12V)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Sotorasib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(Lumakras) – approved for KRAS G12C</w:t>
              <w:noBreakHyphen/>
              <w:t>mutant NSCLC; the only FDA</w:t>
              <w:noBreakHyphen/>
              <w:t>approved KRAS inhibitor to date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No drug is yet approved specifically for G12D/G12V, but sotorasib is the only KRAS</w:t>
              <w:noBreakHyphen/>
              <w:t>directed agent on the market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PI3K (PIK3CA)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Alpelisib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(Piqray) – approved for PIK3CA</w:t>
              <w:noBreakHyphen/>
              <w:t>mutated HR</w:t>
              <w:noBreakHyphen/>
              <w:t>positive breast cancer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AKT1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Capivasertib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(Truqap) – FDA</w:t>
              <w:noBreakHyphen/>
              <w:t>approved (2023) for HR</w:t>
              <w:noBreakHyphen/>
              <w:t>positive breast cancer in combination with fulvestrant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mTOR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Everolimus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(Afinitor) – approved for several cancers (e.g., RCC, breast)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MEK1/2 (MAP2K1/2)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Trametinib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(Mekinist) – approved for BRAF</w:t>
              <w:noBreakHyphen/>
              <w:t>mutant melanoma and other indications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RAF1 (CRAF)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Sorafenib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(Nexavar) – multi</w:t>
              <w:noBreakHyphen/>
              <w:t>kinase inhibitor that includes RAF1; approved for HCC, RCC, thyroid cancer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CDK4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Palbociclib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(Ibrance) – CDK4/6 inhibitor approved for HR</w:t>
              <w:noBreakHyphen/>
              <w:t>positive breast cancer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STAT3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drug that directly targets STAT3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(as of 2026)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NF</w:t>
              <w:noBreakHyphen/>
              <w:t>κB (p65)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Bortezomib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(Velcade) – proteasome inhibitor that indirectly blocks NF</w:t>
              <w:noBreakHyphen/>
              <w:t>κB activation; approved for multiple myeloma and mantle</w:t>
              <w:noBreakHyphen/>
              <w:t>cell lymphoma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SMAD4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drug that directly targets SMAD4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MCL</w:t>
              <w:noBreakHyphen/>
              <w:t>1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drug that directly targets MCL</w:t>
              <w:noBreakHyphen/>
              <w:t>1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PARP1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Olaparib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(Lynparza) – approved for BRCA</w:t>
              <w:noBreakHyphen/>
              <w:t>mutated ovarian, breast, pancreatic, prostate cancers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EGFR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Erlotinib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(Tarceva) – approved for NSCLC and pancreatic cancer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HIF</w:t>
              <w:noBreakHyphen/>
              <w:t>1α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drug that directly targets HIF</w:t>
              <w:noBreakHyphen/>
              <w:t>1α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(belzutifan targets HIF</w:t>
              <w:noBreakHyphen/>
              <w:t>2α)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CDK6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Palbociclib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(Ibrance) – also inhibits CDK6; same indication as above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bCs/>
          <w:spacing w:val="5"/>
          <w:lang w:val="en-IN"/>
        </w:rPr>
      </w:pPr>
      <w:r>
        <w:rPr>
          <w:rFonts w:cs="Times New Roman" w:ascii="Times New Roman" w:hAnsi="Times New Roman"/>
          <w:b/>
          <w:bCs/>
          <w:spacing w:val="5"/>
          <w:lang w:val="en-IN"/>
        </w:rPr>
      </w:r>
    </w:p>
    <w:p>
      <w:pPr>
        <w:pStyle w:val="Normal"/>
        <w:rPr>
          <w:rFonts w:ascii="Times New Roman" w:hAnsi="Times New Roman" w:cs="Times New Roman"/>
          <w:spacing w:val="5"/>
          <w:lang w:val="en-IN"/>
        </w:rPr>
      </w:pPr>
      <w:r>
        <w:rPr>
          <w:rFonts w:cs="Times New Roman" w:ascii="Times New Roman" w:hAnsi="Times New Roman"/>
          <w:b/>
          <w:bCs/>
          <w:spacing w:val="5"/>
          <w:lang w:val="en-IN"/>
        </w:rPr>
        <w:t>Inflammation Targets</w:t>
      </w:r>
    </w:p>
    <w:tbl>
      <w:tblPr>
        <w:tblW w:w="9361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63"/>
        <w:gridCol w:w="6773"/>
        <w:gridCol w:w="1125"/>
      </w:tblGrid>
      <w:tr>
        <w:trPr>
          <w:tblHeader w:val="true"/>
        </w:trPr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Protein (Target)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FDA</w:t>
              <w:noBreakHyphen/>
              <w:t>approved drug (example)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Comment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COX</w:t>
              <w:noBreakHyphen/>
              <w:t>2 (PTGS2)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Celecoxib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(Celebrex) – approved for pain/inflammation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5</w:t>
              <w:noBreakHyphen/>
              <w:t>LOX (ALOX5)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Zileuton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(Zyflo) – approved for asthma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NF</w:t>
              <w:noBreakHyphen/>
              <w:t>κB (p65)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Bortezomib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(Velcade) – see above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NLRP3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NLRP3</w:t>
              <w:noBreakHyphen/>
              <w:t>specific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iNOS (NOS2)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iNOS</w:t>
              <w:noBreakHyphen/>
              <w:t>specific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Caspase</w:t>
              <w:noBreakHyphen/>
              <w:t>1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caspase</w:t>
              <w:noBreakHyphen/>
              <w:t>1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JAK1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Upadacitinib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(Rinvoq) – selective JAK1 inhibitor approved for rheumatoid arthritis and other inflammatory diseases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JAK2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Ruxolitinib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(Jakafi) – JAK1/2 inhibitor approved for myelofibrosis &amp; polycythemia vera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MAPK14 (p38α)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selective p38α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TNF</w:t>
              <w:noBreakHyphen/>
              <w:t>α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Adalimumab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(Humira) – approved for rheumatoid arthritis, Crohn’s disease, psoriasis, etc.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IL</w:t>
              <w:noBreakHyphen/>
              <w:t>6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Tocilizumab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(Actemra) – approved for rheumatoid arthritis, cytokine</w:t>
              <w:noBreakHyphen/>
              <w:t>release syndrome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IL</w:t>
              <w:noBreakHyphen/>
              <w:t>1β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Canakinumab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(Ilaris) – approved for periodic fever syndromes and CAPS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IL</w:t>
              <w:noBreakHyphen/>
              <w:t>17A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Secukinumab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(Cosentyx) – approved for psoriasis, ankylosing spondylitis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TLR4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TLR4</w:t>
              <w:noBreakHyphen/>
              <w:t>specific antagonist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PLA2</w:t>
            </w:r>
          </w:p>
        </w:tc>
        <w:tc>
          <w:tcPr>
            <w:tcW w:w="6773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secretory phospholipase A2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bCs/>
          <w:spacing w:val="5"/>
          <w:lang w:val="en-IN"/>
        </w:rPr>
      </w:pPr>
      <w:r>
        <w:rPr>
          <w:rFonts w:cs="Times New Roman" w:ascii="Times New Roman" w:hAnsi="Times New Roman"/>
          <w:b/>
          <w:bCs/>
          <w:spacing w:val="5"/>
          <w:lang w:val="en-IN"/>
        </w:rPr>
      </w:r>
    </w:p>
    <w:p>
      <w:pPr>
        <w:pStyle w:val="Normal"/>
        <w:rPr>
          <w:rFonts w:ascii="Times New Roman" w:hAnsi="Times New Roman" w:cs="Times New Roman"/>
          <w:spacing w:val="5"/>
          <w:lang w:val="en-IN"/>
        </w:rPr>
      </w:pPr>
      <w:r>
        <w:rPr>
          <w:rFonts w:cs="Times New Roman" w:ascii="Times New Roman" w:hAnsi="Times New Roman"/>
          <w:b/>
          <w:bCs/>
          <w:spacing w:val="5"/>
          <w:lang w:val="en-IN"/>
        </w:rPr>
        <w:t>Metabolic</w:t>
        <w:noBreakHyphen/>
        <w:t>Health Targets</w:t>
      </w:r>
    </w:p>
    <w:tbl>
      <w:tblPr>
        <w:tblW w:w="9360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416"/>
        <w:gridCol w:w="5819"/>
        <w:gridCol w:w="1125"/>
      </w:tblGrid>
      <w:tr>
        <w:trPr>
          <w:tblHeader w:val="true"/>
        </w:trPr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Protein (Target)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FDA</w:t>
              <w:noBreakHyphen/>
              <w:t>approved drug (example)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Comment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ACC (ACACA)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direct ACC inhibitor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(experimental agents in trials)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FASN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direct FASN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HMG</w:t>
              <w:noBreakHyphen/>
              <w:t>CoA reductase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Atorvastatin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(Lipitor) – statin class, approved for hyperlipidemia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CPT1A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CPT1A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AMPK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Metformin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(Glucophage) – indirect AMPK activator, approved for type 2 diabetes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PPAR</w:t>
              <w:noBreakHyphen/>
              <w:t>α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Fenofibrate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(Tricor) – PPAR</w:t>
              <w:noBreakHyphen/>
              <w:t>α agonist, approved for hypertriglyceridemia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PPAR</w:t>
              <w:noBreakHyphen/>
              <w:t>γ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Pioglitazone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(Actos) – PPAR</w:t>
              <w:noBreakHyphen/>
              <w:t>γ agonist, approved for type 2 diabetes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SREBP</w:t>
              <w:noBreakHyphen/>
              <w:t>1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direct SREBP</w:t>
              <w:noBreakHyphen/>
              <w:t>1 modulator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GLP</w:t>
              <w:noBreakHyphen/>
              <w:t>1 receptor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Semaglutide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(Ozempic/Wegovy) – GLP</w:t>
              <w:noBreakHyphen/>
              <w:t>1R agonist, approved for diabetes and obesity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DPP</w:t>
              <w:noBreakHyphen/>
              <w:t>4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Sitagliptin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(Januvia) – DPP</w:t>
              <w:noBreakHyphen/>
              <w:t>4 inhibitor, approved for type 2 diabetes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GSK3β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direct GSK3β inhibitor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IRS</w:t>
              <w:noBreakHyphen/>
              <w:t>1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drug directly targeting IRS</w:t>
              <w:noBreakHyphen/>
              <w:t>1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Leptin receptor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leptin</w:t>
              <w:noBreakHyphen/>
              <w:t>receptor agonist/antagonist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Adiponectin receptor (AdipoR1)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i/>
                <w:iCs/>
                <w:spacing w:val="5"/>
                <w:lang w:val="en-IN"/>
              </w:rPr>
              <w:t>No FDA</w:t>
              <w:noBreakHyphen/>
              <w:t>approved adiponectin</w:t>
              <w:noBreakHyphen/>
              <w:t>receptor modulator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TNF</w:t>
              <w:noBreakHyphen/>
              <w:t>α (metabolic inflammation)</w:t>
            </w:r>
          </w:p>
        </w:tc>
        <w:tc>
          <w:tcPr>
            <w:tcW w:w="581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pacing w:val="5"/>
                <w:lang w:val="en-IN"/>
              </w:rPr>
              <w:t>Adalimumab</w:t>
            </w:r>
            <w:r>
              <w:rPr>
                <w:rFonts w:cs="Times New Roman" w:ascii="Times New Roman" w:hAnsi="Times New Roman"/>
                <w:spacing w:val="5"/>
                <w:lang w:val="en-IN"/>
              </w:rPr>
              <w:t xml:space="preserve"> (Humira) – same as above; used off</w:t>
              <w:noBreakHyphen/>
              <w:t>label for metabolic</w:t>
              <w:noBreakHyphen/>
              <w:t>inflammation contexts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pacing w:val="5"/>
                <w:lang w:val="en-IN"/>
              </w:rPr>
            </w:pPr>
            <w:r>
              <w:rPr>
                <w:rFonts w:cs="Times New Roman" w:ascii="Times New Roman" w:hAnsi="Times New Roman"/>
                <w:spacing w:val="5"/>
                <w:lang w:val="en-IN"/>
              </w:rPr>
              <w:t>–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bCs/>
          <w:spacing w:val="5"/>
          <w:lang w:val="en-IN"/>
        </w:rPr>
      </w:pPr>
      <w:r>
        <w:rPr>
          <w:rFonts w:cs="Times New Roman" w:ascii="Times New Roman" w:hAnsi="Times New Roman"/>
          <w:b/>
          <w:bCs/>
          <w:spacing w:val="5"/>
          <w:lang w:val="en-IN"/>
        </w:rPr>
      </w:r>
    </w:p>
    <w:p>
      <w:pPr>
        <w:pStyle w:val="Normal"/>
        <w:rPr>
          <w:rFonts w:ascii="Times New Roman" w:hAnsi="Times New Roman" w:cs="Times New Roman"/>
          <w:spacing w:val="5"/>
          <w:lang w:val="en-IN"/>
        </w:rPr>
      </w:pPr>
      <w:r>
        <w:rPr>
          <w:rFonts w:cs="Times New Roman" w:ascii="Times New Roman" w:hAnsi="Times New Roman"/>
          <w:b/>
          <w:bCs/>
          <w:spacing w:val="5"/>
          <w:lang w:val="en-IN"/>
        </w:rPr>
        <w:t>Key points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pacing w:val="5"/>
          <w:lang w:val="en-IN"/>
        </w:rPr>
      </w:pPr>
      <w:r>
        <w:rPr>
          <w:rFonts w:cs="Times New Roman" w:ascii="Times New Roman" w:hAnsi="Times New Roman"/>
          <w:spacing w:val="5"/>
          <w:lang w:val="en-IN"/>
        </w:rPr>
        <w:t>Only a subset of the listed proteins has FDA</w:t>
        <w:noBreakHyphen/>
        <w:t xml:space="preserve">approved agents that directly target them.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pacing w:val="5"/>
          <w:lang w:val="en-IN"/>
        </w:rPr>
      </w:pPr>
      <w:r>
        <w:rPr>
          <w:rFonts w:cs="Times New Roman" w:ascii="Times New Roman" w:hAnsi="Times New Roman"/>
          <w:spacing w:val="5"/>
          <w:lang w:val="en-IN"/>
        </w:rPr>
        <w:t>For many transcription factors, scaffolding proteins, or intracellular signaling nodes (e.g., STAT3, SMAD4, MCL</w:t>
        <w:noBreakHyphen/>
        <w:t xml:space="preserve">1, NLRP3, CPT1A, GSK3β, etc.) no approved drug exists yet; research is ongoing.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pacing w:val="5"/>
          <w:lang w:val="en-IN"/>
        </w:rPr>
      </w:pPr>
      <w:r>
        <w:rPr>
          <w:rFonts w:cs="Times New Roman" w:ascii="Times New Roman" w:hAnsi="Times New Roman"/>
          <w:spacing w:val="5"/>
          <w:lang w:val="en-IN"/>
        </w:rPr>
        <w:t xml:space="preserve">In several cases, drugs listed act </w:t>
      </w:r>
      <w:r>
        <w:rPr>
          <w:rFonts w:cs="Times New Roman" w:ascii="Times New Roman" w:hAnsi="Times New Roman"/>
          <w:b/>
          <w:bCs/>
          <w:spacing w:val="5"/>
          <w:lang w:val="en-IN"/>
        </w:rPr>
        <w:t>indirectly</w:t>
      </w:r>
      <w:r>
        <w:rPr>
          <w:rFonts w:cs="Times New Roman" w:ascii="Times New Roman" w:hAnsi="Times New Roman"/>
          <w:spacing w:val="5"/>
          <w:lang w:val="en-IN"/>
        </w:rPr>
        <w:t xml:space="preserve"> (e.g., proteasome inhibition blocks NF</w:t>
        <w:noBreakHyphen/>
        <w:t>κB activation, metformin activates AMPK) but are the only FDA</w:t>
        <w:noBreakHyphen/>
        <w:t>approved options that impact the target pathway.</w:t>
      </w:r>
    </w:p>
    <w:p>
      <w:pPr>
        <w:pStyle w:val="Normal"/>
        <w:spacing w:before="0" w:after="160"/>
        <w:rPr>
          <w:rStyle w:val="BookTitle"/>
          <w:rFonts w:ascii="Times New Roman" w:hAnsi="Times New Roman" w:cs="Times New Roman"/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1359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35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5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e135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e135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e1359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e1359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e1359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e135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e135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e135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e1359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4e135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e135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e13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1359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e1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59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e1359"/>
    <w:rPr>
      <w:b/>
      <w:bCs/>
      <w:i/>
      <w:iC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e135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5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5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5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5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4e135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LibreOffice/6.4.7.2$Linux_X86_64 LibreOffice_project/40$Build-2</Application>
  <Pages>4</Pages>
  <Words>531</Words>
  <Characters>3764</Characters>
  <CharactersWithSpaces>4214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2025-12-15T09:31:00Z</dcterms:created>
  <dc:creator>Siva Bharathi</dc:creator>
  <dc:description/>
  <dc:language>en-IN</dc:language>
  <cp:lastModifiedBy/>
  <dcterms:modified xsi:type="dcterms:W3CDTF">2026-01-08T21:01:40Z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469cea4b-0811-4150-a1c4-e37efa257d67</vt:lpwstr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