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F2" w:rsidRDefault="00C517D1" w:rsidP="008E2CF2">
      <w:pPr>
        <w:pStyle w:val="Default"/>
        <w:jc w:val="center"/>
        <w:rPr>
          <w:sz w:val="23"/>
          <w:szCs w:val="23"/>
        </w:rPr>
      </w:pPr>
      <w:r>
        <w:rPr>
          <w:b/>
          <w:bCs/>
        </w:rPr>
        <w:t>Polymer-Polymer Scaffold: An Efficient Strategy to Cross Blood Brain Barrier and Modulate Pathological Amyloids</w:t>
      </w:r>
      <w:bookmarkStart w:id="0" w:name="_GoBack"/>
      <w:bookmarkEnd w:id="0"/>
    </w:p>
    <w:p w:rsidR="008E2CF2" w:rsidRDefault="008E2CF2" w:rsidP="008E2CF2">
      <w:pPr>
        <w:pStyle w:val="Default"/>
        <w:jc w:val="both"/>
        <w:rPr>
          <w:sz w:val="22"/>
          <w:szCs w:val="22"/>
        </w:rPr>
      </w:pPr>
    </w:p>
    <w:p w:rsidR="008E2CF2" w:rsidRDefault="008E2CF2" w:rsidP="008E2CF2">
      <w:pPr>
        <w:pStyle w:val="Default"/>
        <w:jc w:val="center"/>
        <w:rPr>
          <w:sz w:val="22"/>
          <w:szCs w:val="22"/>
        </w:rPr>
      </w:pPr>
      <w:r w:rsidRPr="00BC2EFF">
        <w:rPr>
          <w:sz w:val="22"/>
          <w:szCs w:val="22"/>
          <w:u w:val="single"/>
        </w:rPr>
        <w:t>Subrata Mondal</w:t>
      </w:r>
      <w:r w:rsidR="00C8313E">
        <w:rPr>
          <w:sz w:val="22"/>
          <w:szCs w:val="22"/>
          <w:u w:val="single"/>
        </w:rPr>
        <w:t xml:space="preserve">, </w:t>
      </w:r>
      <w:proofErr w:type="spellStart"/>
      <w:r w:rsidR="00C8313E" w:rsidRPr="00BC2EFF">
        <w:rPr>
          <w:sz w:val="22"/>
          <w:szCs w:val="22"/>
        </w:rPr>
        <w:t>Sayan</w:t>
      </w:r>
      <w:proofErr w:type="spellEnd"/>
      <w:r w:rsidR="00C8313E" w:rsidRPr="00BC2EFF">
        <w:rPr>
          <w:sz w:val="22"/>
          <w:szCs w:val="22"/>
        </w:rPr>
        <w:t xml:space="preserve"> Roy Chowdhury</w:t>
      </w:r>
      <w:r w:rsidR="00C8313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BA3A86">
        <w:rPr>
          <w:sz w:val="22"/>
          <w:szCs w:val="22"/>
        </w:rPr>
        <w:t xml:space="preserve">and </w:t>
      </w:r>
      <w:proofErr w:type="spellStart"/>
      <w:r w:rsidRPr="00BA3A86">
        <w:rPr>
          <w:sz w:val="22"/>
          <w:szCs w:val="22"/>
        </w:rPr>
        <w:t>Parameswar</w:t>
      </w:r>
      <w:proofErr w:type="spellEnd"/>
      <w:r w:rsidRPr="00BA3A86">
        <w:rPr>
          <w:sz w:val="22"/>
          <w:szCs w:val="22"/>
        </w:rPr>
        <w:t xml:space="preserve"> Krishnan </w:t>
      </w:r>
      <w:proofErr w:type="spellStart"/>
      <w:r w:rsidRPr="00BA3A86">
        <w:rPr>
          <w:sz w:val="22"/>
          <w:szCs w:val="22"/>
        </w:rPr>
        <w:t>Iyer</w:t>
      </w:r>
      <w:proofErr w:type="spellEnd"/>
      <w:r w:rsidRPr="00BA3A86">
        <w:rPr>
          <w:sz w:val="22"/>
          <w:szCs w:val="22"/>
        </w:rPr>
        <w:t>*</w:t>
      </w:r>
    </w:p>
    <w:p w:rsidR="008E2CF2" w:rsidRDefault="008E2CF2" w:rsidP="008E2CF2">
      <w:pPr>
        <w:pStyle w:val="Default"/>
        <w:jc w:val="center"/>
        <w:rPr>
          <w:sz w:val="22"/>
          <w:szCs w:val="22"/>
        </w:rPr>
      </w:pPr>
      <w:r w:rsidRPr="00BA3A86">
        <w:rPr>
          <w:sz w:val="22"/>
          <w:szCs w:val="22"/>
        </w:rPr>
        <w:t>Department of Chemistry, Indian I</w:t>
      </w:r>
      <w:r>
        <w:rPr>
          <w:sz w:val="22"/>
          <w:szCs w:val="22"/>
        </w:rPr>
        <w:t xml:space="preserve">nstitute of Technology Guwahati </w:t>
      </w:r>
      <w:r w:rsidRPr="00BA3A86">
        <w:rPr>
          <w:sz w:val="22"/>
          <w:szCs w:val="22"/>
        </w:rPr>
        <w:t>781039, Assam</w:t>
      </w:r>
      <w:r>
        <w:rPr>
          <w:sz w:val="22"/>
          <w:szCs w:val="22"/>
        </w:rPr>
        <w:t>,</w:t>
      </w:r>
      <w:r w:rsidRPr="00BA3A86">
        <w:rPr>
          <w:sz w:val="22"/>
          <w:szCs w:val="22"/>
        </w:rPr>
        <w:t xml:space="preserve"> I</w:t>
      </w:r>
      <w:r>
        <w:rPr>
          <w:sz w:val="22"/>
          <w:szCs w:val="22"/>
        </w:rPr>
        <w:t>ndia.</w:t>
      </w:r>
    </w:p>
    <w:p w:rsidR="008E2CF2" w:rsidRDefault="008E2CF2" w:rsidP="008E2CF2">
      <w:pPr>
        <w:pStyle w:val="Default"/>
        <w:jc w:val="center"/>
        <w:rPr>
          <w:sz w:val="22"/>
          <w:szCs w:val="22"/>
        </w:rPr>
      </w:pPr>
      <w:r w:rsidRPr="00BA3A86">
        <w:rPr>
          <w:sz w:val="22"/>
          <w:szCs w:val="22"/>
        </w:rPr>
        <w:t xml:space="preserve">Email id: </w:t>
      </w:r>
      <w:hyperlink r:id="rId4" w:history="1">
        <w:r w:rsidRPr="00EF7FFD">
          <w:rPr>
            <w:rStyle w:val="Hyperlink"/>
            <w:sz w:val="22"/>
            <w:szCs w:val="22"/>
          </w:rPr>
          <w:t>pki@iitg.ernet.in</w:t>
        </w:r>
      </w:hyperlink>
    </w:p>
    <w:p w:rsidR="008E2CF2" w:rsidRDefault="008E2CF2" w:rsidP="008E2CF2">
      <w:pPr>
        <w:pStyle w:val="Default"/>
        <w:jc w:val="center"/>
        <w:rPr>
          <w:sz w:val="23"/>
          <w:szCs w:val="23"/>
        </w:rPr>
      </w:pPr>
    </w:p>
    <w:p w:rsidR="008E2CF2" w:rsidRPr="0083686C" w:rsidRDefault="008E2CF2" w:rsidP="008E2CF2">
      <w:pPr>
        <w:pStyle w:val="Default"/>
        <w:jc w:val="both"/>
        <w:rPr>
          <w:sz w:val="22"/>
          <w:szCs w:val="22"/>
        </w:rPr>
      </w:pPr>
      <w:r w:rsidRPr="00BA3A86">
        <w:rPr>
          <w:sz w:val="22"/>
          <w:szCs w:val="22"/>
        </w:rPr>
        <w:t xml:space="preserve">Alzheimer's disease (AD) is pathologically highlighted by the aggregation of intracellular neuroﬁbrillary tangles shaped by tau proteins and extracellular feeble torment by amyloid β-proteins (Aβ) in the patient brain. </w:t>
      </w:r>
      <w:r w:rsidRPr="00416E38">
        <w:rPr>
          <w:sz w:val="22"/>
          <w:szCs w:val="22"/>
        </w:rPr>
        <w:t>Numerous studies</w:t>
      </w:r>
      <w:r>
        <w:rPr>
          <w:sz w:val="22"/>
          <w:szCs w:val="22"/>
        </w:rPr>
        <w:t xml:space="preserve"> </w:t>
      </w:r>
      <w:r w:rsidRPr="00416E38">
        <w:rPr>
          <w:sz w:val="22"/>
          <w:szCs w:val="22"/>
        </w:rPr>
        <w:t>have demonstrated that the aggregation of Aβ into amyloid ﬁbrils containing trademark cross-β-sheet structure in the mind of AD patients is firmly conn</w:t>
      </w:r>
      <w:r>
        <w:rPr>
          <w:sz w:val="22"/>
          <w:szCs w:val="22"/>
        </w:rPr>
        <w:t xml:space="preserve">ected to the pathogenesis of AD and </w:t>
      </w:r>
      <w:r w:rsidRPr="00416E38">
        <w:rPr>
          <w:sz w:val="22"/>
          <w:szCs w:val="22"/>
        </w:rPr>
        <w:t xml:space="preserve">dissolvable Aβ oligomers </w:t>
      </w:r>
      <w:r>
        <w:rPr>
          <w:sz w:val="22"/>
          <w:szCs w:val="22"/>
        </w:rPr>
        <w:t>and/</w:t>
      </w:r>
      <w:r w:rsidRPr="00416E38">
        <w:rPr>
          <w:sz w:val="22"/>
          <w:szCs w:val="22"/>
        </w:rPr>
        <w:t>or protoﬁbrils are the most poisonous species, in charge of neuron brokenness and death.</w:t>
      </w:r>
      <w:r>
        <w:rPr>
          <w:sz w:val="22"/>
          <w:szCs w:val="22"/>
        </w:rPr>
        <w:t xml:space="preserve"> </w:t>
      </w:r>
      <w:r w:rsidRPr="0083686C">
        <w:rPr>
          <w:sz w:val="22"/>
          <w:szCs w:val="22"/>
        </w:rPr>
        <w:t>H</w:t>
      </w:r>
      <w:r>
        <w:rPr>
          <w:sz w:val="22"/>
          <w:szCs w:val="22"/>
        </w:rPr>
        <w:t>ere, in this work, nontoxic, biocompatible</w:t>
      </w:r>
      <w:r w:rsidRPr="0083686C">
        <w:rPr>
          <w:sz w:val="22"/>
          <w:szCs w:val="22"/>
        </w:rPr>
        <w:t xml:space="preserve"> water soluble polymeric conjugate have been used to modulate toxic amyloid aggregates in human CSF and as well as in preformed amyloid aggregates from commercial Aβ1-40. </w:t>
      </w:r>
      <w:r>
        <w:rPr>
          <w:sz w:val="22"/>
          <w:szCs w:val="22"/>
        </w:rPr>
        <w:t xml:space="preserve">This modulation strategy leads to the formation of polymer-protein co-aggregates instead of toxic amyloid aggregates which is responsible for </w:t>
      </w:r>
      <w:r w:rsidRPr="0083686C">
        <w:rPr>
          <w:sz w:val="22"/>
          <w:szCs w:val="22"/>
        </w:rPr>
        <w:t>p</w:t>
      </w:r>
      <w:r>
        <w:rPr>
          <w:sz w:val="22"/>
          <w:szCs w:val="22"/>
        </w:rPr>
        <w:t>laque</w:t>
      </w:r>
      <w:r w:rsidRPr="0083686C">
        <w:rPr>
          <w:sz w:val="22"/>
          <w:szCs w:val="22"/>
        </w:rPr>
        <w:t xml:space="preserve"> </w:t>
      </w:r>
      <w:r>
        <w:rPr>
          <w:sz w:val="22"/>
          <w:szCs w:val="22"/>
        </w:rPr>
        <w:t>formation</w:t>
      </w:r>
      <w:r w:rsidRPr="0083686C">
        <w:rPr>
          <w:sz w:val="22"/>
          <w:szCs w:val="22"/>
        </w:rPr>
        <w:t xml:space="preserve"> and is related to disease progression. </w:t>
      </w:r>
      <w:r>
        <w:rPr>
          <w:sz w:val="22"/>
          <w:szCs w:val="22"/>
        </w:rPr>
        <w:t>T</w:t>
      </w:r>
      <w:r w:rsidRPr="00BF7606">
        <w:rPr>
          <w:sz w:val="22"/>
          <w:szCs w:val="22"/>
        </w:rPr>
        <w:t xml:space="preserve">he intriguing prospect of amyloid fibrils using luminescent conjugate materials technique as a scaffold for polymer-protein hybrid materials </w:t>
      </w:r>
      <w:r>
        <w:rPr>
          <w:sz w:val="22"/>
          <w:szCs w:val="22"/>
        </w:rPr>
        <w:t xml:space="preserve">is well delineated </w:t>
      </w:r>
      <w:r w:rsidRPr="00BF7606">
        <w:rPr>
          <w:sz w:val="22"/>
          <w:szCs w:val="22"/>
        </w:rPr>
        <w:t xml:space="preserve">as this technique provides a direct link between spectral signal and protein conformation and can </w:t>
      </w:r>
      <w:r>
        <w:rPr>
          <w:sz w:val="22"/>
          <w:szCs w:val="22"/>
        </w:rPr>
        <w:t xml:space="preserve">further </w:t>
      </w:r>
      <w:r w:rsidRPr="00BF7606">
        <w:rPr>
          <w:sz w:val="22"/>
          <w:szCs w:val="22"/>
        </w:rPr>
        <w:t>be used to gain more information concerning the morphology of the protein deposits and facilitate a greater understanding of the conformational phenotype encoded in the native protein aggregates.</w:t>
      </w:r>
    </w:p>
    <w:p w:rsidR="008E2CF2" w:rsidRDefault="008E2CF2" w:rsidP="008E2CF2">
      <w:pPr>
        <w:pStyle w:val="Default"/>
        <w:rPr>
          <w:sz w:val="20"/>
          <w:szCs w:val="20"/>
        </w:rPr>
      </w:pPr>
    </w:p>
    <w:p w:rsidR="008E2CF2" w:rsidRPr="00CC3CB9" w:rsidRDefault="008E2CF2" w:rsidP="008E2CF2">
      <w:pPr>
        <w:pStyle w:val="Default"/>
        <w:rPr>
          <w:sz w:val="22"/>
          <w:szCs w:val="22"/>
        </w:rPr>
      </w:pPr>
      <w:r w:rsidRPr="00CC3CB9">
        <w:rPr>
          <w:sz w:val="22"/>
          <w:szCs w:val="22"/>
        </w:rPr>
        <w:t xml:space="preserve">References </w:t>
      </w:r>
    </w:p>
    <w:p w:rsidR="008E2CF2" w:rsidRPr="00CC3CB9" w:rsidRDefault="008E2CF2" w:rsidP="008E2CF2">
      <w:pPr>
        <w:pStyle w:val="Default"/>
        <w:rPr>
          <w:sz w:val="22"/>
          <w:szCs w:val="22"/>
        </w:rPr>
      </w:pPr>
      <w:r w:rsidRPr="00CC3CB9">
        <w:rPr>
          <w:sz w:val="22"/>
          <w:szCs w:val="22"/>
        </w:rPr>
        <w:t xml:space="preserve">(1) Yankner, B. A.; Duffy, L. K.; Kirschner, D. A. </w:t>
      </w:r>
      <w:r w:rsidRPr="00CC3CB9">
        <w:rPr>
          <w:i/>
          <w:sz w:val="22"/>
          <w:szCs w:val="22"/>
        </w:rPr>
        <w:t>Science</w:t>
      </w:r>
      <w:r w:rsidRPr="00CC3CB9">
        <w:rPr>
          <w:sz w:val="22"/>
          <w:szCs w:val="22"/>
        </w:rPr>
        <w:t xml:space="preserve"> </w:t>
      </w:r>
      <w:r w:rsidRPr="00CC3CB9">
        <w:rPr>
          <w:b/>
          <w:sz w:val="22"/>
          <w:szCs w:val="22"/>
        </w:rPr>
        <w:t>1990</w:t>
      </w:r>
      <w:r w:rsidRPr="00CC3CB9">
        <w:rPr>
          <w:sz w:val="22"/>
          <w:szCs w:val="22"/>
        </w:rPr>
        <w:t xml:space="preserve">, </w:t>
      </w:r>
      <w:r w:rsidRPr="00CC3CB9">
        <w:rPr>
          <w:i/>
          <w:sz w:val="22"/>
          <w:szCs w:val="22"/>
        </w:rPr>
        <w:t>250</w:t>
      </w:r>
      <w:r w:rsidRPr="00CC3CB9">
        <w:rPr>
          <w:sz w:val="22"/>
          <w:szCs w:val="22"/>
        </w:rPr>
        <w:t xml:space="preserve">, 279−282. </w:t>
      </w:r>
    </w:p>
    <w:p w:rsidR="008E2CF2" w:rsidRDefault="008E2CF2" w:rsidP="008E2CF2">
      <w:pPr>
        <w:pStyle w:val="Default"/>
        <w:rPr>
          <w:sz w:val="22"/>
          <w:szCs w:val="22"/>
        </w:rPr>
      </w:pPr>
      <w:r w:rsidRPr="00CC3CB9">
        <w:rPr>
          <w:sz w:val="22"/>
          <w:szCs w:val="22"/>
        </w:rPr>
        <w:t xml:space="preserve">(2) Hardy, J.; Selkoe, D. J. </w:t>
      </w:r>
      <w:r w:rsidRPr="00CC3CB9">
        <w:rPr>
          <w:i/>
          <w:sz w:val="22"/>
          <w:szCs w:val="22"/>
        </w:rPr>
        <w:t>Science</w:t>
      </w:r>
      <w:r w:rsidRPr="00CC3CB9">
        <w:rPr>
          <w:sz w:val="22"/>
          <w:szCs w:val="22"/>
        </w:rPr>
        <w:t xml:space="preserve"> </w:t>
      </w:r>
      <w:r w:rsidRPr="00CC3CB9">
        <w:rPr>
          <w:b/>
          <w:sz w:val="22"/>
          <w:szCs w:val="22"/>
        </w:rPr>
        <w:t>2002</w:t>
      </w:r>
      <w:r w:rsidRPr="00CC3CB9">
        <w:rPr>
          <w:sz w:val="22"/>
          <w:szCs w:val="22"/>
        </w:rPr>
        <w:t xml:space="preserve">, </w:t>
      </w:r>
      <w:r w:rsidRPr="00CC3CB9">
        <w:rPr>
          <w:i/>
          <w:sz w:val="22"/>
          <w:szCs w:val="22"/>
        </w:rPr>
        <w:t>297</w:t>
      </w:r>
      <w:r w:rsidRPr="00CC3CB9">
        <w:rPr>
          <w:sz w:val="22"/>
          <w:szCs w:val="22"/>
        </w:rPr>
        <w:t>, 353−356.</w:t>
      </w:r>
    </w:p>
    <w:p w:rsidR="008E2CF2" w:rsidRPr="00CC3CB9" w:rsidRDefault="008E2CF2" w:rsidP="008E2C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(3) </w:t>
      </w:r>
      <w:r w:rsidRPr="00CC3CB9">
        <w:rPr>
          <w:sz w:val="22"/>
          <w:szCs w:val="22"/>
        </w:rPr>
        <w:t xml:space="preserve">Chowdhury, S. R.; Agarwal, M.; Meher, N.; Muthuraj, B.; Iyer, P. K. </w:t>
      </w:r>
      <w:r w:rsidRPr="00CC3CB9">
        <w:rPr>
          <w:i/>
          <w:sz w:val="22"/>
          <w:szCs w:val="22"/>
        </w:rPr>
        <w:t>ACS Appl. Mater. Interfaces</w:t>
      </w:r>
      <w:r w:rsidRPr="00CC3CB9">
        <w:rPr>
          <w:sz w:val="22"/>
          <w:szCs w:val="22"/>
        </w:rPr>
        <w:t>, 2016, 8 (21), 13309–13319.</w:t>
      </w:r>
    </w:p>
    <w:p w:rsidR="00CA5AAF" w:rsidRDefault="00CA5AAF"/>
    <w:sectPr w:rsidR="00CA5AAF" w:rsidSect="008F400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F2"/>
    <w:rsid w:val="008E2CF2"/>
    <w:rsid w:val="00A3103C"/>
    <w:rsid w:val="00C517D1"/>
    <w:rsid w:val="00C8313E"/>
    <w:rsid w:val="00C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40CEC-EC89-4400-823F-BFFB4344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2CF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as-IN"/>
    </w:rPr>
  </w:style>
  <w:style w:type="character" w:styleId="Hyperlink">
    <w:name w:val="Hyperlink"/>
    <w:basedOn w:val="DefaultParagraphFont"/>
    <w:uiPriority w:val="99"/>
    <w:unhideWhenUsed/>
    <w:rsid w:val="008E2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ki@iitg.er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 RC</dc:creator>
  <cp:lastModifiedBy>Subrata Mondal</cp:lastModifiedBy>
  <cp:revision>3</cp:revision>
  <dcterms:created xsi:type="dcterms:W3CDTF">2017-10-22T13:49:00Z</dcterms:created>
  <dcterms:modified xsi:type="dcterms:W3CDTF">2017-10-22T13:54:00Z</dcterms:modified>
</cp:coreProperties>
</file>