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7365D"/>
          <w:sz w:val="56"/>
        </w:rPr>
        <w:t>AI Job Search &amp; Application Platform</w:t>
      </w:r>
    </w:p>
    <w:p>
      <w:pPr>
        <w:jc w:val="center"/>
      </w:pPr>
      <w:r>
        <w:rPr>
          <w:color w:val="2F5597"/>
          <w:sz w:val="30"/>
        </w:rPr>
        <w:t>Cost-Optimized V1 System Architecture &amp; Product Design</w:t>
      </w:r>
    </w:p>
    <w:p>
      <w:pPr>
        <w:spacing w:before="320"/>
        <w:jc w:val="center"/>
      </w:pPr>
      <w:r>
        <w:rPr>
          <w:b/>
        </w:rPr>
        <w:t>Web Dashboard • Chrome Extension • MCP • AI Resume &amp; Outreach • Job Discovery</w:t>
      </w: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color w:val="17365D"/>
              </w:rPr>
              <w:t xml:space="preserve">Architecture baseline — </w:t>
            </w:r>
            <w:r>
              <w:t>Build V1 for low traffic with the fewest paid dependencies possible. Keep the core on one small EC2, use a remote free-tier PostgreSQL service, avoid Redis/RAG/OpenSearch/Kubernetes/Kafka, and pay for enrichment or extra AWS services only when usage proves they are needed.</w:t>
            </w:r>
          </w:p>
        </w:tc>
      </w:tr>
    </w:tbl>
    <w:p>
      <w:pPr>
        <w:spacing w:after="20"/>
      </w:pPr>
    </w:p>
    <w:p>
      <w:pPr>
        <w:spacing w:before="800"/>
        <w:jc w:val="center"/>
      </w:pPr>
      <w:r>
        <w:rPr>
          <w:i/>
        </w:rPr>
        <w:t>Primary goal: a personal AI job-search operating system with human-controlled outreach.</w:t>
      </w:r>
    </w:p>
    <w:p>
      <w:r>
        <w:br w:type="page"/>
      </w:r>
    </w:p>
    <w:p>
      <w:pPr>
        <w:pStyle w:val="Heading1"/>
      </w:pPr>
      <w:r>
        <w:t>1. Product Vision &amp; Functional Scope</w:t>
      </w:r>
    </w:p>
    <w:p>
      <w:r>
        <w:t>The product is a personal AI job-search operating system. It discovers opportunities, prioritizes hiring/referral posts, tailors resumes and outreach, tracks applications, and exposes the same backend capabilities through a full web dashboard, a browser extension, and an MCP server.</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1800"/>
            <w:shd w:fill="17365D"/>
            <w:vAlign w:val="center"/>
            <w:tcMar>
              <w:top w:w="80" w:type="dxa"/>
              <w:start w:w="100" w:type="dxa"/>
              <w:bottom w:w="80" w:type="dxa"/>
              <w:end w:w="100" w:type="dxa"/>
            </w:tcMar>
          </w:tcPr>
          <w:p>
            <w:r>
              <w:rPr>
                <w:b/>
                <w:color w:val="FFFFFF"/>
                <w:sz w:val="18"/>
              </w:rPr>
              <w:t>Area</w:t>
            </w:r>
          </w:p>
        </w:tc>
        <w:tc>
          <w:tcPr>
            <w:tcW w:type="dxa" w:w="8352"/>
            <w:shd w:fill="17365D"/>
            <w:vAlign w:val="center"/>
            <w:tcMar>
              <w:top w:w="80" w:type="dxa"/>
              <w:start w:w="100" w:type="dxa"/>
              <w:bottom w:w="80" w:type="dxa"/>
              <w:end w:w="100" w:type="dxa"/>
            </w:tcMar>
          </w:tcPr>
          <w:p>
            <w:r>
              <w:rPr>
                <w:b/>
                <w:color w:val="FFFFFF"/>
                <w:sz w:val="18"/>
              </w:rPr>
              <w:t>Core requirement</w:t>
            </w:r>
          </w:p>
        </w:tc>
      </w:tr>
      <w:tr>
        <w:trPr>
          <w:cantSplit/>
        </w:trPr>
        <w:tc>
          <w:tcPr>
            <w:tcW w:type="dxa" w:w="1800"/>
            <w:vAlign w:val="center"/>
            <w:tcMar>
              <w:top w:w="80" w:type="dxa"/>
              <w:start w:w="100" w:type="dxa"/>
              <w:bottom w:w="80" w:type="dxa"/>
              <w:end w:w="100" w:type="dxa"/>
            </w:tcMar>
          </w:tcPr>
          <w:p>
            <w:r>
              <w:rPr>
                <w:sz w:val="17"/>
              </w:rPr>
              <w:t>Discovery</w:t>
            </w:r>
          </w:p>
        </w:tc>
        <w:tc>
          <w:tcPr>
            <w:tcW w:type="dxa" w:w="8352"/>
            <w:vAlign w:val="center"/>
            <w:tcMar>
              <w:top w:w="80" w:type="dxa"/>
              <w:start w:w="100" w:type="dxa"/>
              <w:bottom w:w="80" w:type="dxa"/>
              <w:end w:w="100" w:type="dxa"/>
            </w:tcMar>
          </w:tcPr>
          <w:p>
            <w:r>
              <w:rPr>
                <w:sz w:val="17"/>
              </w:rPr>
              <w:t>Scan supported job sources, company career pages, and recent hiring/referral posts; prioritize freshness and direct referral signals.</w:t>
            </w:r>
          </w:p>
        </w:tc>
      </w:tr>
      <w:tr>
        <w:trPr>
          <w:cantSplit/>
        </w:trPr>
        <w:tc>
          <w:tcPr>
            <w:tcW w:type="dxa" w:w="1800"/>
            <w:vAlign w:val="center"/>
            <w:tcMar>
              <w:top w:w="80" w:type="dxa"/>
              <w:start w:w="100" w:type="dxa"/>
              <w:bottom w:w="80" w:type="dxa"/>
              <w:end w:w="100" w:type="dxa"/>
            </w:tcMar>
          </w:tcPr>
          <w:p>
            <w:r>
              <w:rPr>
                <w:sz w:val="17"/>
              </w:rPr>
              <w:t>Recruiter intelligence</w:t>
            </w:r>
          </w:p>
        </w:tc>
        <w:tc>
          <w:tcPr>
            <w:tcW w:type="dxa" w:w="8352"/>
            <w:vAlign w:val="center"/>
            <w:tcMar>
              <w:top w:w="80" w:type="dxa"/>
              <w:start w:w="100" w:type="dxa"/>
              <w:bottom w:w="80" w:type="dxa"/>
              <w:end w:w="100" w:type="dxa"/>
            </w:tcMar>
          </w:tcPr>
          <w:p>
            <w:r>
              <w:rPr>
                <w:sz w:val="17"/>
              </w:rPr>
              <w:t>Identify recruiters/hiring contacts and retain contact provenance/confidence. Never allow the LLM to invent contact details.</w:t>
            </w:r>
          </w:p>
        </w:tc>
      </w:tr>
      <w:tr>
        <w:trPr>
          <w:cantSplit/>
        </w:trPr>
        <w:tc>
          <w:tcPr>
            <w:tcW w:type="dxa" w:w="1800"/>
            <w:vAlign w:val="center"/>
            <w:tcMar>
              <w:top w:w="80" w:type="dxa"/>
              <w:start w:w="100" w:type="dxa"/>
              <w:bottom w:w="80" w:type="dxa"/>
              <w:end w:w="100" w:type="dxa"/>
            </w:tcMar>
          </w:tcPr>
          <w:p>
            <w:r>
              <w:rPr>
                <w:sz w:val="17"/>
              </w:rPr>
              <w:t>Resume</w:t>
            </w:r>
          </w:p>
        </w:tc>
        <w:tc>
          <w:tcPr>
            <w:tcW w:type="dxa" w:w="8352"/>
            <w:vAlign w:val="center"/>
            <w:tcMar>
              <w:top w:w="80" w:type="dxa"/>
              <w:start w:w="100" w:type="dxa"/>
              <w:bottom w:w="80" w:type="dxa"/>
              <w:end w:w="100" w:type="dxa"/>
            </w:tcMar>
          </w:tcPr>
          <w:p>
            <w:r>
              <w:rPr>
                <w:sz w:val="17"/>
              </w:rPr>
              <w:t>Tailor a verified base resume to a JD, render deterministically, and enforce an internal ATS/compatibility threshold before recommending it.</w:t>
            </w:r>
          </w:p>
        </w:tc>
      </w:tr>
      <w:tr>
        <w:trPr>
          <w:cantSplit/>
        </w:trPr>
        <w:tc>
          <w:tcPr>
            <w:tcW w:type="dxa" w:w="1800"/>
            <w:vAlign w:val="center"/>
            <w:tcMar>
              <w:top w:w="80" w:type="dxa"/>
              <w:start w:w="100" w:type="dxa"/>
              <w:bottom w:w="80" w:type="dxa"/>
              <w:end w:w="100" w:type="dxa"/>
            </w:tcMar>
          </w:tcPr>
          <w:p>
            <w:r>
              <w:rPr>
                <w:sz w:val="17"/>
              </w:rPr>
              <w:t>Outreach</w:t>
            </w:r>
          </w:p>
        </w:tc>
        <w:tc>
          <w:tcPr>
            <w:tcW w:type="dxa" w:w="8352"/>
            <w:vAlign w:val="center"/>
            <w:tcMar>
              <w:top w:w="80" w:type="dxa"/>
              <w:start w:w="100" w:type="dxa"/>
              <w:bottom w:w="80" w:type="dxa"/>
              <w:end w:w="100" w:type="dxa"/>
            </w:tcMar>
          </w:tcPr>
          <w:p>
            <w:r>
              <w:rPr>
                <w:sz w:val="17"/>
              </w:rPr>
              <w:t>Generate cold email, LinkedIn DM, and WhatsApp message; allow user templates and tone preferences.</w:t>
            </w:r>
          </w:p>
        </w:tc>
      </w:tr>
      <w:tr>
        <w:trPr>
          <w:cantSplit/>
        </w:trPr>
        <w:tc>
          <w:tcPr>
            <w:tcW w:type="dxa" w:w="1800"/>
            <w:vAlign w:val="center"/>
            <w:tcMar>
              <w:top w:w="80" w:type="dxa"/>
              <w:start w:w="100" w:type="dxa"/>
              <w:bottom w:w="80" w:type="dxa"/>
              <w:end w:w="100" w:type="dxa"/>
            </w:tcMar>
          </w:tcPr>
          <w:p>
            <w:r>
              <w:rPr>
                <w:sz w:val="17"/>
              </w:rPr>
              <w:t>MCP</w:t>
            </w:r>
          </w:p>
        </w:tc>
        <w:tc>
          <w:tcPr>
            <w:tcW w:type="dxa" w:w="8352"/>
            <w:vAlign w:val="center"/>
            <w:tcMar>
              <w:top w:w="80" w:type="dxa"/>
              <w:start w:w="100" w:type="dxa"/>
              <w:bottom w:w="80" w:type="dxa"/>
              <w:end w:w="100" w:type="dxa"/>
            </w:tcMar>
          </w:tcPr>
          <w:p>
            <w:r>
              <w:rPr>
                <w:sz w:val="17"/>
              </w:rPr>
              <w:t>Expose job analysis, resume tailoring, recruiter lookup, outreach generation, and application management to external AI clients.</w:t>
            </w:r>
          </w:p>
        </w:tc>
      </w:tr>
      <w:tr>
        <w:trPr>
          <w:cantSplit/>
        </w:trPr>
        <w:tc>
          <w:tcPr>
            <w:tcW w:type="dxa" w:w="1800"/>
            <w:vAlign w:val="center"/>
            <w:tcMar>
              <w:top w:w="80" w:type="dxa"/>
              <w:start w:w="100" w:type="dxa"/>
              <w:bottom w:w="80" w:type="dxa"/>
              <w:end w:w="100" w:type="dxa"/>
            </w:tcMar>
          </w:tcPr>
          <w:p>
            <w:r>
              <w:rPr>
                <w:sz w:val="17"/>
              </w:rPr>
              <w:t>Dashboard</w:t>
            </w:r>
          </w:p>
        </w:tc>
        <w:tc>
          <w:tcPr>
            <w:tcW w:type="dxa" w:w="8352"/>
            <w:vAlign w:val="center"/>
            <w:tcMar>
              <w:top w:w="80" w:type="dxa"/>
              <w:start w:w="100" w:type="dxa"/>
              <w:bottom w:w="80" w:type="dxa"/>
              <w:end w:w="100" w:type="dxa"/>
            </w:tcMar>
          </w:tcPr>
          <w:p>
            <w:r>
              <w:rPr>
                <w:sz w:val="17"/>
              </w:rPr>
              <w:t>Own job portal: authentication, profile, job recommendations, direct apply links, resume versions, approvals, application states, analytics.</w:t>
            </w:r>
          </w:p>
        </w:tc>
      </w:tr>
      <w:tr>
        <w:trPr>
          <w:cantSplit/>
        </w:trPr>
        <w:tc>
          <w:tcPr>
            <w:tcW w:type="dxa" w:w="1800"/>
            <w:vAlign w:val="center"/>
            <w:tcMar>
              <w:top w:w="80" w:type="dxa"/>
              <w:start w:w="100" w:type="dxa"/>
              <w:bottom w:w="80" w:type="dxa"/>
              <w:end w:w="100" w:type="dxa"/>
            </w:tcMar>
          </w:tcPr>
          <w:p>
            <w:r>
              <w:rPr>
                <w:sz w:val="17"/>
              </w:rPr>
              <w:t>Email sending</w:t>
            </w:r>
          </w:p>
        </w:tc>
        <w:tc>
          <w:tcPr>
            <w:tcW w:type="dxa" w:w="8352"/>
            <w:vAlign w:val="center"/>
            <w:tcMar>
              <w:top w:w="80" w:type="dxa"/>
              <w:start w:w="100" w:type="dxa"/>
              <w:bottom w:w="80" w:type="dxa"/>
              <w:end w:w="100" w:type="dxa"/>
            </w:tcMar>
          </w:tcPr>
          <w:p>
            <w:r>
              <w:rPr>
                <w:sz w:val="17"/>
              </w:rPr>
              <w:t>Show the exact email and resume attachment first; send only after explicit approval. Sending may be asynchronous.</w:t>
            </w:r>
          </w:p>
        </w:tc>
      </w:tr>
      <w:tr>
        <w:trPr>
          <w:cantSplit/>
        </w:trPr>
        <w:tc>
          <w:tcPr>
            <w:tcW w:type="dxa" w:w="1800"/>
            <w:vAlign w:val="center"/>
            <w:tcMar>
              <w:top w:w="80" w:type="dxa"/>
              <w:start w:w="100" w:type="dxa"/>
              <w:bottom w:w="80" w:type="dxa"/>
              <w:end w:w="100" w:type="dxa"/>
            </w:tcMar>
          </w:tcPr>
          <w:p>
            <w:r>
              <w:rPr>
                <w:sz w:val="17"/>
              </w:rPr>
              <w:t>Clients</w:t>
            </w:r>
          </w:p>
        </w:tc>
        <w:tc>
          <w:tcPr>
            <w:tcW w:type="dxa" w:w="8352"/>
            <w:vAlign w:val="center"/>
            <w:tcMar>
              <w:top w:w="80" w:type="dxa"/>
              <w:start w:w="100" w:type="dxa"/>
              <w:bottom w:w="80" w:type="dxa"/>
              <w:end w:w="100" w:type="dxa"/>
            </w:tcMar>
          </w:tcPr>
          <w:p>
            <w:r>
              <w:rPr>
                <w:sz w:val="17"/>
              </w:rPr>
              <w:t>Web UI has the full feature set; extension offers contextual job analysis and application preparation on the current page.</w:t>
            </w:r>
          </w:p>
        </w:tc>
      </w:tr>
    </w:tbl>
    <w:p>
      <w:pPr>
        <w:spacing w:after="20"/>
      </w:pPr>
    </w:p>
    <w:tbl>
      <w:tblPr>
        <w:tblW w:type="auto" w:w="0"/>
        <w:jc w:val="center"/>
        <w:tblLook w:firstColumn="1" w:firstRow="1" w:lastColumn="0" w:lastRow="0" w:noHBand="0" w:noVBand="1" w:val="04A0"/>
      </w:tblPr>
      <w:tblGrid>
        <w:gridCol w:w="10080"/>
      </w:tblGrid>
      <w:tr>
        <w:tc>
          <w:tcPr>
            <w:tcW w:type="dxa" w:w="10080"/>
            <w:shd w:fill="D9EAF7"/>
            <w:tcMar>
              <w:top w:w="120" w:type="dxa"/>
              <w:start w:w="140" w:type="dxa"/>
              <w:bottom w:w="120" w:type="dxa"/>
              <w:end w:w="140" w:type="dxa"/>
            </w:tcMar>
          </w:tcPr>
          <w:p>
            <w:r>
              <w:rPr>
                <w:b/>
                <w:color w:val="17365D"/>
              </w:rPr>
              <w:t xml:space="preserve">Core product model — </w:t>
            </w:r>
            <w:r>
              <w:t>Job portals are sources. Web, Extension, and MCP are clients. The backend platform—not any portal, scraper, or AI model—is the system of record.</w:t>
            </w:r>
          </w:p>
        </w:tc>
      </w:tr>
    </w:tbl>
    <w:p>
      <w:pPr>
        <w:spacing w:after="20"/>
      </w:pPr>
    </w:p>
    <w:p>
      <w:r>
        <w:br w:type="page"/>
      </w:r>
    </w:p>
    <w:p>
      <w:pPr>
        <w:pStyle w:val="Heading1"/>
      </w:pPr>
      <w:r>
        <w:t>2. High-Level Architecture</w:t>
      </w:r>
    </w:p>
    <w:p>
      <w:r>
        <w:t>All clients call the same application services. Business logic must not be duplicated across REST, MCP, or the extension.</w:t>
      </w:r>
    </w:p>
    <w:p>
      <w:pPr>
        <w:pStyle w:val="Code"/>
      </w:pPr>
      <w:r>
        <w:t>flowchart TB</w:t>
        <w:br/>
        <w:t xml:space="preserve">    WEB[Web Dashboard] --&gt; API[Platform API]</w:t>
        <w:br/>
        <w:t xml:space="preserve">    EXT[Chrome Extension] --&gt; API</w:t>
        <w:br/>
        <w:t xml:space="preserve">    AIC[AI Clients] --&gt; MCP[MCP Server]</w:t>
        <w:br/>
        <w:t xml:space="preserve">    MCP --&gt; CORE[Spring Boot Core Platform]</w:t>
        <w:br/>
        <w:t xml:space="preserve">    API --&gt; CORE</w:t>
        <w:br/>
        <w:t xml:space="preserve">    CORE --&gt; PG[(Remote PostgreSQL / Supabase V1)]</w:t>
        <w:br/>
        <w:t xml:space="preserve">    CORE --&gt; OBJ[(Object Storage)]</w:t>
        <w:br/>
        <w:t xml:space="preserve">    CORE --&gt; ASYNC[Async Work / Outbox]</w:t>
        <w:br/>
        <w:t xml:space="preserve">    ASYNC --&gt; INGEST[Ingestion Workers]</w:t>
        <w:br/>
        <w:t xml:space="preserve">    ASYNC --&gt; AI[AI / Resume Workers]</w:t>
        <w:br/>
        <w:t xml:space="preserve">    ASYNC --&gt; MAIL[Communication Worker]</w:t>
        <w:br/>
        <w:t xml:space="preserve">    INGEST --&gt; SOURCES[ATS / Careers / Portals / Hiring Posts]</w:t>
        <w:br/>
        <w:t xml:space="preserve">    AI --&gt; LLM[LLM Providers]</w:t>
        <w:br/>
        <w:t xml:space="preserve">    MAIL --&gt; EMAIL[Gmail / Outlook]</w:t>
      </w: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color w:val="17365D"/>
              </w:rPr>
              <w:t xml:space="preserve">Cost-first V1 infrastructure — </w:t>
            </w:r>
            <w:r>
              <w:t>Remote PostgreSQL + low-cost/free object storage + a database-backed outbox/worker are enough initially. SQS/S3 remain clean upgrade paths, but neither Redis nor RAG is required for V1.</w:t>
            </w:r>
          </w:p>
        </w:tc>
      </w:tr>
    </w:tbl>
    <w:p>
      <w:pPr>
        <w:spacing w:after="20"/>
      </w:pPr>
    </w:p>
    <w:p>
      <w:pPr>
        <w:pStyle w:val="Heading1"/>
      </w:pPr>
      <w:r>
        <w:t>3. Job Discovery &amp; Opportunity Model</w:t>
      </w:r>
    </w:p>
    <w:p>
      <w:r>
        <w:t>Do not make individual portal scrapers the architectural center. Build a source abstraction so access methods can vary by platform, policy, and availability.</w:t>
      </w:r>
    </w:p>
    <w:p>
      <w:pPr>
        <w:pStyle w:val="Code"/>
      </w:pPr>
      <w:r>
        <w:t>interface JobSourceConnector {</w:t>
        <w:br/>
        <w:t xml:space="preserve">    List&lt;JobReference&gt; discoverJobs(SearchCriteria criteria);</w:t>
        <w:br/>
        <w:t xml:space="preserve">    JobDetails fetchJob(String externalId);</w:t>
        <w:br/>
        <w:t xml:space="preserve">    Optional&lt;RecruiterInfo&gt; fetchRecruiter(JobDetails job);</w:t>
        <w:br/>
        <w:t xml:space="preserve">    SourceCapabilities capabilities();</w:t>
        <w:br/>
        <w:t>}</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744"/>
            <w:shd w:fill="17365D"/>
            <w:vAlign w:val="center"/>
            <w:tcMar>
              <w:top w:w="80" w:type="dxa"/>
              <w:start w:w="100" w:type="dxa"/>
              <w:bottom w:w="80" w:type="dxa"/>
              <w:end w:w="100" w:type="dxa"/>
            </w:tcMar>
          </w:tcPr>
          <w:p>
            <w:r>
              <w:rPr>
                <w:b/>
                <w:color w:val="FFFFFF"/>
                <w:sz w:val="18"/>
              </w:rPr>
              <w:t>Connector examples</w:t>
            </w:r>
          </w:p>
        </w:tc>
        <w:tc>
          <w:tcPr>
            <w:tcW w:type="dxa" w:w="6336"/>
            <w:shd w:fill="17365D"/>
            <w:vAlign w:val="center"/>
            <w:tcMar>
              <w:top w:w="80" w:type="dxa"/>
              <w:start w:w="100" w:type="dxa"/>
              <w:bottom w:w="80" w:type="dxa"/>
              <w:end w:w="100" w:type="dxa"/>
            </w:tcMar>
          </w:tcPr>
          <w:p>
            <w:r>
              <w:rPr>
                <w:b/>
                <w:color w:val="FFFFFF"/>
                <w:sz w:val="18"/>
              </w:rPr>
              <w:t>Typical capability</w:t>
            </w:r>
          </w:p>
        </w:tc>
      </w:tr>
      <w:tr>
        <w:trPr>
          <w:cantSplit/>
        </w:trPr>
        <w:tc>
          <w:tcPr>
            <w:tcW w:type="dxa" w:w="3744"/>
            <w:vAlign w:val="center"/>
            <w:tcMar>
              <w:top w:w="80" w:type="dxa"/>
              <w:start w:w="100" w:type="dxa"/>
              <w:bottom w:w="80" w:type="dxa"/>
              <w:end w:w="100" w:type="dxa"/>
            </w:tcMar>
          </w:tcPr>
          <w:p>
            <w:r>
              <w:rPr>
                <w:sz w:val="17"/>
              </w:rPr>
              <w:t>Greenhouse / Lever / Ashby</w:t>
            </w:r>
          </w:p>
        </w:tc>
        <w:tc>
          <w:tcPr>
            <w:tcW w:type="dxa" w:w="6336"/>
            <w:vAlign w:val="center"/>
            <w:tcMar>
              <w:top w:w="80" w:type="dxa"/>
              <w:start w:w="100" w:type="dxa"/>
              <w:bottom w:w="80" w:type="dxa"/>
              <w:end w:w="100" w:type="dxa"/>
            </w:tcMar>
          </w:tcPr>
          <w:p>
            <w:r>
              <w:rPr>
                <w:sz w:val="17"/>
              </w:rPr>
              <w:t>Official/public job feeds where available</w:t>
            </w:r>
          </w:p>
        </w:tc>
      </w:tr>
      <w:tr>
        <w:trPr>
          <w:cantSplit/>
        </w:trPr>
        <w:tc>
          <w:tcPr>
            <w:tcW w:type="dxa" w:w="3744"/>
            <w:vAlign w:val="center"/>
            <w:tcMar>
              <w:top w:w="80" w:type="dxa"/>
              <w:start w:w="100" w:type="dxa"/>
              <w:bottom w:w="80" w:type="dxa"/>
              <w:end w:w="100" w:type="dxa"/>
            </w:tcMar>
          </w:tcPr>
          <w:p>
            <w:r>
              <w:rPr>
                <w:sz w:val="17"/>
              </w:rPr>
              <w:t>CompanyCareerConnector</w:t>
            </w:r>
          </w:p>
        </w:tc>
        <w:tc>
          <w:tcPr>
            <w:tcW w:type="dxa" w:w="6336"/>
            <w:vAlign w:val="center"/>
            <w:tcMar>
              <w:top w:w="80" w:type="dxa"/>
              <w:start w:w="100" w:type="dxa"/>
              <w:bottom w:w="80" w:type="dxa"/>
              <w:end w:w="100" w:type="dxa"/>
            </w:tcMar>
          </w:tcPr>
          <w:p>
            <w:r>
              <w:rPr>
                <w:sz w:val="17"/>
              </w:rPr>
              <w:t>Company career pages and structured listings</w:t>
            </w:r>
          </w:p>
        </w:tc>
      </w:tr>
      <w:tr>
        <w:trPr>
          <w:cantSplit/>
        </w:trPr>
        <w:tc>
          <w:tcPr>
            <w:tcW w:type="dxa" w:w="3744"/>
            <w:vAlign w:val="center"/>
            <w:tcMar>
              <w:top w:w="80" w:type="dxa"/>
              <w:start w:w="100" w:type="dxa"/>
              <w:bottom w:w="80" w:type="dxa"/>
              <w:end w:w="100" w:type="dxa"/>
            </w:tcMar>
          </w:tcPr>
          <w:p>
            <w:r>
              <w:rPr>
                <w:sz w:val="17"/>
              </w:rPr>
              <w:t>Portal connectors</w:t>
            </w:r>
          </w:p>
        </w:tc>
        <w:tc>
          <w:tcPr>
            <w:tcW w:type="dxa" w:w="6336"/>
            <w:vAlign w:val="center"/>
            <w:tcMar>
              <w:top w:w="80" w:type="dxa"/>
              <w:start w:w="100" w:type="dxa"/>
              <w:bottom w:w="80" w:type="dxa"/>
              <w:end w:w="100" w:type="dxa"/>
            </w:tcMar>
          </w:tcPr>
          <w:p>
            <w:r>
              <w:rPr>
                <w:sz w:val="17"/>
              </w:rPr>
              <w:t>Supported portal feeds/imports, subject to platform rules</w:t>
            </w:r>
          </w:p>
        </w:tc>
      </w:tr>
      <w:tr>
        <w:trPr>
          <w:cantSplit/>
        </w:trPr>
        <w:tc>
          <w:tcPr>
            <w:tcW w:type="dxa" w:w="3744"/>
            <w:vAlign w:val="center"/>
            <w:tcMar>
              <w:top w:w="80" w:type="dxa"/>
              <w:start w:w="100" w:type="dxa"/>
              <w:bottom w:w="80" w:type="dxa"/>
              <w:end w:w="100" w:type="dxa"/>
            </w:tcMar>
          </w:tcPr>
          <w:p>
            <w:r>
              <w:rPr>
                <w:sz w:val="17"/>
              </w:rPr>
              <w:t>BrowserCaptureConnector</w:t>
            </w:r>
          </w:p>
        </w:tc>
        <w:tc>
          <w:tcPr>
            <w:tcW w:type="dxa" w:w="6336"/>
            <w:vAlign w:val="center"/>
            <w:tcMar>
              <w:top w:w="80" w:type="dxa"/>
              <w:start w:w="100" w:type="dxa"/>
              <w:bottom w:w="80" w:type="dxa"/>
              <w:end w:w="100" w:type="dxa"/>
            </w:tcMar>
          </w:tcPr>
          <w:p>
            <w:r>
              <w:rPr>
                <w:sz w:val="17"/>
              </w:rPr>
              <w:t>User-initiated capture of the page currently open</w:t>
            </w:r>
          </w:p>
        </w:tc>
      </w:tr>
      <w:tr>
        <w:trPr>
          <w:cantSplit/>
        </w:trPr>
        <w:tc>
          <w:tcPr>
            <w:tcW w:type="dxa" w:w="3744"/>
            <w:vAlign w:val="center"/>
            <w:tcMar>
              <w:top w:w="80" w:type="dxa"/>
              <w:start w:w="100" w:type="dxa"/>
              <w:bottom w:w="80" w:type="dxa"/>
              <w:end w:w="100" w:type="dxa"/>
            </w:tcMar>
          </w:tcPr>
          <w:p>
            <w:r>
              <w:rPr>
                <w:sz w:val="17"/>
              </w:rPr>
              <w:t>EmailAlertConnector</w:t>
            </w:r>
          </w:p>
        </w:tc>
        <w:tc>
          <w:tcPr>
            <w:tcW w:type="dxa" w:w="6336"/>
            <w:vAlign w:val="center"/>
            <w:tcMar>
              <w:top w:w="80" w:type="dxa"/>
              <w:start w:w="100" w:type="dxa"/>
              <w:bottom w:w="80" w:type="dxa"/>
              <w:end w:w="100" w:type="dxa"/>
            </w:tcMar>
          </w:tcPr>
          <w:p>
            <w:r>
              <w:rPr>
                <w:sz w:val="17"/>
              </w:rPr>
              <w:t>Import job alerts or hiring notifications</w:t>
            </w:r>
          </w:p>
        </w:tc>
      </w:tr>
    </w:tbl>
    <w:p>
      <w:pPr>
        <w:spacing w:after="20"/>
      </w:pPr>
    </w:p>
    <w:p>
      <w:pPr>
        <w:pStyle w:val="Heading2"/>
      </w:pPr>
      <w:r>
        <w:t>Hiring/referral posts are first-class opportunities</w:t>
      </w:r>
    </w:p>
    <w:p>
      <w:pPr>
        <w:pStyle w:val="Code"/>
      </w:pPr>
      <w:r>
        <w:t>JobOpportunity</w:t>
        <w:br/>
        <w:t xml:space="preserve">  +-- JobPosting</w:t>
        <w:br/>
        <w:t xml:space="preserve">  +-- HiringPost</w:t>
        <w:br/>
        <w:t xml:space="preserve">  +-- ReferralPost</w:t>
      </w:r>
    </w:p>
    <w:p>
      <w:r>
        <w:t>A referral post may have no formal job ID or complete JD, but can be more valuable because it exposes the employee/recruiter and indicates immediate hiring intent.</w:t>
      </w:r>
    </w:p>
    <w:p>
      <w:pPr>
        <w:pStyle w:val="Code"/>
      </w:pPr>
      <w:r>
        <w:t>Preferred discovery priority</w:t>
        <w:br/>
        <w:t>recent employee referral</w:t>
        <w:br/>
        <w:t xml:space="preserve">        &gt; recent recruiter hiring post</w:t>
        <w:br/>
        <w:t xml:space="preserve">        &gt; company career job</w:t>
        <w:br/>
        <w:t xml:space="preserve">        &gt; generic portal listing</w:t>
      </w:r>
    </w:p>
    <w:tbl>
      <w:tblPr>
        <w:tblW w:type="auto" w:w="0"/>
        <w:jc w:val="center"/>
        <w:tblLook w:firstColumn="1" w:firstRow="1" w:lastColumn="0" w:lastRow="0" w:noHBand="0" w:noVBand="1" w:val="04A0"/>
      </w:tblPr>
      <w:tblGrid>
        <w:gridCol w:w="10080"/>
      </w:tblGrid>
      <w:tr>
        <w:tc>
          <w:tcPr>
            <w:tcW w:type="dxa" w:w="10080"/>
            <w:shd w:fill="D9EAF7"/>
            <w:tcMar>
              <w:top w:w="120" w:type="dxa"/>
              <w:start w:w="140" w:type="dxa"/>
              <w:bottom w:w="120" w:type="dxa"/>
              <w:end w:w="140" w:type="dxa"/>
            </w:tcMar>
          </w:tcPr>
          <w:p>
            <w:r>
              <w:rPr>
                <w:b/>
                <w:color w:val="17365D"/>
              </w:rPr>
              <w:t xml:space="preserve">Platform constraint — </w:t>
            </w:r>
            <w:r>
              <w:t>Avoid making continuous unauthorized scraping or automated social actions a dependency. Prefer official APIs/licensed feeds, public career sources, and user-initiated page capture.</w:t>
            </w:r>
          </w:p>
        </w:tc>
      </w:tr>
    </w:tbl>
    <w:p>
      <w:pPr>
        <w:spacing w:after="20"/>
      </w:pPr>
    </w:p>
    <w:p>
      <w:pPr>
        <w:pStyle w:val="Heading1"/>
      </w:pPr>
      <w:r>
        <w:t>4. Chrome Extension &amp; MCP</w:t>
      </w:r>
    </w:p>
    <w:p>
      <w:pPr>
        <w:pStyle w:val="Heading2"/>
      </w:pPr>
      <w:r>
        <w:t>Chrome extension</w:t>
      </w:r>
    </w:p>
    <w:p>
      <w:r>
        <w:t>The extension is a contextual front-end, not a broad crawler. It analyzes the current page after a user action and sends extracted context to the backend.</w:t>
      </w:r>
    </w:p>
    <w:p>
      <w:pPr>
        <w:pStyle w:val="Code"/>
      </w:pPr>
      <w:r>
        <w:t>User opens job / hiring post</w:t>
        <w:br/>
        <w:t xml:space="preserve">        ↓</w:t>
        <w:br/>
        <w:t>[Analyze with MyJobAI]</w:t>
        <w:br/>
        <w:t xml:space="preserve">        ↓</w:t>
        <w:br/>
        <w:t>page URL + title + visible text + structured data</w:t>
        <w:br/>
        <w:t xml:space="preserve">        ↓</w:t>
        <w:br/>
        <w:t>POST /api/v1/page-captures</w:t>
        <w:br/>
        <w:t xml:space="preserve">        ↓</w:t>
        <w:br/>
        <w:t>classify → extract job → match → prepare application</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456"/>
            <w:shd w:fill="17365D"/>
            <w:vAlign w:val="center"/>
            <w:tcMar>
              <w:top w:w="80" w:type="dxa"/>
              <w:start w:w="100" w:type="dxa"/>
              <w:bottom w:w="80" w:type="dxa"/>
              <w:end w:w="100" w:type="dxa"/>
            </w:tcMar>
          </w:tcPr>
          <w:p>
            <w:r>
              <w:rPr>
                <w:b/>
                <w:color w:val="FFFFFF"/>
                <w:sz w:val="18"/>
              </w:rPr>
              <w:t>Extension action</w:t>
            </w:r>
          </w:p>
        </w:tc>
        <w:tc>
          <w:tcPr>
            <w:tcW w:type="dxa" w:w="6624"/>
            <w:shd w:fill="17365D"/>
            <w:vAlign w:val="center"/>
            <w:tcMar>
              <w:top w:w="80" w:type="dxa"/>
              <w:start w:w="100" w:type="dxa"/>
              <w:bottom w:w="80" w:type="dxa"/>
              <w:end w:w="100" w:type="dxa"/>
            </w:tcMar>
          </w:tcPr>
          <w:p>
            <w:r>
              <w:rPr>
                <w:b/>
                <w:color w:val="FFFFFF"/>
                <w:sz w:val="18"/>
              </w:rPr>
              <w:t>Backend capability</w:t>
            </w:r>
          </w:p>
        </w:tc>
      </w:tr>
      <w:tr>
        <w:trPr>
          <w:cantSplit/>
        </w:trPr>
        <w:tc>
          <w:tcPr>
            <w:tcW w:type="dxa" w:w="3456"/>
            <w:vAlign w:val="center"/>
            <w:tcMar>
              <w:top w:w="80" w:type="dxa"/>
              <w:start w:w="100" w:type="dxa"/>
              <w:bottom w:w="80" w:type="dxa"/>
              <w:end w:w="100" w:type="dxa"/>
            </w:tcMar>
          </w:tcPr>
          <w:p>
            <w:r>
              <w:rPr>
                <w:sz w:val="17"/>
              </w:rPr>
              <w:t>Analyze current page</w:t>
            </w:r>
          </w:p>
        </w:tc>
        <w:tc>
          <w:tcPr>
            <w:tcW w:type="dxa" w:w="6624"/>
            <w:vAlign w:val="center"/>
            <w:tcMar>
              <w:top w:w="80" w:type="dxa"/>
              <w:start w:w="100" w:type="dxa"/>
              <w:bottom w:w="80" w:type="dxa"/>
              <w:end w:w="100" w:type="dxa"/>
            </w:tcMar>
          </w:tcPr>
          <w:p>
            <w:r>
              <w:rPr>
                <w:sz w:val="17"/>
              </w:rPr>
              <w:t>Classify job/hiring/referral content</w:t>
            </w:r>
          </w:p>
        </w:tc>
      </w:tr>
      <w:tr>
        <w:trPr>
          <w:cantSplit/>
        </w:trPr>
        <w:tc>
          <w:tcPr>
            <w:tcW w:type="dxa" w:w="3456"/>
            <w:vAlign w:val="center"/>
            <w:tcMar>
              <w:top w:w="80" w:type="dxa"/>
              <w:start w:w="100" w:type="dxa"/>
              <w:bottom w:w="80" w:type="dxa"/>
              <w:end w:w="100" w:type="dxa"/>
            </w:tcMar>
          </w:tcPr>
          <w:p>
            <w:r>
              <w:rPr>
                <w:sz w:val="17"/>
              </w:rPr>
              <w:t>Match</w:t>
            </w:r>
          </w:p>
        </w:tc>
        <w:tc>
          <w:tcPr>
            <w:tcW w:type="dxa" w:w="6624"/>
            <w:vAlign w:val="center"/>
            <w:tcMar>
              <w:top w:w="80" w:type="dxa"/>
              <w:start w:w="100" w:type="dxa"/>
              <w:bottom w:w="80" w:type="dxa"/>
              <w:end w:w="100" w:type="dxa"/>
            </w:tcMar>
          </w:tcPr>
          <w:p>
            <w:r>
              <w:rPr>
                <w:sz w:val="17"/>
              </w:rPr>
              <w:t>Calculate candidate fit and gaps</w:t>
            </w:r>
          </w:p>
        </w:tc>
      </w:tr>
      <w:tr>
        <w:trPr>
          <w:cantSplit/>
        </w:trPr>
        <w:tc>
          <w:tcPr>
            <w:tcW w:type="dxa" w:w="3456"/>
            <w:vAlign w:val="center"/>
            <w:tcMar>
              <w:top w:w="80" w:type="dxa"/>
              <w:start w:w="100" w:type="dxa"/>
              <w:bottom w:w="80" w:type="dxa"/>
              <w:end w:w="100" w:type="dxa"/>
            </w:tcMar>
          </w:tcPr>
          <w:p>
            <w:r>
              <w:rPr>
                <w:sz w:val="17"/>
              </w:rPr>
              <w:t>Tailor resume</w:t>
            </w:r>
          </w:p>
        </w:tc>
        <w:tc>
          <w:tcPr>
            <w:tcW w:type="dxa" w:w="6624"/>
            <w:vAlign w:val="center"/>
            <w:tcMar>
              <w:top w:w="80" w:type="dxa"/>
              <w:start w:w="100" w:type="dxa"/>
              <w:bottom w:w="80" w:type="dxa"/>
              <w:end w:w="100" w:type="dxa"/>
            </w:tcMar>
          </w:tcPr>
          <w:p>
            <w:r>
              <w:rPr>
                <w:sz w:val="17"/>
              </w:rPr>
              <w:t>Generate job-specific resume version</w:t>
            </w:r>
          </w:p>
        </w:tc>
      </w:tr>
      <w:tr>
        <w:trPr>
          <w:cantSplit/>
        </w:trPr>
        <w:tc>
          <w:tcPr>
            <w:tcW w:type="dxa" w:w="3456"/>
            <w:vAlign w:val="center"/>
            <w:tcMar>
              <w:top w:w="80" w:type="dxa"/>
              <w:start w:w="100" w:type="dxa"/>
              <w:bottom w:w="80" w:type="dxa"/>
              <w:end w:w="100" w:type="dxa"/>
            </w:tcMar>
          </w:tcPr>
          <w:p>
            <w:r>
              <w:rPr>
                <w:sz w:val="17"/>
              </w:rPr>
              <w:t>Generate outreach</w:t>
            </w:r>
          </w:p>
        </w:tc>
        <w:tc>
          <w:tcPr>
            <w:tcW w:type="dxa" w:w="6624"/>
            <w:vAlign w:val="center"/>
            <w:tcMar>
              <w:top w:w="80" w:type="dxa"/>
              <w:start w:w="100" w:type="dxa"/>
              <w:bottom w:w="80" w:type="dxa"/>
              <w:end w:w="100" w:type="dxa"/>
            </w:tcMar>
          </w:tcPr>
          <w:p>
            <w:r>
              <w:rPr>
                <w:sz w:val="17"/>
              </w:rPr>
              <w:t>Email / LinkedIn / WhatsApp drafts</w:t>
            </w:r>
          </w:p>
        </w:tc>
      </w:tr>
      <w:tr>
        <w:trPr>
          <w:cantSplit/>
        </w:trPr>
        <w:tc>
          <w:tcPr>
            <w:tcW w:type="dxa" w:w="3456"/>
            <w:vAlign w:val="center"/>
            <w:tcMar>
              <w:top w:w="80" w:type="dxa"/>
              <w:start w:w="100" w:type="dxa"/>
              <w:bottom w:w="80" w:type="dxa"/>
              <w:end w:w="100" w:type="dxa"/>
            </w:tcMar>
          </w:tcPr>
          <w:p>
            <w:r>
              <w:rPr>
                <w:sz w:val="17"/>
              </w:rPr>
              <w:t>Save job</w:t>
            </w:r>
          </w:p>
        </w:tc>
        <w:tc>
          <w:tcPr>
            <w:tcW w:type="dxa" w:w="6624"/>
            <w:vAlign w:val="center"/>
            <w:tcMar>
              <w:top w:w="80" w:type="dxa"/>
              <w:start w:w="100" w:type="dxa"/>
              <w:bottom w:w="80" w:type="dxa"/>
              <w:end w:w="100" w:type="dxa"/>
            </w:tcMar>
          </w:tcPr>
          <w:p>
            <w:r>
              <w:rPr>
                <w:sz w:val="17"/>
              </w:rPr>
              <w:t>Persist canonical opportunity and source</w:t>
            </w:r>
          </w:p>
        </w:tc>
      </w:tr>
      <w:tr>
        <w:trPr>
          <w:cantSplit/>
        </w:trPr>
        <w:tc>
          <w:tcPr>
            <w:tcW w:type="dxa" w:w="3456"/>
            <w:vAlign w:val="center"/>
            <w:tcMar>
              <w:top w:w="80" w:type="dxa"/>
              <w:start w:w="100" w:type="dxa"/>
              <w:bottom w:w="80" w:type="dxa"/>
              <w:end w:w="100" w:type="dxa"/>
            </w:tcMar>
          </w:tcPr>
          <w:p>
            <w:r>
              <w:rPr>
                <w:sz w:val="17"/>
              </w:rPr>
              <w:t>Open dashboard</w:t>
            </w:r>
          </w:p>
        </w:tc>
        <w:tc>
          <w:tcPr>
            <w:tcW w:type="dxa" w:w="6624"/>
            <w:vAlign w:val="center"/>
            <w:tcMar>
              <w:top w:w="80" w:type="dxa"/>
              <w:start w:w="100" w:type="dxa"/>
              <w:bottom w:w="80" w:type="dxa"/>
              <w:end w:w="100" w:type="dxa"/>
            </w:tcMar>
          </w:tcPr>
          <w:p>
            <w:r>
              <w:rPr>
                <w:sz w:val="17"/>
              </w:rPr>
              <w:t>Continue full workflow in web app</w:t>
            </w:r>
          </w:p>
        </w:tc>
      </w:tr>
    </w:tbl>
    <w:p>
      <w:pPr>
        <w:spacing w:after="20"/>
      </w:pPr>
    </w:p>
    <w:p>
      <w:pPr>
        <w:pStyle w:val="Heading2"/>
      </w:pPr>
      <w:r>
        <w:t>MCP server</w:t>
      </w:r>
    </w:p>
    <w:p>
      <w:r>
        <w:t>Use one thin MCP server over the same backend—not an MCP server “on” each portal.</w:t>
      </w:r>
    </w:p>
    <w:p>
      <w:pPr>
        <w:pStyle w:val="Code"/>
      </w:pPr>
      <w:r>
        <w:t>AI Client</w:t>
        <w:br/>
        <w:t xml:space="preserve">   │ MCP</w:t>
        <w:br/>
        <w:t xml:space="preserve">   ▼</w:t>
        <w:br/>
        <w:t>Your MCP Server</w:t>
        <w:br/>
        <w:t xml:space="preserve">   ├─ jobs.search / jobs.get / jobs.analyze</w:t>
        <w:br/>
        <w:t xml:space="preserve">   ├─ resume.tailor / resume.evaluate / resume.render</w:t>
        <w:br/>
        <w:t xml:space="preserve">   ├─ recruiter.find</w:t>
        <w:br/>
        <w:t xml:space="preserve">   ├─ outreach.generate_email / linkedin / whatsapp</w:t>
        <w:br/>
        <w:t xml:space="preserve">   └─ applications.create / update</w:t>
        <w:br/>
        <w:t xml:space="preserve">        │</w:t>
        <w:br/>
        <w:t xml:space="preserve">        ▼</w:t>
        <w:br/>
        <w:t>Core Job Platform</w:t>
      </w:r>
    </w:p>
    <w:tbl>
      <w:tblPr>
        <w:tblW w:type="auto" w:w="0"/>
        <w:jc w:val="center"/>
        <w:tblLook w:firstColumn="1" w:firstRow="1" w:lastColumn="0" w:lastRow="0" w:noHBand="0" w:noVBand="1" w:val="04A0"/>
      </w:tblPr>
      <w:tblGrid>
        <w:gridCol w:w="10080"/>
      </w:tblGrid>
      <w:tr>
        <w:tc>
          <w:tcPr>
            <w:tcW w:type="dxa" w:w="10080"/>
            <w:shd w:fill="D9EAF7"/>
            <w:tcMar>
              <w:top w:w="120" w:type="dxa"/>
              <w:start w:w="140" w:type="dxa"/>
              <w:bottom w:w="120" w:type="dxa"/>
              <w:end w:w="140" w:type="dxa"/>
            </w:tcMar>
          </w:tcPr>
          <w:p>
            <w:r>
              <w:rPr>
                <w:b/>
                <w:color w:val="17365D"/>
              </w:rPr>
              <w:t xml:space="preserve">Security boundary — </w:t>
            </w:r>
            <w:r>
              <w:t>Do not expose an unrestricted “send arbitrary email” tool. Email sending must reference an approved immutable message + resume version.</w:t>
            </w:r>
          </w:p>
        </w:tc>
      </w:tr>
    </w:tbl>
    <w:p>
      <w:pPr>
        <w:spacing w:after="20"/>
      </w:pPr>
    </w:p>
    <w:p>
      <w:pPr>
        <w:pStyle w:val="Heading1"/>
      </w:pPr>
      <w:r>
        <w:t>5. Candidate Data &amp; AI Architecture</w:t>
      </w:r>
    </w:p>
    <w:p>
      <w:pPr>
        <w:pStyle w:val="Heading2"/>
      </w:pPr>
      <w:r>
        <w:t>Canonical candidate profile</w:t>
      </w:r>
    </w:p>
    <w:p>
      <w:r>
        <w:t>The resume PDF is not the candidate model. Store structured, reusable, verified facts that AI may select, reorder, compress, and rewrite—but never fabricate.</w:t>
      </w:r>
    </w:p>
    <w:p>
      <w:pPr>
        <w:pStyle w:val="Code"/>
      </w:pPr>
      <w:r>
        <w:t>CandidateProfile</w:t>
        <w:br/>
        <w:t xml:space="preserve">  identity</w:t>
        <w:br/>
        <w:t xml:space="preserve">  workHistory[]</w:t>
        <w:br/>
        <w:t xml:space="preserve">  projects[]</w:t>
        <w:br/>
        <w:t xml:space="preserve">  education[]</w:t>
        <w:br/>
        <w:t xml:space="preserve">  skills[]</w:t>
        <w:br/>
        <w:t xml:space="preserve">  certifications[]</w:t>
        <w:br/>
        <w:t xml:space="preserve">  achievements[]</w:t>
        <w:br/>
        <w:t xml:space="preserve">  preferredRoles[]</w:t>
        <w:br/>
        <w:t xml:space="preserve">  preferredLocations[]</w:t>
        <w:br/>
        <w:t xml:space="preserve">  salary / remote / visa / noticePeriod</w:t>
        <w:br/>
        <w:t xml:space="preserve">  outreachPreferences</w:t>
        <w:br/>
        <w:t xml:space="preserve">  resumePreferences</w:t>
      </w:r>
    </w:p>
    <w:p>
      <w:pPr>
        <w:pStyle w:val="Code"/>
      </w:pPr>
      <w:r>
        <w:t>ExperienceFact</w:t>
        <w:br/>
        <w:t xml:space="preserve">  company</w:t>
        <w:br/>
        <w:t xml:space="preserve">  verified fact / achievement</w:t>
        <w:br/>
        <w:t xml:space="preserve">  skills[]</w:t>
        <w:br/>
        <w:t xml:space="preserve">  metrics{}</w:t>
        <w:br/>
        <w:t xml:space="preserve">  provenance</w:t>
      </w:r>
    </w:p>
    <w:p>
      <w:pPr>
        <w:pStyle w:val="Heading2"/>
      </w:pPr>
      <w:r>
        <w:t>AI provider abstraction</w:t>
      </w:r>
    </w:p>
    <w:p>
      <w:pPr>
        <w:pStyle w:val="Code"/>
      </w:pPr>
      <w:r>
        <w:t>interface LlmProvider {</w:t>
        <w:br/>
        <w:t xml:space="preserve">  StructuredResponse generate(Model model,</w:t>
        <w:br/>
        <w:t xml:space="preserve">                              SystemPrompt system,</w:t>
        <w:br/>
        <w:t xml:space="preserve">                              Object input,</w:t>
        <w:br/>
        <w:t xml:space="preserve">                              JsonSchema outputSchema);</w:t>
        <w:br/>
        <w:t>}</w:t>
      </w:r>
    </w:p>
    <w:p>
      <w:r>
        <w:t>Route tasks by cost/quality: cheap model for extraction/classification, stronger model for resume rewriting, medium model for outreach, dedicated embedding model only when semantic search is useful.</w:t>
      </w:r>
    </w:p>
    <w:p>
      <w:pPr>
        <w:pStyle w:val="Heading2"/>
      </w:pPr>
      <w:r>
        <w:t>Do we need RAG?</w:t>
      </w: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color w:val="17365D"/>
              </w:rPr>
              <w:t xml:space="preserve">V1 decision — </w:t>
            </w:r>
            <w:r>
              <w:t>No. Normal LLM API calls are enough initially: Base Resume + Candidate Profile + JD + Instructions → LLM. Add RAG only when candidate history or knowledge becomes too large to send directly.</w:t>
            </w:r>
          </w:p>
        </w:tc>
      </w:tr>
    </w:tbl>
    <w:p>
      <w:pPr>
        <w:spacing w:after="20"/>
      </w:pPr>
    </w:p>
    <w:p>
      <w:pPr>
        <w:pStyle w:val="ListBullet"/>
      </w:pPr>
      <w:r>
        <w:t>Resume/JD analysis: normal LLM call.</w:t>
      </w:r>
    </w:p>
    <w:p>
      <w:pPr>
        <w:pStyle w:val="ListBullet"/>
      </w:pPr>
      <w:r>
        <w:t>Email/DM generation: normal LLM call.</w:t>
      </w:r>
    </w:p>
    <w:p>
      <w:pPr>
        <w:pStyle w:val="ListBullet"/>
      </w:pPr>
      <w:r>
        <w:t>Job extraction/classification: normal LLM call.</w:t>
      </w:r>
    </w:p>
    <w:p>
      <w:pPr>
        <w:pStyle w:val="ListBullet"/>
      </w:pPr>
      <w:r>
        <w:t>Large candidate history or large private knowledge corpus: RAG may become useful later.</w:t>
      </w:r>
    </w:p>
    <w:p>
      <w:pPr>
        <w:pStyle w:val="ListBullet"/>
      </w:pPr>
      <w:r>
        <w:t>Searching many jobs with embeddings/vector similarity is useful, but is not automatically “RAG”.</w:t>
      </w:r>
    </w:p>
    <w:p>
      <w:pPr>
        <w:pStyle w:val="Heading1"/>
      </w:pPr>
      <w:r>
        <w:t>6. Resume Tailoring &amp; ATS Compatibility</w:t>
      </w:r>
    </w:p>
    <w:p>
      <w:r>
        <w:t>The AI should modify structured resume data; a deterministic renderer should control layout. Avoid “LLM directly generates a random PDF”.</w:t>
      </w:r>
    </w:p>
    <w:p>
      <w:pPr>
        <w:pStyle w:val="Code"/>
      </w:pPr>
      <w:r>
        <w:t>Existing Resume</w:t>
        <w:br/>
        <w:t xml:space="preserve">      ↓</w:t>
        <w:br/>
        <w:t>Resume Parser → Canonical Resume JSON</w:t>
        <w:br/>
        <w:t xml:space="preserve">      ↓                    ↑</w:t>
        <w:br/>
        <w:t xml:space="preserve">      └──── Candidate Profile</w:t>
        <w:br/>
        <w:t>JD → Requirement Extractor</w:t>
        <w:br/>
        <w:t xml:space="preserve">      ↓</w:t>
        <w:br/>
        <w:t>Match / Gap Analysis</w:t>
        <w:br/>
        <w:t xml:space="preserve">      ↓</w:t>
        <w:br/>
        <w:t>Fact-grounded Rewriter</w:t>
        <w:br/>
        <w:t xml:space="preserve">      ↓</w:t>
        <w:br/>
        <w:t>Structured Resume JSON</w:t>
        <w:br/>
        <w:t xml:space="preserve">      ↓</w:t>
        <w:br/>
        <w:t>Deterministic Renderer → PDF / DOCX</w:t>
        <w:br/>
        <w:t xml:space="preserve">      ↓</w:t>
        <w:br/>
        <w:t>ATS / parsing validation</w:t>
        <w:br/>
        <w:t xml:space="preserve">      ↓</w:t>
        <w:br/>
        <w:t>score below threshold? → repair → revalidate</w:t>
      </w:r>
    </w:p>
    <w:p>
      <w:r>
        <w:t>Treat “80+ ATS” as your own compatibility score, not a promise about every employer ATS.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7056"/>
            <w:shd w:fill="17365D"/>
            <w:vAlign w:val="center"/>
            <w:tcMar>
              <w:top w:w="80" w:type="dxa"/>
              <w:start w:w="100" w:type="dxa"/>
              <w:bottom w:w="80" w:type="dxa"/>
              <w:end w:w="100" w:type="dxa"/>
            </w:tcMar>
          </w:tcPr>
          <w:p>
            <w:r>
              <w:rPr>
                <w:b/>
                <w:color w:val="FFFFFF"/>
                <w:sz w:val="18"/>
              </w:rPr>
              <w:t>Dimension</w:t>
            </w:r>
          </w:p>
        </w:tc>
        <w:tc>
          <w:tcPr>
            <w:tcW w:type="dxa" w:w="3024"/>
            <w:shd w:fill="17365D"/>
            <w:vAlign w:val="center"/>
            <w:tcMar>
              <w:top w:w="80" w:type="dxa"/>
              <w:start w:w="100" w:type="dxa"/>
              <w:bottom w:w="80" w:type="dxa"/>
              <w:end w:w="100" w:type="dxa"/>
            </w:tcMar>
          </w:tcPr>
          <w:p>
            <w:r>
              <w:rPr>
                <w:b/>
                <w:color w:val="FFFFFF"/>
                <w:sz w:val="18"/>
              </w:rPr>
              <w:t>Illustrative weight</w:t>
            </w:r>
          </w:p>
        </w:tc>
      </w:tr>
      <w:tr>
        <w:trPr>
          <w:cantSplit/>
        </w:trPr>
        <w:tc>
          <w:tcPr>
            <w:tcW w:type="dxa" w:w="7056"/>
            <w:vAlign w:val="center"/>
            <w:tcMar>
              <w:top w:w="80" w:type="dxa"/>
              <w:start w:w="100" w:type="dxa"/>
              <w:bottom w:w="80" w:type="dxa"/>
              <w:end w:w="100" w:type="dxa"/>
            </w:tcMar>
          </w:tcPr>
          <w:p>
            <w:r>
              <w:rPr>
                <w:sz w:val="17"/>
              </w:rPr>
              <w:t>Requirement coverage</w:t>
            </w:r>
          </w:p>
        </w:tc>
        <w:tc>
          <w:tcPr>
            <w:tcW w:type="dxa" w:w="3024"/>
            <w:vAlign w:val="center"/>
            <w:tcMar>
              <w:top w:w="80" w:type="dxa"/>
              <w:start w:w="100" w:type="dxa"/>
              <w:bottom w:w="80" w:type="dxa"/>
              <w:end w:w="100" w:type="dxa"/>
            </w:tcMar>
          </w:tcPr>
          <w:p>
            <w:r>
              <w:rPr>
                <w:sz w:val="17"/>
              </w:rPr>
              <w:t>30</w:t>
            </w:r>
          </w:p>
        </w:tc>
      </w:tr>
      <w:tr>
        <w:trPr>
          <w:cantSplit/>
        </w:trPr>
        <w:tc>
          <w:tcPr>
            <w:tcW w:type="dxa" w:w="7056"/>
            <w:vAlign w:val="center"/>
            <w:tcMar>
              <w:top w:w="80" w:type="dxa"/>
              <w:start w:w="100" w:type="dxa"/>
              <w:bottom w:w="80" w:type="dxa"/>
              <w:end w:w="100" w:type="dxa"/>
            </w:tcMar>
          </w:tcPr>
          <w:p>
            <w:r>
              <w:rPr>
                <w:sz w:val="17"/>
              </w:rPr>
              <w:t>Skills alignment</w:t>
            </w:r>
          </w:p>
        </w:tc>
        <w:tc>
          <w:tcPr>
            <w:tcW w:type="dxa" w:w="3024"/>
            <w:vAlign w:val="center"/>
            <w:tcMar>
              <w:top w:w="80" w:type="dxa"/>
              <w:start w:w="100" w:type="dxa"/>
              <w:bottom w:w="80" w:type="dxa"/>
              <w:end w:w="100" w:type="dxa"/>
            </w:tcMar>
          </w:tcPr>
          <w:p>
            <w:r>
              <w:rPr>
                <w:sz w:val="17"/>
              </w:rPr>
              <w:t>20</w:t>
            </w:r>
          </w:p>
        </w:tc>
      </w:tr>
      <w:tr>
        <w:trPr>
          <w:cantSplit/>
        </w:trPr>
        <w:tc>
          <w:tcPr>
            <w:tcW w:type="dxa" w:w="7056"/>
            <w:vAlign w:val="center"/>
            <w:tcMar>
              <w:top w:w="80" w:type="dxa"/>
              <w:start w:w="100" w:type="dxa"/>
              <w:bottom w:w="80" w:type="dxa"/>
              <w:end w:w="100" w:type="dxa"/>
            </w:tcMar>
          </w:tcPr>
          <w:p>
            <w:r>
              <w:rPr>
                <w:sz w:val="17"/>
              </w:rPr>
              <w:t>Semantic experience match</w:t>
            </w:r>
          </w:p>
        </w:tc>
        <w:tc>
          <w:tcPr>
            <w:tcW w:type="dxa" w:w="3024"/>
            <w:vAlign w:val="center"/>
            <w:tcMar>
              <w:top w:w="80" w:type="dxa"/>
              <w:start w:w="100" w:type="dxa"/>
              <w:bottom w:w="80" w:type="dxa"/>
              <w:end w:w="100" w:type="dxa"/>
            </w:tcMar>
          </w:tcPr>
          <w:p>
            <w:r>
              <w:rPr>
                <w:sz w:val="17"/>
              </w:rPr>
              <w:t>20</w:t>
            </w:r>
          </w:p>
        </w:tc>
      </w:tr>
      <w:tr>
        <w:trPr>
          <w:cantSplit/>
        </w:trPr>
        <w:tc>
          <w:tcPr>
            <w:tcW w:type="dxa" w:w="7056"/>
            <w:vAlign w:val="center"/>
            <w:tcMar>
              <w:top w:w="80" w:type="dxa"/>
              <w:start w:w="100" w:type="dxa"/>
              <w:bottom w:w="80" w:type="dxa"/>
              <w:end w:w="100" w:type="dxa"/>
            </w:tcMar>
          </w:tcPr>
          <w:p>
            <w:r>
              <w:rPr>
                <w:sz w:val="17"/>
              </w:rPr>
              <w:t>ATS parseability</w:t>
            </w:r>
          </w:p>
        </w:tc>
        <w:tc>
          <w:tcPr>
            <w:tcW w:type="dxa" w:w="3024"/>
            <w:vAlign w:val="center"/>
            <w:tcMar>
              <w:top w:w="80" w:type="dxa"/>
              <w:start w:w="100" w:type="dxa"/>
              <w:bottom w:w="80" w:type="dxa"/>
              <w:end w:w="100" w:type="dxa"/>
            </w:tcMar>
          </w:tcPr>
          <w:p>
            <w:r>
              <w:rPr>
                <w:sz w:val="17"/>
              </w:rPr>
              <w:t>15</w:t>
            </w:r>
          </w:p>
        </w:tc>
      </w:tr>
      <w:tr>
        <w:trPr>
          <w:cantSplit/>
        </w:trPr>
        <w:tc>
          <w:tcPr>
            <w:tcW w:type="dxa" w:w="7056"/>
            <w:vAlign w:val="center"/>
            <w:tcMar>
              <w:top w:w="80" w:type="dxa"/>
              <w:start w:w="100" w:type="dxa"/>
              <w:bottom w:w="80" w:type="dxa"/>
              <w:end w:w="100" w:type="dxa"/>
            </w:tcMar>
          </w:tcPr>
          <w:p>
            <w:r>
              <w:rPr>
                <w:sz w:val="17"/>
              </w:rPr>
              <w:t>Keyword coverage</w:t>
            </w:r>
          </w:p>
        </w:tc>
        <w:tc>
          <w:tcPr>
            <w:tcW w:type="dxa" w:w="3024"/>
            <w:vAlign w:val="center"/>
            <w:tcMar>
              <w:top w:w="80" w:type="dxa"/>
              <w:start w:w="100" w:type="dxa"/>
              <w:bottom w:w="80" w:type="dxa"/>
              <w:end w:w="100" w:type="dxa"/>
            </w:tcMar>
          </w:tcPr>
          <w:p>
            <w:r>
              <w:rPr>
                <w:sz w:val="17"/>
              </w:rPr>
              <w:t>10</w:t>
            </w:r>
          </w:p>
        </w:tc>
      </w:tr>
      <w:tr>
        <w:trPr>
          <w:cantSplit/>
        </w:trPr>
        <w:tc>
          <w:tcPr>
            <w:tcW w:type="dxa" w:w="7056"/>
            <w:vAlign w:val="center"/>
            <w:tcMar>
              <w:top w:w="80" w:type="dxa"/>
              <w:start w:w="100" w:type="dxa"/>
              <w:bottom w:w="80" w:type="dxa"/>
              <w:end w:w="100" w:type="dxa"/>
            </w:tcMar>
          </w:tcPr>
          <w:p>
            <w:r>
              <w:rPr>
                <w:sz w:val="17"/>
              </w:rPr>
              <w:t>Formatting</w:t>
            </w:r>
          </w:p>
        </w:tc>
        <w:tc>
          <w:tcPr>
            <w:tcW w:type="dxa" w:w="3024"/>
            <w:vAlign w:val="center"/>
            <w:tcMar>
              <w:top w:w="80" w:type="dxa"/>
              <w:start w:w="100" w:type="dxa"/>
              <w:bottom w:w="80" w:type="dxa"/>
              <w:end w:w="100" w:type="dxa"/>
            </w:tcMar>
          </w:tcPr>
          <w:p>
            <w:r>
              <w:rPr>
                <w:sz w:val="17"/>
              </w:rPr>
              <w:t>5</w:t>
            </w:r>
          </w:p>
        </w:tc>
      </w:tr>
    </w:tbl>
    <w:p>
      <w:pPr>
        <w:spacing w:after="20"/>
      </w:pPr>
    </w:p>
    <w:p>
      <w:pPr>
        <w:pStyle w:val="Code"/>
      </w:pPr>
      <w:r>
        <w:t>Recommendation gate</w:t>
        <w:br/>
        <w:t>COMPATIBILITY_SCORE &gt;= 80</w:t>
        <w:br/>
        <w:t>AND PARSING_SCORE &gt;= 95</w:t>
      </w:r>
    </w:p>
    <w:tbl>
      <w:tblPr>
        <w:tblW w:type="auto" w:w="0"/>
        <w:jc w:val="center"/>
        <w:tblLook w:firstColumn="1" w:firstRow="1" w:lastColumn="0" w:lastRow="0" w:noHBand="0" w:noVBand="1" w:val="04A0"/>
      </w:tblPr>
      <w:tblGrid>
        <w:gridCol w:w="10080"/>
      </w:tblGrid>
      <w:tr>
        <w:tc>
          <w:tcPr>
            <w:tcW w:type="dxa" w:w="10080"/>
            <w:shd w:fill="D9EAF7"/>
            <w:tcMar>
              <w:top w:w="120" w:type="dxa"/>
              <w:start w:w="140" w:type="dxa"/>
              <w:bottom w:w="120" w:type="dxa"/>
              <w:end w:w="140" w:type="dxa"/>
            </w:tcMar>
          </w:tcPr>
          <w:p>
            <w:r>
              <w:rPr>
                <w:b/>
                <w:color w:val="17365D"/>
              </w:rPr>
              <w:t xml:space="preserve">Grounding rule — </w:t>
            </w:r>
            <w:r>
              <w:t>The model may rephrase verified achievements and select the most relevant ones, but it must not invent skills, employers, metrics, dates, or impact.</w:t>
            </w:r>
          </w:p>
        </w:tc>
      </w:tr>
    </w:tbl>
    <w:p>
      <w:pPr>
        <w:spacing w:after="20"/>
      </w:pPr>
    </w:p>
    <w:p>
      <w:pPr>
        <w:pStyle w:val="Heading1"/>
      </w:pPr>
      <w:r>
        <w:t>7. Recruiter Intelligence &amp; Outreach</w:t>
      </w:r>
    </w:p>
    <w:p>
      <w:pPr>
        <w:pStyle w:val="Heading2"/>
      </w:pPr>
      <w:r>
        <w:t>Recruiter discovery</w:t>
      </w:r>
    </w:p>
    <w:p>
      <w:pPr>
        <w:pStyle w:val="Code"/>
      </w:pPr>
      <w:r>
        <w:t>Job / Hiring Post</w:t>
        <w:br/>
        <w:t xml:space="preserve">      ↓</w:t>
        <w:br/>
        <w:t>Identify author / recruiter / likely hiring manager</w:t>
        <w:br/>
        <w:t xml:space="preserve">      ↓</w:t>
        <w:br/>
        <w:t>AI-assisted public web research</w:t>
        <w:br/>
        <w:t xml:space="preserve">      ↓</w:t>
        <w:br/>
        <w:t>contact found and verifiable?</w:t>
        <w:br/>
        <w:t xml:space="preserve">   ├─ YES → store provenance + confidence</w:t>
        <w:br/>
        <w:t xml:space="preserve">   └─ NO  → optional enrichment fallback</w:t>
        <w:br/>
        <w:t xml:space="preserve">              ContactOut / Hunter / similar</w:t>
        <w:br/>
        <w:t xml:space="preserve">                    ↓</w:t>
        <w:br/>
        <w:t xml:space="preserve">                 verify/store</w:t>
      </w:r>
    </w:p>
    <w:p>
      <w:r>
        <w:t>Use public web research first so recruiter lookup does not automatically create a paid enrichment cost for every job. Search company team pages, public hiring posts, personal sites, GitHub, conference pages, and other public sources. Only enrich shortlisted opportunities when public research is insufficient.</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168"/>
            <w:shd w:fill="17365D"/>
            <w:vAlign w:val="center"/>
            <w:tcMar>
              <w:top w:w="80" w:type="dxa"/>
              <w:start w:w="100" w:type="dxa"/>
              <w:bottom w:w="80" w:type="dxa"/>
              <w:end w:w="100" w:type="dxa"/>
            </w:tcMar>
          </w:tcPr>
          <w:p>
            <w:r>
              <w:rPr>
                <w:b/>
                <w:color w:val="FFFFFF"/>
                <w:sz w:val="18"/>
              </w:rPr>
              <w:t>Contact field</w:t>
            </w:r>
          </w:p>
        </w:tc>
        <w:tc>
          <w:tcPr>
            <w:tcW w:type="dxa" w:w="6912"/>
            <w:shd w:fill="17365D"/>
            <w:vAlign w:val="center"/>
            <w:tcMar>
              <w:top w:w="80" w:type="dxa"/>
              <w:start w:w="100" w:type="dxa"/>
              <w:bottom w:w="80" w:type="dxa"/>
              <w:end w:w="100" w:type="dxa"/>
            </w:tcMar>
          </w:tcPr>
          <w:p>
            <w:r>
              <w:rPr>
                <w:b/>
                <w:color w:val="FFFFFF"/>
                <w:sz w:val="18"/>
              </w:rPr>
              <w:t>Rule</w:t>
            </w:r>
          </w:p>
        </w:tc>
      </w:tr>
      <w:tr>
        <w:trPr>
          <w:cantSplit/>
        </w:trPr>
        <w:tc>
          <w:tcPr>
            <w:tcW w:type="dxa" w:w="3168"/>
            <w:vAlign w:val="center"/>
            <w:tcMar>
              <w:top w:w="80" w:type="dxa"/>
              <w:start w:w="100" w:type="dxa"/>
              <w:bottom w:w="80" w:type="dxa"/>
              <w:end w:w="100" w:type="dxa"/>
            </w:tcMar>
          </w:tcPr>
          <w:p>
            <w:r>
              <w:rPr>
                <w:sz w:val="17"/>
              </w:rPr>
              <w:t>Email</w:t>
            </w:r>
          </w:p>
        </w:tc>
        <w:tc>
          <w:tcPr>
            <w:tcW w:type="dxa" w:w="6912"/>
            <w:vAlign w:val="center"/>
            <w:tcMar>
              <w:top w:w="80" w:type="dxa"/>
              <w:start w:w="100" w:type="dxa"/>
              <w:bottom w:w="80" w:type="dxa"/>
              <w:end w:w="100" w:type="dxa"/>
            </w:tcMar>
          </w:tcPr>
          <w:p>
            <w:r>
              <w:rPr>
                <w:sz w:val="17"/>
              </w:rPr>
              <w:t>Store source, confidence, and verification status; prefer publicly supported or provider-verified addresses.</w:t>
            </w:r>
          </w:p>
        </w:tc>
      </w:tr>
      <w:tr>
        <w:trPr>
          <w:cantSplit/>
        </w:trPr>
        <w:tc>
          <w:tcPr>
            <w:tcW w:type="dxa" w:w="3168"/>
            <w:vAlign w:val="center"/>
            <w:tcMar>
              <w:top w:w="80" w:type="dxa"/>
              <w:start w:w="100" w:type="dxa"/>
              <w:bottom w:w="80" w:type="dxa"/>
              <w:end w:w="100" w:type="dxa"/>
            </w:tcMar>
          </w:tcPr>
          <w:p>
            <w:r>
              <w:rPr>
                <w:sz w:val="17"/>
              </w:rPr>
              <w:t>Inferred corporate email</w:t>
            </w:r>
          </w:p>
        </w:tc>
        <w:tc>
          <w:tcPr>
            <w:tcW w:type="dxa" w:w="6912"/>
            <w:vAlign w:val="center"/>
            <w:tcMar>
              <w:top w:w="80" w:type="dxa"/>
              <w:start w:w="100" w:type="dxa"/>
              <w:bottom w:w="80" w:type="dxa"/>
              <w:end w:w="100" w:type="dxa"/>
            </w:tcMar>
          </w:tcPr>
          <w:p>
            <w:r>
              <w:rPr>
                <w:sz w:val="17"/>
              </w:rPr>
              <w:t>Mark INFERRED; do not treat as verified and never auto-send to it.</w:t>
            </w:r>
          </w:p>
        </w:tc>
      </w:tr>
      <w:tr>
        <w:trPr>
          <w:cantSplit/>
        </w:trPr>
        <w:tc>
          <w:tcPr>
            <w:tcW w:type="dxa" w:w="3168"/>
            <w:vAlign w:val="center"/>
            <w:tcMar>
              <w:top w:w="80" w:type="dxa"/>
              <w:start w:w="100" w:type="dxa"/>
              <w:bottom w:w="80" w:type="dxa"/>
              <w:end w:w="100" w:type="dxa"/>
            </w:tcMar>
          </w:tcPr>
          <w:p>
            <w:r>
              <w:rPr>
                <w:sz w:val="17"/>
              </w:rPr>
              <w:t>Phone</w:t>
            </w:r>
          </w:p>
        </w:tc>
        <w:tc>
          <w:tcPr>
            <w:tcW w:type="dxa" w:w="6912"/>
            <w:vAlign w:val="center"/>
            <w:tcMar>
              <w:top w:w="80" w:type="dxa"/>
              <w:start w:w="100" w:type="dxa"/>
              <w:bottom w:w="80" w:type="dxa"/>
              <w:end w:w="100" w:type="dxa"/>
            </w:tcMar>
          </w:tcPr>
          <w:p>
            <w:r>
              <w:rPr>
                <w:sz w:val="17"/>
              </w:rPr>
              <w:t>Do not spend phone credits by default. Prefer explicitly published recruiting/business numbers; use licensed lookup only when valuable.</w:t>
            </w:r>
          </w:p>
        </w:tc>
      </w:tr>
      <w:tr>
        <w:trPr>
          <w:cantSplit/>
        </w:trPr>
        <w:tc>
          <w:tcPr>
            <w:tcW w:type="dxa" w:w="3168"/>
            <w:vAlign w:val="center"/>
            <w:tcMar>
              <w:top w:w="80" w:type="dxa"/>
              <w:start w:w="100" w:type="dxa"/>
              <w:bottom w:w="80" w:type="dxa"/>
              <w:end w:w="100" w:type="dxa"/>
            </w:tcMar>
          </w:tcPr>
          <w:p>
            <w:r>
              <w:rPr>
                <w:sz w:val="17"/>
              </w:rPr>
              <w:t>LinkedIn profile</w:t>
            </w:r>
          </w:p>
        </w:tc>
        <w:tc>
          <w:tcPr>
            <w:tcW w:type="dxa" w:w="6912"/>
            <w:vAlign w:val="center"/>
            <w:tcMar>
              <w:top w:w="80" w:type="dxa"/>
              <w:start w:w="100" w:type="dxa"/>
              <w:bottom w:w="80" w:type="dxa"/>
              <w:end w:w="100" w:type="dxa"/>
            </w:tcMar>
          </w:tcPr>
          <w:p>
            <w:r>
              <w:rPr>
                <w:sz w:val="17"/>
              </w:rPr>
              <w:t>Store profile URL and source relation to the job/post; do not let the LLM invent profile URLs.</w:t>
            </w:r>
          </w:p>
        </w:tc>
      </w:tr>
    </w:tbl>
    <w:p>
      <w:pPr>
        <w:spacing w:after="20"/>
      </w:pP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color w:val="17365D"/>
              </w:rPr>
              <w:t xml:space="preserve">Cost-first enrichment — </w:t>
            </w:r>
            <w:r>
              <w:t>AI/web research is the default. ContactOut, Hunter, or similar tools are optional fallbacks for high-value shortlisted jobs, not mandatory infrastructure. A user can also use a browser extension such as ContactOut manually before API integration is justified.</w:t>
            </w:r>
          </w:p>
        </w:tc>
      </w:tr>
    </w:tbl>
    <w:p>
      <w:pPr>
        <w:spacing w:after="20"/>
      </w:pPr>
    </w:p>
    <w:p>
      <w:pPr>
        <w:pStyle w:val="Heading2"/>
      </w:pPr>
      <w:r>
        <w:t>Human-controlled email workflow</w:t>
      </w:r>
    </w:p>
    <w:p>
      <w:pPr>
        <w:pStyle w:val="Code"/>
      </w:pPr>
      <w:r>
        <w:t>GENERATING → DRAFT → AWAITING_APPROVAL</w:t>
        <w:br/>
        <w:t xml:space="preserve">                         ├─ REJECTED</w:t>
        <w:br/>
        <w:t xml:space="preserve">                         └─ APPROVED → QUEUED → SENDING → SENT</w:t>
      </w:r>
    </w:p>
    <w:p>
      <w:r>
        <w:t>Approval must bind to the exact immutable message version, resume version, and recipient. Any modification invalidates approval.</w:t>
      </w:r>
    </w:p>
    <w:p>
      <w:pPr>
        <w:pStyle w:val="Code"/>
      </w:pPr>
      <w:r>
        <w:t>approvalId</w:t>
        <w:br/>
        <w:t>emailVersionId</w:t>
        <w:br/>
        <w:t>resumeVersionId</w:t>
        <w:br/>
        <w:t>recipientId</w:t>
      </w:r>
    </w:p>
    <w:p>
      <w:pPr>
        <w:pStyle w:val="Heading2"/>
      </w:pPr>
      <w:r>
        <w:t>Why a queue?</w:t>
      </w:r>
    </w:p>
    <w:p>
      <w:r>
        <w:t>Email should still be asynchronous, but an external queue is not mandatory at V1 traffic. The cheapest implementation uses the transactional outbox (or an email_jobs table) in PostgreSQL and a worker running on the same EC2. SQS remains the clean upgrade once retry volume, concurrency, or operational isolation justify it.</w:t>
      </w:r>
    </w:p>
    <w:p>
      <w:pPr>
        <w:pStyle w:val="Code"/>
      </w:pPr>
      <w:r>
        <w:t>User approves</w:t>
        <w:br/>
        <w:t xml:space="preserve">   ↓</w:t>
        <w:br/>
        <w:t>PostgreSQL transaction</w:t>
        <w:br/>
        <w:t xml:space="preserve">  ├─ approval = APPROVED</w:t>
        <w:br/>
        <w:t xml:space="preserve">  └─ outbox/email_jobs = EMAIL_SEND_REQUESTED</w:t>
        <w:br/>
        <w:t xml:space="preserve">                         ↓</w:t>
        <w:br/>
        <w:t xml:space="preserve">               Worker on same EC2</w:t>
        <w:br/>
        <w:t xml:space="preserve">                         ↓</w:t>
        <w:br/>
        <w:t xml:space="preserve">                Gmail / Outlook</w:t>
        <w:br/>
        <w:br/>
        <w:t>Later: outbox publisher → SQS + DLQ → worker</w:t>
      </w:r>
    </w:p>
    <w:p>
      <w:pPr>
        <w:pStyle w:val="ListBullet"/>
      </w:pPr>
      <w:r>
        <w:t>Use idempotency keys, retry/backoff, attempt counters, and a terminal FAILED state from day one.</w:t>
      </w:r>
    </w:p>
    <w:p>
      <w:pPr>
        <w:pStyle w:val="ListBullet"/>
      </w:pPr>
      <w:r>
        <w:t>When moving to SQS, add a DLQ; approval itself still stays in PostgreSQL.</w:t>
      </w:r>
    </w:p>
    <w:p>
      <w:pPr>
        <w:pStyle w:val="ListBullet"/>
      </w:pPr>
      <w:r>
        <w:t>LinkedIn/WhatsApp V1: generate message + open/copy for manual send; do not rely on automated social messaging.</w:t>
      </w:r>
    </w:p>
    <w:p>
      <w:pPr>
        <w:pStyle w:val="Heading1"/>
      </w:pPr>
      <w:r>
        <w:t>8. Matching, Ranking, Deduplication &amp; Storage</w:t>
      </w:r>
    </w:p>
    <w:p>
      <w:pPr>
        <w:pStyle w:val="Heading2"/>
      </w:pPr>
      <w:r>
        <w:t>Layered matching</w:t>
      </w:r>
    </w:p>
    <w:p>
      <w:pPr>
        <w:pStyle w:val="Code"/>
      </w:pPr>
      <w:r>
        <w:t>100,000 jobs</w:t>
        <w:br/>
        <w:t xml:space="preserve">   ↓ hard filters</w:t>
        <w:br/>
        <w:t>10,000</w:t>
        <w:br/>
        <w:t xml:space="preserve">   ↓ structured / semantic similarity</w:t>
        <w:br/>
        <w:t>500</w:t>
        <w:br/>
        <w:t xml:space="preserve">   ↓ weighted ranking</w:t>
        <w:br/>
        <w:t>50</w:t>
        <w:br/>
        <w:t xml:space="preserve">   ↓ LLM reasoning only for top candidates</w:t>
        <w:br/>
        <w:t>Top 10</w:t>
      </w:r>
    </w:p>
    <w:p>
      <w:pPr>
        <w:pStyle w:val="Code"/>
      </w:pPr>
      <w:r>
        <w:t>Example FinalJobScore =</w:t>
        <w:br/>
        <w:t>0.40 CandidateMatch</w:t>
        <w:br/>
        <w:t>+ 0.20 Freshness</w:t>
        <w:br/>
        <w:t>+ 0.15 ReferralSignal</w:t>
        <w:br/>
        <w:t>+ 0.10 RecruiterReachability</w:t>
        <w:br/>
        <w:t>+ 0.10 CompanyPreference</w:t>
        <w:br/>
        <w:t>+ 0.05 SalaryFit</w:t>
      </w:r>
    </w:p>
    <w:p>
      <w:pPr>
        <w:pStyle w:val="Heading2"/>
      </w:pPr>
      <w:r>
        <w:t>Deduplication</w:t>
      </w:r>
    </w:p>
    <w:p>
      <w:r>
        <w:t>Resolve the same role appearing on company careers, LinkedIn, Indeed, Naukri, and referral posts into one CanonicalJob with multiple JobSource records.</w:t>
      </w:r>
    </w:p>
    <w:p>
      <w:pPr>
        <w:pStyle w:val="Code"/>
      </w:pPr>
      <w:r>
        <w:t>CanonicalJob</w:t>
        <w:br/>
        <w:t xml:space="preserve">  ├─ JobSource: company careers</w:t>
        <w:br/>
        <w:t xml:space="preserve">  ├─ JobSource: portal</w:t>
        <w:br/>
        <w:t xml:space="preserve">  ├─ HiringPost</w:t>
        <w:br/>
        <w:t xml:space="preserve">  └─ ReferralPost</w:t>
      </w:r>
    </w:p>
    <w:p>
      <w:pPr>
        <w:pStyle w:val="ListBullet"/>
      </w:pPr>
      <w:r>
        <w:t>Use company/title/location normalization, external IDs, URL canonicalization, JD fingerprinting, and optionally embedding similarity.</w:t>
      </w:r>
    </w:p>
    <w:p>
      <w:pPr>
        <w:pStyle w:val="Heading2"/>
      </w:pPr>
      <w:r>
        <w:t>V1 data stores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592"/>
            <w:shd w:fill="17365D"/>
            <w:vAlign w:val="center"/>
            <w:tcMar>
              <w:top w:w="80" w:type="dxa"/>
              <w:start w:w="100" w:type="dxa"/>
              <w:bottom w:w="80" w:type="dxa"/>
              <w:end w:w="100" w:type="dxa"/>
            </w:tcMar>
          </w:tcPr>
          <w:p>
            <w:r>
              <w:rPr>
                <w:b/>
                <w:color w:val="FFFFFF"/>
                <w:sz w:val="18"/>
              </w:rPr>
              <w:t>Store / service</w:t>
            </w:r>
          </w:p>
        </w:tc>
        <w:tc>
          <w:tcPr>
            <w:tcW w:type="dxa" w:w="7488"/>
            <w:shd w:fill="17365D"/>
            <w:vAlign w:val="center"/>
            <w:tcMar>
              <w:top w:w="80" w:type="dxa"/>
              <w:start w:w="100" w:type="dxa"/>
              <w:bottom w:w="80" w:type="dxa"/>
              <w:end w:w="100" w:type="dxa"/>
            </w:tcMar>
          </w:tcPr>
          <w:p>
            <w:r>
              <w:rPr>
                <w:b/>
                <w:color w:val="FFFFFF"/>
                <w:sz w:val="18"/>
              </w:rPr>
              <w:t>Use in cost-optimized V1</w:t>
            </w:r>
          </w:p>
        </w:tc>
      </w:tr>
      <w:tr>
        <w:trPr>
          <w:cantSplit/>
        </w:trPr>
        <w:tc>
          <w:tcPr>
            <w:tcW w:type="dxa" w:w="2592"/>
            <w:vAlign w:val="center"/>
            <w:tcMar>
              <w:top w:w="80" w:type="dxa"/>
              <w:start w:w="100" w:type="dxa"/>
              <w:bottom w:w="80" w:type="dxa"/>
              <w:end w:w="100" w:type="dxa"/>
            </w:tcMar>
          </w:tcPr>
          <w:p>
            <w:r>
              <w:rPr>
                <w:sz w:val="17"/>
              </w:rPr>
              <w:t>Supabase PostgreSQL</w:t>
            </w:r>
          </w:p>
        </w:tc>
        <w:tc>
          <w:tcPr>
            <w:tcW w:type="dxa" w:w="7488"/>
            <w:vAlign w:val="center"/>
            <w:tcMar>
              <w:top w:w="80" w:type="dxa"/>
              <w:start w:w="100" w:type="dxa"/>
              <w:bottom w:w="80" w:type="dxa"/>
              <w:end w:w="100" w:type="dxa"/>
            </w:tcMar>
          </w:tcPr>
          <w:p>
            <w:r>
              <w:rPr>
                <w:sz w:val="17"/>
              </w:rPr>
              <w:t>Remote system of record so the DB does not live on the developer machine. Free tier is suitable for an early prototype; migrate/upgrade when limits or reliability requirements are reached.</w:t>
            </w:r>
          </w:p>
        </w:tc>
      </w:tr>
      <w:tr>
        <w:trPr>
          <w:cantSplit/>
        </w:trPr>
        <w:tc>
          <w:tcPr>
            <w:tcW w:type="dxa" w:w="2592"/>
            <w:vAlign w:val="center"/>
            <w:tcMar>
              <w:top w:w="80" w:type="dxa"/>
              <w:start w:w="100" w:type="dxa"/>
              <w:bottom w:w="80" w:type="dxa"/>
              <w:end w:w="100" w:type="dxa"/>
            </w:tcMar>
          </w:tcPr>
          <w:p>
            <w:r>
              <w:rPr>
                <w:sz w:val="17"/>
              </w:rPr>
              <w:t>Supabase Storage</w:t>
            </w:r>
          </w:p>
        </w:tc>
        <w:tc>
          <w:tcPr>
            <w:tcW w:type="dxa" w:w="7488"/>
            <w:vAlign w:val="center"/>
            <w:tcMar>
              <w:top w:w="80" w:type="dxa"/>
              <w:start w:w="100" w:type="dxa"/>
              <w:bottom w:w="80" w:type="dxa"/>
              <w:end w:w="100" w:type="dxa"/>
            </w:tcMar>
          </w:tcPr>
          <w:p>
            <w:r>
              <w:rPr>
                <w:sz w:val="17"/>
              </w:rPr>
              <w:t>Cheapest V1 object store for resumes/PDF/DOCX/attachments while already using Supabase. S3 remains the future AWS target.</w:t>
            </w:r>
          </w:p>
        </w:tc>
      </w:tr>
      <w:tr>
        <w:trPr>
          <w:cantSplit/>
        </w:trPr>
        <w:tc>
          <w:tcPr>
            <w:tcW w:type="dxa" w:w="2592"/>
            <w:vAlign w:val="center"/>
            <w:tcMar>
              <w:top w:w="80" w:type="dxa"/>
              <w:start w:w="100" w:type="dxa"/>
              <w:bottom w:w="80" w:type="dxa"/>
              <w:end w:w="100" w:type="dxa"/>
            </w:tcMar>
          </w:tcPr>
          <w:p>
            <w:r>
              <w:rPr>
                <w:sz w:val="17"/>
              </w:rPr>
              <w:t>Postgres outbox/jobs</w:t>
            </w:r>
          </w:p>
        </w:tc>
        <w:tc>
          <w:tcPr>
            <w:tcW w:type="dxa" w:w="7488"/>
            <w:vAlign w:val="center"/>
            <w:tcMar>
              <w:top w:w="80" w:type="dxa"/>
              <w:start w:w="100" w:type="dxa"/>
              <w:bottom w:w="80" w:type="dxa"/>
              <w:end w:w="100" w:type="dxa"/>
            </w:tcMar>
          </w:tcPr>
          <w:p>
            <w:r>
              <w:rPr>
                <w:sz w:val="17"/>
              </w:rPr>
              <w:t>Async email, AI, and ingestion jobs at low volume. SQS + DLQ is the scale/reliability upgrade, not a day-one requirement.</w:t>
            </w:r>
          </w:p>
        </w:tc>
      </w:tr>
      <w:tr>
        <w:trPr>
          <w:cantSplit/>
        </w:trPr>
        <w:tc>
          <w:tcPr>
            <w:tcW w:type="dxa" w:w="2592"/>
            <w:vAlign w:val="center"/>
            <w:tcMar>
              <w:top w:w="80" w:type="dxa"/>
              <w:start w:w="100" w:type="dxa"/>
              <w:bottom w:w="80" w:type="dxa"/>
              <w:end w:w="100" w:type="dxa"/>
            </w:tcMar>
          </w:tcPr>
          <w:p>
            <w:r>
              <w:rPr>
                <w:sz w:val="17"/>
              </w:rPr>
              <w:t>pgvector</w:t>
            </w:r>
          </w:p>
        </w:tc>
        <w:tc>
          <w:tcPr>
            <w:tcW w:type="dxa" w:w="7488"/>
            <w:vAlign w:val="center"/>
            <w:tcMar>
              <w:top w:w="80" w:type="dxa"/>
              <w:start w:w="100" w:type="dxa"/>
              <w:bottom w:w="80" w:type="dxa"/>
              <w:end w:w="100" w:type="dxa"/>
            </w:tcMar>
          </w:tcPr>
          <w:p>
            <w:r>
              <w:rPr>
                <w:sz w:val="17"/>
              </w:rPr>
              <w:t>Optional in the same Postgres database if semantic job similarity is needed.</w:t>
            </w:r>
          </w:p>
        </w:tc>
      </w:tr>
      <w:tr>
        <w:trPr>
          <w:cantSplit/>
        </w:trPr>
        <w:tc>
          <w:tcPr>
            <w:tcW w:type="dxa" w:w="2592"/>
            <w:vAlign w:val="center"/>
            <w:tcMar>
              <w:top w:w="80" w:type="dxa"/>
              <w:start w:w="100" w:type="dxa"/>
              <w:bottom w:w="80" w:type="dxa"/>
              <w:end w:w="100" w:type="dxa"/>
            </w:tcMar>
          </w:tcPr>
          <w:p>
            <w:r>
              <w:rPr>
                <w:sz w:val="17"/>
              </w:rPr>
              <w:t>Redis</w:t>
            </w:r>
          </w:p>
        </w:tc>
        <w:tc>
          <w:tcPr>
            <w:tcW w:type="dxa" w:w="7488"/>
            <w:vAlign w:val="center"/>
            <w:tcMar>
              <w:top w:w="80" w:type="dxa"/>
              <w:start w:w="100" w:type="dxa"/>
              <w:bottom w:w="80" w:type="dxa"/>
              <w:end w:w="100" w:type="dxa"/>
            </w:tcMar>
          </w:tcPr>
          <w:p>
            <w:r>
              <w:rPr>
                <w:sz w:val="17"/>
              </w:rPr>
              <w:t>Not needed initially. Add later for high-volume caching, rate limiting, distributed locks, or ephemeral coordination.</w:t>
            </w:r>
          </w:p>
        </w:tc>
      </w:tr>
      <w:tr>
        <w:trPr>
          <w:cantSplit/>
        </w:trPr>
        <w:tc>
          <w:tcPr>
            <w:tcW w:type="dxa" w:w="2592"/>
            <w:vAlign w:val="center"/>
            <w:tcMar>
              <w:top w:w="80" w:type="dxa"/>
              <w:start w:w="100" w:type="dxa"/>
              <w:bottom w:w="80" w:type="dxa"/>
              <w:end w:w="100" w:type="dxa"/>
            </w:tcMar>
          </w:tcPr>
          <w:p>
            <w:r>
              <w:rPr>
                <w:sz w:val="17"/>
              </w:rPr>
              <w:t>OpenSearch</w:t>
            </w:r>
          </w:p>
        </w:tc>
        <w:tc>
          <w:tcPr>
            <w:tcW w:type="dxa" w:w="7488"/>
            <w:vAlign w:val="center"/>
            <w:tcMar>
              <w:top w:w="80" w:type="dxa"/>
              <w:start w:w="100" w:type="dxa"/>
              <w:bottom w:w="80" w:type="dxa"/>
              <w:end w:w="100" w:type="dxa"/>
            </w:tcMar>
          </w:tcPr>
          <w:p>
            <w:r>
              <w:rPr>
                <w:sz w:val="17"/>
              </w:rPr>
              <w:t>Not needed initially. Add when job volume/search complexity warrants it.</w:t>
            </w:r>
          </w:p>
        </w:tc>
      </w:tr>
    </w:tbl>
    <w:p>
      <w:pPr>
        <w:spacing w:after="20"/>
      </w:pPr>
    </w:p>
    <w:p>
      <w:pPr>
        <w:pStyle w:val="Heading1"/>
      </w:pPr>
      <w:r>
        <w:t>9. Dashboard, Application Lifecycle &amp; Security</w:t>
      </w:r>
    </w:p>
    <w:p>
      <w:pPr>
        <w:pStyle w:val="Heading2"/>
      </w:pPr>
      <w:r>
        <w:t>Dashboard</w:t>
      </w:r>
    </w:p>
    <w:p>
      <w:pPr>
        <w:pStyle w:val="ListBullet"/>
      </w:pPr>
      <w:r>
        <w:t>Recommended jobs ranked by match, freshness, referral signal, contact availability, and salary/location fit.</w:t>
      </w:r>
    </w:p>
    <w:p>
      <w:pPr>
        <w:pStyle w:val="ListBullet"/>
      </w:pPr>
      <w:r>
        <w:t>Job detail with match explanation, skill gaps, recruiter/contact data, source links, tailored resume, and outreach actions.</w:t>
      </w:r>
    </w:p>
    <w:p>
      <w:pPr>
        <w:pStyle w:val="ListBullet"/>
      </w:pPr>
      <w:r>
        <w:t>Application tracker with saved, prepared, applied, outreach sent, replied, interview, offer, rejected, withdrawn.</w:t>
      </w:r>
    </w:p>
    <w:p>
      <w:pPr>
        <w:pStyle w:val="ListBullet"/>
      </w:pPr>
      <w:r>
        <w:t>Resume version history, message templates, approvals, profile settings, and analytics.</w:t>
      </w:r>
    </w:p>
    <w:p>
      <w:pPr>
        <w:pStyle w:val="Code"/>
      </w:pPr>
      <w:r>
        <w:t>DISCOVERED → SAVED → SHORTLISTED → PREPARING → READY_TO_APPLY</w:t>
        <w:br/>
        <w:t>→ APPLIED → OUTREACH_PREPARED → OUTREACH_SENT → REPLIED</w:t>
        <w:br/>
        <w:t>→ INTERVIEW → OFFER / REJECTED / WITHDRAWN</w:t>
      </w:r>
    </w:p>
    <w:p>
      <w:pPr>
        <w:pStyle w:val="Heading2"/>
      </w:pPr>
      <w:r>
        <w:t>Authentication</w:t>
      </w:r>
    </w:p>
    <w:p>
      <w:pPr>
        <w:pStyle w:val="ListBullet"/>
      </w:pPr>
      <w:r>
        <w:t>OAuth2 / OIDC, preferably Authorization Code + PKCE for browser clients.</w:t>
      </w:r>
    </w:p>
    <w:p>
      <w:pPr>
        <w:pStyle w:val="ListBullet"/>
      </w:pPr>
      <w:r>
        <w:t>Use Supabase Auth or direct Google/Microsoft OAuth for V1; avoid a paid identity provider unless features justify it.</w:t>
      </w:r>
    </w:p>
    <w:p>
      <w:pPr>
        <w:pStyle w:val="ListBullet"/>
      </w:pPr>
      <w:r>
        <w:t>Extension and dashboard use the same account and backend.</w:t>
      </w:r>
    </w:p>
    <w:p>
      <w:pPr>
        <w:pStyle w:val="ListBullet"/>
      </w:pPr>
      <w:r>
        <w:t>Encrypt OAuth refresh tokens; never expose them to frontend.</w:t>
      </w:r>
    </w:p>
    <w:p>
      <w:pPr>
        <w:pStyle w:val="ListBullet"/>
      </w:pPr>
      <w:r>
        <w:t>For V1, keep deployment secrets outside source control (EC2 environment/deployment secrets) and encrypt persisted OAuth tokens; add KMS/Secrets Manager when the security/operations profile justifies the extra service.</w:t>
      </w:r>
    </w:p>
    <w:p>
      <w:pPr>
        <w:pStyle w:val="Heading2"/>
      </w:pPr>
      <w:r>
        <w:t>Prompt-injection protection</w:t>
      </w:r>
    </w:p>
    <w:tbl>
      <w:tblPr>
        <w:tblW w:type="auto" w:w="0"/>
        <w:jc w:val="center"/>
        <w:tblLook w:firstColumn="1" w:firstRow="1" w:lastColumn="0" w:lastRow="0" w:noHBand="0" w:noVBand="1" w:val="04A0"/>
      </w:tblPr>
      <w:tblGrid>
        <w:gridCol w:w="10080"/>
      </w:tblGrid>
      <w:tr>
        <w:tc>
          <w:tcPr>
            <w:tcW w:type="dxa" w:w="10080"/>
            <w:shd w:fill="FFF2CC"/>
            <w:tcMar>
              <w:top w:w="120" w:type="dxa"/>
              <w:start w:w="140" w:type="dxa"/>
              <w:bottom w:w="120" w:type="dxa"/>
              <w:end w:w="140" w:type="dxa"/>
            </w:tcMar>
          </w:tcPr>
          <w:p>
            <w:r>
              <w:rPr>
                <w:b/>
                <w:color w:val="17365D"/>
              </w:rPr>
              <w:t xml:space="preserve">Untrusted web content — </w:t>
            </w:r>
            <w:r>
              <w:t>Treat page text as DATA, never instructions. Browser text must pass through sanitization/structured extraction before LLM use. Destructive actions like email sending remain behind server-side approval.</w:t>
            </w:r>
          </w:p>
        </w:tc>
      </w:tr>
    </w:tbl>
    <w:p>
      <w:pPr>
        <w:spacing w:after="20"/>
      </w:pPr>
    </w:p>
    <w:p>
      <w:pPr>
        <w:pStyle w:val="Heading1"/>
      </w:pPr>
      <w:r>
        <w:t>10. Cost-Optimized Deployment Architecture</w:t>
      </w:r>
    </w:p>
    <w:p>
      <w:r>
        <w:t>For the first usable production deployment, consolidate compute instead of paying for multiple managed services. Run the web assets, Spring Boot API, MCP endpoint, and low-volume workers on one small EC2 instance with Docker Compose. Keep PostgreSQL remote on Supabase so application state survives independently of the EC2 host.</w:t>
      </w:r>
    </w:p>
    <w:p>
      <w:pPr>
        <w:pStyle w:val="Code"/>
      </w:pPr>
      <w:r>
        <w:t>Users / Chrome Extension / AI Clients</w:t>
        <w:br/>
        <w:t xml:space="preserve">                 ↓ HTTPS</w:t>
        <w:br/>
        <w:t xml:space="preserve">        ┌──────────────────────┐</w:t>
        <w:br/>
        <w:t xml:space="preserve">        │ One small EC2        │</w:t>
        <w:br/>
        <w:t xml:space="preserve">        │ Docker Compose       │</w:t>
        <w:br/>
        <w:t xml:space="preserve">        │                      │</w:t>
        <w:br/>
        <w:t xml:space="preserve">        │ Nginx / Web UI       │</w:t>
        <w:br/>
        <w:t xml:space="preserve">        │ Spring Boot API      │</w:t>
        <w:br/>
        <w:t xml:space="preserve">        │ MCP Server           │</w:t>
        <w:br/>
        <w:t xml:space="preserve">        │ AI/Ingestion Worker  │</w:t>
        <w:br/>
        <w:t xml:space="preserve">        │ Email Worker         │</w:t>
        <w:br/>
        <w:t xml:space="preserve">        └──────────┬───────────┘</w:t>
        <w:br/>
        <w:t xml:space="preserve">                   │</w:t>
        <w:br/>
        <w:t xml:space="preserve">       ┌───────────┼────────────────────┐</w:t>
        <w:br/>
        <w:t xml:space="preserve">       ▼           ▼                    ▼</w:t>
        <w:br/>
        <w:t>Supabase       LLM / web-search     Gmail / Outlook</w:t>
        <w:br/>
        <w:t>Postgres +     APIs                  APIs</w:t>
        <w:br/>
        <w:t>Storage</w:t>
        <w:br/>
        <w:t xml:space="preserve">                   │</w:t>
        <w:br/>
        <w:t xml:space="preserve">                   └── optional ContactOut/Hunter fallback</w:t>
      </w: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color w:val="17365D"/>
              </w:rPr>
              <w:t xml:space="preserve">Meaningful V1 spend — </w:t>
            </w:r>
            <w:r>
              <w:t>With the free tiers holding, the only material recurring costs should be the EC2 instance and LLM/web-search API usage. A domain is optional/small, and paid contact enrichment is opt-in rather than baseline.</w:t>
            </w:r>
          </w:p>
        </w:tc>
      </w:tr>
    </w:tbl>
    <w:p>
      <w:pPr>
        <w:spacing w:after="20"/>
      </w:pPr>
    </w:p>
    <w:p>
      <w:pPr>
        <w:pStyle w:val="Heading2"/>
      </w:pPr>
      <w:r>
        <w:t>Development environment &amp; LocalStack</w:t>
      </w:r>
    </w:p>
    <w:p>
      <w:pPr>
        <w:pStyle w:val="Code"/>
      </w:pPr>
      <w:r>
        <w:t>Developer machine</w:t>
        <w:br/>
        <w:t xml:space="preserve">  ├─ frontend / extension dev</w:t>
        <w:br/>
        <w:t xml:space="preserve">  ├─ Spring Boot + workers</w:t>
        <w:br/>
        <w:t xml:space="preserve">  └─ optional LocalStack</w:t>
        <w:br/>
        <w:t xml:space="preserve">       ├─ S3 emulation</w:t>
        <w:br/>
        <w:t xml:space="preserve">       └─ SQS emulation</w:t>
        <w:br/>
        <w:t xml:space="preserve">            │</w:t>
        <w:br/>
        <w:t xml:space="preserve">            └─ only if testing the future AWS path</w:t>
        <w:br/>
        <w:br/>
        <w:t>Remote Supabase Postgres remains available to the app.</w:t>
      </w:r>
    </w:p>
    <w:p>
      <w:r>
        <w:t>LocalStack is useful for AWS-compatible development, but it should not be a production dependency. As of March 23, 2026 its free plan is non-commercial; commercial usage requires a paid LocalStack plan. Therefore the cheapest commercial V1 should not require LocalStack. Use it for personal/non-commercial prototyping or optional AWS migration tests, and re-check licensing before launch.</w:t>
      </w:r>
    </w:p>
    <w:p>
      <w:pPr>
        <w:pStyle w:val="Heading2"/>
      </w:pPr>
      <w:r>
        <w:t>Deployment boundaries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024"/>
            <w:shd w:fill="17365D"/>
            <w:vAlign w:val="center"/>
            <w:tcMar>
              <w:top w:w="80" w:type="dxa"/>
              <w:start w:w="100" w:type="dxa"/>
              <w:bottom w:w="80" w:type="dxa"/>
              <w:end w:w="100" w:type="dxa"/>
            </w:tcMar>
          </w:tcPr>
          <w:p>
            <w:r>
              <w:rPr>
                <w:b/>
                <w:color w:val="FFFFFF"/>
                <w:sz w:val="18"/>
              </w:rPr>
              <w:t>Deployable</w:t>
            </w:r>
          </w:p>
        </w:tc>
        <w:tc>
          <w:tcPr>
            <w:tcW w:type="dxa" w:w="7056"/>
            <w:shd w:fill="17365D"/>
            <w:vAlign w:val="center"/>
            <w:tcMar>
              <w:top w:w="80" w:type="dxa"/>
              <w:start w:w="100" w:type="dxa"/>
              <w:bottom w:w="80" w:type="dxa"/>
              <w:end w:w="100" w:type="dxa"/>
            </w:tcMar>
          </w:tcPr>
          <w:p>
            <w:r>
              <w:rPr>
                <w:b/>
                <w:color w:val="FFFFFF"/>
                <w:sz w:val="18"/>
              </w:rPr>
              <w:t>Responsibilities</w:t>
            </w:r>
          </w:p>
        </w:tc>
      </w:tr>
      <w:tr>
        <w:trPr>
          <w:cantSplit/>
        </w:trPr>
        <w:tc>
          <w:tcPr>
            <w:tcW w:type="dxa" w:w="3024"/>
            <w:vAlign w:val="center"/>
            <w:tcMar>
              <w:top w:w="80" w:type="dxa"/>
              <w:start w:w="100" w:type="dxa"/>
              <w:bottom w:w="80" w:type="dxa"/>
              <w:end w:w="100" w:type="dxa"/>
            </w:tcMar>
          </w:tcPr>
          <w:p>
            <w:r>
              <w:rPr>
                <w:sz w:val="17"/>
              </w:rPr>
              <w:t>job-platform-api</w:t>
            </w:r>
          </w:p>
        </w:tc>
        <w:tc>
          <w:tcPr>
            <w:tcW w:type="dxa" w:w="7056"/>
            <w:vAlign w:val="center"/>
            <w:tcMar>
              <w:top w:w="80" w:type="dxa"/>
              <w:start w:w="100" w:type="dxa"/>
              <w:bottom w:w="80" w:type="dxa"/>
              <w:end w:w="100" w:type="dxa"/>
            </w:tcMar>
          </w:tcPr>
          <w:p>
            <w:r>
              <w:rPr>
                <w:sz w:val="17"/>
              </w:rPr>
              <w:t>Auth, profile, jobs, matching, applications, resumes, outreach, approvals.</w:t>
            </w:r>
          </w:p>
        </w:tc>
      </w:tr>
      <w:tr>
        <w:trPr>
          <w:cantSplit/>
        </w:trPr>
        <w:tc>
          <w:tcPr>
            <w:tcW w:type="dxa" w:w="3024"/>
            <w:vAlign w:val="center"/>
            <w:tcMar>
              <w:top w:w="80" w:type="dxa"/>
              <w:start w:w="100" w:type="dxa"/>
              <w:bottom w:w="80" w:type="dxa"/>
              <w:end w:w="100" w:type="dxa"/>
            </w:tcMar>
          </w:tcPr>
          <w:p>
            <w:r>
              <w:rPr>
                <w:sz w:val="17"/>
              </w:rPr>
              <w:t>job-ingestion-worker</w:t>
            </w:r>
          </w:p>
        </w:tc>
        <w:tc>
          <w:tcPr>
            <w:tcW w:type="dxa" w:w="7056"/>
            <w:vAlign w:val="center"/>
            <w:tcMar>
              <w:top w:w="80" w:type="dxa"/>
              <w:start w:w="100" w:type="dxa"/>
              <w:bottom w:w="80" w:type="dxa"/>
              <w:end w:w="100" w:type="dxa"/>
            </w:tcMar>
          </w:tcPr>
          <w:p>
            <w:r>
              <w:rPr>
                <w:sz w:val="17"/>
              </w:rPr>
              <w:t>Connectors, normalization, deduplication, scheduled discovery.</w:t>
            </w:r>
          </w:p>
        </w:tc>
      </w:tr>
      <w:tr>
        <w:trPr>
          <w:cantSplit/>
        </w:trPr>
        <w:tc>
          <w:tcPr>
            <w:tcW w:type="dxa" w:w="3024"/>
            <w:vAlign w:val="center"/>
            <w:tcMar>
              <w:top w:w="80" w:type="dxa"/>
              <w:start w:w="100" w:type="dxa"/>
              <w:bottom w:w="80" w:type="dxa"/>
              <w:end w:w="100" w:type="dxa"/>
            </w:tcMar>
          </w:tcPr>
          <w:p>
            <w:r>
              <w:rPr>
                <w:sz w:val="17"/>
              </w:rPr>
              <w:t>ai-worker</w:t>
            </w:r>
          </w:p>
        </w:tc>
        <w:tc>
          <w:tcPr>
            <w:tcW w:type="dxa" w:w="7056"/>
            <w:vAlign w:val="center"/>
            <w:tcMar>
              <w:top w:w="80" w:type="dxa"/>
              <w:start w:w="100" w:type="dxa"/>
              <w:bottom w:w="80" w:type="dxa"/>
              <w:end w:w="100" w:type="dxa"/>
            </w:tcMar>
          </w:tcPr>
          <w:p>
            <w:r>
              <w:rPr>
                <w:sz w:val="17"/>
              </w:rPr>
              <w:t>JD parsing, resume tailoring, scoring, outreach generation.</w:t>
            </w:r>
          </w:p>
        </w:tc>
      </w:tr>
      <w:tr>
        <w:trPr>
          <w:cantSplit/>
        </w:trPr>
        <w:tc>
          <w:tcPr>
            <w:tcW w:type="dxa" w:w="3024"/>
            <w:vAlign w:val="center"/>
            <w:tcMar>
              <w:top w:w="80" w:type="dxa"/>
              <w:start w:w="100" w:type="dxa"/>
              <w:bottom w:w="80" w:type="dxa"/>
              <w:end w:w="100" w:type="dxa"/>
            </w:tcMar>
          </w:tcPr>
          <w:p>
            <w:r>
              <w:rPr>
                <w:sz w:val="17"/>
              </w:rPr>
              <w:t>communication-worker</w:t>
            </w:r>
          </w:p>
        </w:tc>
        <w:tc>
          <w:tcPr>
            <w:tcW w:type="dxa" w:w="7056"/>
            <w:vAlign w:val="center"/>
            <w:tcMar>
              <w:top w:w="80" w:type="dxa"/>
              <w:start w:w="100" w:type="dxa"/>
              <w:bottom w:w="80" w:type="dxa"/>
              <w:end w:w="100" w:type="dxa"/>
            </w:tcMar>
          </w:tcPr>
          <w:p>
            <w:r>
              <w:rPr>
                <w:sz w:val="17"/>
              </w:rPr>
              <w:t>Approved Gmail/Outlook sends and notifications.</w:t>
            </w:r>
          </w:p>
        </w:tc>
      </w:tr>
      <w:tr>
        <w:trPr>
          <w:cantSplit/>
        </w:trPr>
        <w:tc>
          <w:tcPr>
            <w:tcW w:type="dxa" w:w="3024"/>
            <w:vAlign w:val="center"/>
            <w:tcMar>
              <w:top w:w="80" w:type="dxa"/>
              <w:start w:w="100" w:type="dxa"/>
              <w:bottom w:w="80" w:type="dxa"/>
              <w:end w:w="100" w:type="dxa"/>
            </w:tcMar>
          </w:tcPr>
          <w:p>
            <w:r>
              <w:rPr>
                <w:sz w:val="17"/>
              </w:rPr>
              <w:t>job-platform-mcp</w:t>
            </w:r>
          </w:p>
        </w:tc>
        <w:tc>
          <w:tcPr>
            <w:tcW w:type="dxa" w:w="7056"/>
            <w:vAlign w:val="center"/>
            <w:tcMar>
              <w:top w:w="80" w:type="dxa"/>
              <w:start w:w="100" w:type="dxa"/>
              <w:bottom w:w="80" w:type="dxa"/>
              <w:end w:w="100" w:type="dxa"/>
            </w:tcMar>
          </w:tcPr>
          <w:p>
            <w:r>
              <w:rPr>
                <w:sz w:val="17"/>
              </w:rPr>
              <w:t>Thin MCP adapter over application services.</w:t>
            </w:r>
          </w:p>
        </w:tc>
      </w:tr>
    </w:tbl>
    <w:p>
      <w:pPr>
        <w:spacing w:after="20"/>
      </w:pP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color w:val="17365D"/>
              </w:rPr>
              <w:t xml:space="preserve">One EC2, multiple logical modules — </w:t>
            </w:r>
            <w:r>
              <w:t>Keep clean module/deployable boundaries in code, but cost-efficient V1 may run them as containers/processes on the same EC2. Split onto separate compute only when independent scaling or failure isolation is actually needed.</w:t>
            </w:r>
          </w:p>
        </w:tc>
      </w:tr>
    </w:tbl>
    <w:p>
      <w:pPr>
        <w:spacing w:after="20"/>
      </w:pPr>
    </w:p>
    <w:p>
      <w:pPr>
        <w:pStyle w:val="Heading1"/>
      </w:pPr>
      <w:r>
        <w:t>11. Reliability Patterns &amp; Technology Stack</w:t>
      </w:r>
    </w:p>
    <w:p>
      <w:pPr>
        <w:pStyle w:val="Heading2"/>
      </w:pPr>
      <w:r>
        <w:t>Transactional outbox</w:t>
      </w:r>
    </w:p>
    <w:p>
      <w:pPr>
        <w:pStyle w:val="Code"/>
      </w:pPr>
      <w:r>
        <w:t>DB transaction</w:t>
        <w:br/>
        <w:t xml:space="preserve">  ├─ applications INSERT / approval UPDATE</w:t>
        <w:br/>
        <w:t xml:space="preserve">  └─ outbox_events INSERT</w:t>
        <w:br/>
        <w:t xml:space="preserve">            ↓</w:t>
        <w:br/>
        <w:t xml:space="preserve">      V1 worker polls outbox</w:t>
        <w:br/>
        <w:t xml:space="preserve">            ↓</w:t>
        <w:br/>
        <w:t xml:space="preserve">      execute async job</w:t>
        <w:br/>
        <w:br/>
        <w:t>Later: outbox publisher → SQS + DLQ → worker</w:t>
      </w:r>
    </w:p>
    <w:p>
      <w:r>
        <w:t>The database transaction remains the durable source of truth. At V1 scale the same-EC2 worker can process pending outbox/jobs directly; when SQS is introduced, the outbox prevents the failure mode where database state commits but queue publication is lost.</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024"/>
            <w:shd w:fill="17365D"/>
            <w:vAlign w:val="center"/>
            <w:tcMar>
              <w:top w:w="80" w:type="dxa"/>
              <w:start w:w="100" w:type="dxa"/>
              <w:bottom w:w="80" w:type="dxa"/>
              <w:end w:w="100" w:type="dxa"/>
            </w:tcMar>
          </w:tcPr>
          <w:p>
            <w:r>
              <w:rPr>
                <w:b/>
                <w:color w:val="FFFFFF"/>
                <w:sz w:val="18"/>
              </w:rPr>
              <w:t>Layer</w:t>
            </w:r>
          </w:p>
        </w:tc>
        <w:tc>
          <w:tcPr>
            <w:tcW w:type="dxa" w:w="7056"/>
            <w:shd w:fill="17365D"/>
            <w:vAlign w:val="center"/>
            <w:tcMar>
              <w:top w:w="80" w:type="dxa"/>
              <w:start w:w="100" w:type="dxa"/>
              <w:bottom w:w="80" w:type="dxa"/>
              <w:end w:w="100" w:type="dxa"/>
            </w:tcMar>
          </w:tcPr>
          <w:p>
            <w:r>
              <w:rPr>
                <w:b/>
                <w:color w:val="FFFFFF"/>
                <w:sz w:val="18"/>
              </w:rPr>
              <w:t>Cost-optimized V1 choice</w:t>
            </w:r>
          </w:p>
        </w:tc>
      </w:tr>
      <w:tr>
        <w:trPr>
          <w:cantSplit/>
        </w:trPr>
        <w:tc>
          <w:tcPr>
            <w:tcW w:type="dxa" w:w="3024"/>
            <w:vAlign w:val="center"/>
            <w:tcMar>
              <w:top w:w="80" w:type="dxa"/>
              <w:start w:w="100" w:type="dxa"/>
              <w:bottom w:w="80" w:type="dxa"/>
              <w:end w:w="100" w:type="dxa"/>
            </w:tcMar>
          </w:tcPr>
          <w:p>
            <w:r>
              <w:rPr>
                <w:sz w:val="17"/>
              </w:rPr>
              <w:t>Dashboard</w:t>
            </w:r>
          </w:p>
        </w:tc>
        <w:tc>
          <w:tcPr>
            <w:tcW w:type="dxa" w:w="7056"/>
            <w:vAlign w:val="center"/>
            <w:tcMar>
              <w:top w:w="80" w:type="dxa"/>
              <w:start w:w="100" w:type="dxa"/>
              <w:bottom w:w="80" w:type="dxa"/>
              <w:end w:w="100" w:type="dxa"/>
            </w:tcMar>
          </w:tcPr>
          <w:p>
            <w:r>
              <w:rPr>
                <w:sz w:val="17"/>
              </w:rPr>
              <w:t>React + TypeScript; serve static build through Nginx on the same EC2 (or a genuinely free static host).</w:t>
            </w:r>
          </w:p>
        </w:tc>
      </w:tr>
      <w:tr>
        <w:trPr>
          <w:cantSplit/>
        </w:trPr>
        <w:tc>
          <w:tcPr>
            <w:tcW w:type="dxa" w:w="3024"/>
            <w:vAlign w:val="center"/>
            <w:tcMar>
              <w:top w:w="80" w:type="dxa"/>
              <w:start w:w="100" w:type="dxa"/>
              <w:bottom w:w="80" w:type="dxa"/>
              <w:end w:w="100" w:type="dxa"/>
            </w:tcMar>
          </w:tcPr>
          <w:p>
            <w:r>
              <w:rPr>
                <w:sz w:val="17"/>
              </w:rPr>
              <w:t>Extension</w:t>
            </w:r>
          </w:p>
        </w:tc>
        <w:tc>
          <w:tcPr>
            <w:tcW w:type="dxa" w:w="7056"/>
            <w:vAlign w:val="center"/>
            <w:tcMar>
              <w:top w:w="80" w:type="dxa"/>
              <w:start w:w="100" w:type="dxa"/>
              <w:bottom w:w="80" w:type="dxa"/>
              <w:end w:w="100" w:type="dxa"/>
            </w:tcMar>
          </w:tcPr>
          <w:p>
            <w:r>
              <w:rPr>
                <w:sz w:val="17"/>
              </w:rPr>
              <w:t>React + TypeScript + Chrome Manifest V3</w:t>
            </w:r>
          </w:p>
        </w:tc>
      </w:tr>
      <w:tr>
        <w:trPr>
          <w:cantSplit/>
        </w:trPr>
        <w:tc>
          <w:tcPr>
            <w:tcW w:type="dxa" w:w="3024"/>
            <w:vAlign w:val="center"/>
            <w:tcMar>
              <w:top w:w="80" w:type="dxa"/>
              <w:start w:w="100" w:type="dxa"/>
              <w:bottom w:w="80" w:type="dxa"/>
              <w:end w:w="100" w:type="dxa"/>
            </w:tcMar>
          </w:tcPr>
          <w:p>
            <w:r>
              <w:rPr>
                <w:sz w:val="17"/>
              </w:rPr>
              <w:t>Core backend</w:t>
            </w:r>
          </w:p>
        </w:tc>
        <w:tc>
          <w:tcPr>
            <w:tcW w:type="dxa" w:w="7056"/>
            <w:vAlign w:val="center"/>
            <w:tcMar>
              <w:top w:w="80" w:type="dxa"/>
              <w:start w:w="100" w:type="dxa"/>
              <w:bottom w:w="80" w:type="dxa"/>
              <w:end w:w="100" w:type="dxa"/>
            </w:tcMar>
          </w:tcPr>
          <w:p>
            <w:r>
              <w:rPr>
                <w:sz w:val="17"/>
              </w:rPr>
              <w:t>Java 21+ / Spring Boot</w:t>
            </w:r>
          </w:p>
        </w:tc>
      </w:tr>
      <w:tr>
        <w:trPr>
          <w:cantSplit/>
        </w:trPr>
        <w:tc>
          <w:tcPr>
            <w:tcW w:type="dxa" w:w="3024"/>
            <w:vAlign w:val="center"/>
            <w:tcMar>
              <w:top w:w="80" w:type="dxa"/>
              <w:start w:w="100" w:type="dxa"/>
              <w:bottom w:w="80" w:type="dxa"/>
              <w:end w:w="100" w:type="dxa"/>
            </w:tcMar>
          </w:tcPr>
          <w:p>
            <w:r>
              <w:rPr>
                <w:sz w:val="17"/>
              </w:rPr>
              <w:t>MCP</w:t>
            </w:r>
          </w:p>
        </w:tc>
        <w:tc>
          <w:tcPr>
            <w:tcW w:type="dxa" w:w="7056"/>
            <w:vAlign w:val="center"/>
            <w:tcMar>
              <w:top w:w="80" w:type="dxa"/>
              <w:start w:w="100" w:type="dxa"/>
              <w:bottom w:w="80" w:type="dxa"/>
              <w:end w:w="100" w:type="dxa"/>
            </w:tcMar>
          </w:tcPr>
          <w:p>
            <w:r>
              <w:rPr>
                <w:sz w:val="17"/>
              </w:rPr>
              <w:t>Thin MCP adapter; run on the same EC2</w:t>
            </w:r>
          </w:p>
        </w:tc>
      </w:tr>
      <w:tr>
        <w:trPr>
          <w:cantSplit/>
        </w:trPr>
        <w:tc>
          <w:tcPr>
            <w:tcW w:type="dxa" w:w="3024"/>
            <w:vAlign w:val="center"/>
            <w:tcMar>
              <w:top w:w="80" w:type="dxa"/>
              <w:start w:w="100" w:type="dxa"/>
              <w:bottom w:w="80" w:type="dxa"/>
              <w:end w:w="100" w:type="dxa"/>
            </w:tcMar>
          </w:tcPr>
          <w:p>
            <w:r>
              <w:rPr>
                <w:sz w:val="17"/>
              </w:rPr>
              <w:t>Database</w:t>
            </w:r>
          </w:p>
        </w:tc>
        <w:tc>
          <w:tcPr>
            <w:tcW w:type="dxa" w:w="7056"/>
            <w:vAlign w:val="center"/>
            <w:tcMar>
              <w:top w:w="80" w:type="dxa"/>
              <w:start w:w="100" w:type="dxa"/>
              <w:bottom w:w="80" w:type="dxa"/>
              <w:end w:w="100" w:type="dxa"/>
            </w:tcMar>
          </w:tcPr>
          <w:p>
            <w:r>
              <w:rPr>
                <w:sz w:val="17"/>
              </w:rPr>
              <w:t>Remote Supabase PostgreSQL free tier initially</w:t>
            </w:r>
          </w:p>
        </w:tc>
      </w:tr>
      <w:tr>
        <w:trPr>
          <w:cantSplit/>
        </w:trPr>
        <w:tc>
          <w:tcPr>
            <w:tcW w:type="dxa" w:w="3024"/>
            <w:vAlign w:val="center"/>
            <w:tcMar>
              <w:top w:w="80" w:type="dxa"/>
              <w:start w:w="100" w:type="dxa"/>
              <w:bottom w:w="80" w:type="dxa"/>
              <w:end w:w="100" w:type="dxa"/>
            </w:tcMar>
          </w:tcPr>
          <w:p>
            <w:r>
              <w:rPr>
                <w:sz w:val="17"/>
              </w:rPr>
              <w:t>Vector</w:t>
            </w:r>
          </w:p>
        </w:tc>
        <w:tc>
          <w:tcPr>
            <w:tcW w:type="dxa" w:w="7056"/>
            <w:vAlign w:val="center"/>
            <w:tcMar>
              <w:top w:w="80" w:type="dxa"/>
              <w:start w:w="100" w:type="dxa"/>
              <w:bottom w:w="80" w:type="dxa"/>
              <w:end w:w="100" w:type="dxa"/>
            </w:tcMar>
          </w:tcPr>
          <w:p>
            <w:r>
              <w:rPr>
                <w:sz w:val="17"/>
              </w:rPr>
              <w:t>pgvector only when useful; no separate vector DB</w:t>
            </w:r>
          </w:p>
        </w:tc>
      </w:tr>
      <w:tr>
        <w:trPr>
          <w:cantSplit/>
        </w:trPr>
        <w:tc>
          <w:tcPr>
            <w:tcW w:type="dxa" w:w="3024"/>
            <w:vAlign w:val="center"/>
            <w:tcMar>
              <w:top w:w="80" w:type="dxa"/>
              <w:start w:w="100" w:type="dxa"/>
              <w:bottom w:w="80" w:type="dxa"/>
              <w:end w:w="100" w:type="dxa"/>
            </w:tcMar>
          </w:tcPr>
          <w:p>
            <w:r>
              <w:rPr>
                <w:sz w:val="17"/>
              </w:rPr>
              <w:t>Object storage</w:t>
            </w:r>
          </w:p>
        </w:tc>
        <w:tc>
          <w:tcPr>
            <w:tcW w:type="dxa" w:w="7056"/>
            <w:vAlign w:val="center"/>
            <w:tcMar>
              <w:top w:w="80" w:type="dxa"/>
              <w:start w:w="100" w:type="dxa"/>
              <w:bottom w:w="80" w:type="dxa"/>
              <w:end w:w="100" w:type="dxa"/>
            </w:tcMar>
          </w:tcPr>
          <w:p>
            <w:r>
              <w:rPr>
                <w:sz w:val="17"/>
              </w:rPr>
              <w:t>Supabase Storage initially; S3 later if/when needed</w:t>
            </w:r>
          </w:p>
        </w:tc>
      </w:tr>
      <w:tr>
        <w:trPr>
          <w:cantSplit/>
        </w:trPr>
        <w:tc>
          <w:tcPr>
            <w:tcW w:type="dxa" w:w="3024"/>
            <w:vAlign w:val="center"/>
            <w:tcMar>
              <w:top w:w="80" w:type="dxa"/>
              <w:start w:w="100" w:type="dxa"/>
              <w:bottom w:w="80" w:type="dxa"/>
              <w:end w:w="100" w:type="dxa"/>
            </w:tcMar>
          </w:tcPr>
          <w:p>
            <w:r>
              <w:rPr>
                <w:sz w:val="17"/>
              </w:rPr>
              <w:t>Async work</w:t>
            </w:r>
          </w:p>
        </w:tc>
        <w:tc>
          <w:tcPr>
            <w:tcW w:type="dxa" w:w="7056"/>
            <w:vAlign w:val="center"/>
            <w:tcMar>
              <w:top w:w="80" w:type="dxa"/>
              <w:start w:w="100" w:type="dxa"/>
              <w:bottom w:w="80" w:type="dxa"/>
              <w:end w:w="100" w:type="dxa"/>
            </w:tcMar>
          </w:tcPr>
          <w:p>
            <w:r>
              <w:rPr>
                <w:sz w:val="17"/>
              </w:rPr>
              <w:t>Postgres outbox/job table + worker initially; SQS + DLQ later</w:t>
            </w:r>
          </w:p>
        </w:tc>
      </w:tr>
      <w:tr>
        <w:trPr>
          <w:cantSplit/>
        </w:trPr>
        <w:tc>
          <w:tcPr>
            <w:tcW w:type="dxa" w:w="3024"/>
            <w:vAlign w:val="center"/>
            <w:tcMar>
              <w:top w:w="80" w:type="dxa"/>
              <w:start w:w="100" w:type="dxa"/>
              <w:bottom w:w="80" w:type="dxa"/>
              <w:end w:w="100" w:type="dxa"/>
            </w:tcMar>
          </w:tcPr>
          <w:p>
            <w:r>
              <w:rPr>
                <w:sz w:val="17"/>
              </w:rPr>
              <w:t>Workflow</w:t>
            </w:r>
          </w:p>
        </w:tc>
        <w:tc>
          <w:tcPr>
            <w:tcW w:type="dxa" w:w="7056"/>
            <w:vAlign w:val="center"/>
            <w:tcMar>
              <w:top w:w="80" w:type="dxa"/>
              <w:start w:w="100" w:type="dxa"/>
              <w:bottom w:w="80" w:type="dxa"/>
              <w:end w:w="100" w:type="dxa"/>
            </w:tcMar>
          </w:tcPr>
          <w:p>
            <w:r>
              <w:rPr>
                <w:sz w:val="17"/>
              </w:rPr>
              <w:t>Application state machine in Postgres; Step Functions only if workflow complexity later warrants it</w:t>
            </w:r>
          </w:p>
        </w:tc>
      </w:tr>
      <w:tr>
        <w:trPr>
          <w:cantSplit/>
        </w:trPr>
        <w:tc>
          <w:tcPr>
            <w:tcW w:type="dxa" w:w="3024"/>
            <w:vAlign w:val="center"/>
            <w:tcMar>
              <w:top w:w="80" w:type="dxa"/>
              <w:start w:w="100" w:type="dxa"/>
              <w:bottom w:w="80" w:type="dxa"/>
              <w:end w:w="100" w:type="dxa"/>
            </w:tcMar>
          </w:tcPr>
          <w:p>
            <w:r>
              <w:rPr>
                <w:sz w:val="17"/>
              </w:rPr>
              <w:t>Auth</w:t>
            </w:r>
          </w:p>
        </w:tc>
        <w:tc>
          <w:tcPr>
            <w:tcW w:type="dxa" w:w="7056"/>
            <w:vAlign w:val="center"/>
            <w:tcMar>
              <w:top w:w="80" w:type="dxa"/>
              <w:start w:w="100" w:type="dxa"/>
              <w:bottom w:w="80" w:type="dxa"/>
              <w:end w:w="100" w:type="dxa"/>
            </w:tcMar>
          </w:tcPr>
          <w:p>
            <w:r>
              <w:rPr>
                <w:sz w:val="17"/>
              </w:rPr>
              <w:t>Supabase Auth or direct Google/Microsoft OAuth + Spring Security</w:t>
            </w:r>
          </w:p>
        </w:tc>
      </w:tr>
      <w:tr>
        <w:trPr>
          <w:cantSplit/>
        </w:trPr>
        <w:tc>
          <w:tcPr>
            <w:tcW w:type="dxa" w:w="3024"/>
            <w:vAlign w:val="center"/>
            <w:tcMar>
              <w:top w:w="80" w:type="dxa"/>
              <w:start w:w="100" w:type="dxa"/>
              <w:bottom w:w="80" w:type="dxa"/>
              <w:end w:w="100" w:type="dxa"/>
            </w:tcMar>
          </w:tcPr>
          <w:p>
            <w:r>
              <w:rPr>
                <w:sz w:val="17"/>
              </w:rPr>
              <w:t>Compute</w:t>
            </w:r>
          </w:p>
        </w:tc>
        <w:tc>
          <w:tcPr>
            <w:tcW w:type="dxa" w:w="7056"/>
            <w:vAlign w:val="center"/>
            <w:tcMar>
              <w:top w:w="80" w:type="dxa"/>
              <w:start w:w="100" w:type="dxa"/>
              <w:bottom w:w="80" w:type="dxa"/>
              <w:end w:w="100" w:type="dxa"/>
            </w:tcMar>
          </w:tcPr>
          <w:p>
            <w:r>
              <w:rPr>
                <w:sz w:val="17"/>
              </w:rPr>
              <w:t>One small EC2 + Docker Compose + Nginx</w:t>
            </w:r>
          </w:p>
        </w:tc>
      </w:tr>
      <w:tr>
        <w:trPr>
          <w:cantSplit/>
        </w:trPr>
        <w:tc>
          <w:tcPr>
            <w:tcW w:type="dxa" w:w="3024"/>
            <w:vAlign w:val="center"/>
            <w:tcMar>
              <w:top w:w="80" w:type="dxa"/>
              <w:start w:w="100" w:type="dxa"/>
              <w:bottom w:w="80" w:type="dxa"/>
              <w:end w:w="100" w:type="dxa"/>
            </w:tcMar>
          </w:tcPr>
          <w:p>
            <w:r>
              <w:rPr>
                <w:sz w:val="17"/>
              </w:rPr>
              <w:t>IaC</w:t>
            </w:r>
          </w:p>
        </w:tc>
        <w:tc>
          <w:tcPr>
            <w:tcW w:type="dxa" w:w="7056"/>
            <w:vAlign w:val="center"/>
            <w:tcMar>
              <w:top w:w="80" w:type="dxa"/>
              <w:start w:w="100" w:type="dxa"/>
              <w:bottom w:w="80" w:type="dxa"/>
              <w:end w:w="100" w:type="dxa"/>
            </w:tcMar>
          </w:tcPr>
          <w:p>
            <w:r>
              <w:rPr>
                <w:sz w:val="17"/>
              </w:rPr>
              <w:t>Optional at V1; add Terraform before environments become difficult to reproduce</w:t>
            </w:r>
          </w:p>
        </w:tc>
      </w:tr>
      <w:tr>
        <w:trPr>
          <w:cantSplit/>
        </w:trPr>
        <w:tc>
          <w:tcPr>
            <w:tcW w:type="dxa" w:w="3024"/>
            <w:vAlign w:val="center"/>
            <w:tcMar>
              <w:top w:w="80" w:type="dxa"/>
              <w:start w:w="100" w:type="dxa"/>
              <w:bottom w:w="80" w:type="dxa"/>
              <w:end w:w="100" w:type="dxa"/>
            </w:tcMar>
          </w:tcPr>
          <w:p>
            <w:r>
              <w:rPr>
                <w:sz w:val="17"/>
              </w:rPr>
              <w:t>Observability</w:t>
            </w:r>
          </w:p>
        </w:tc>
        <w:tc>
          <w:tcPr>
            <w:tcW w:type="dxa" w:w="7056"/>
            <w:vAlign w:val="center"/>
            <w:tcMar>
              <w:top w:w="80" w:type="dxa"/>
              <w:start w:w="100" w:type="dxa"/>
              <w:bottom w:w="80" w:type="dxa"/>
              <w:end w:w="100" w:type="dxa"/>
            </w:tcMar>
          </w:tcPr>
          <w:p>
            <w:r>
              <w:rPr>
                <w:sz w:val="17"/>
              </w:rPr>
              <w:t>Structured application logs first; OpenTelemetry/CloudWatch as operational needs grow</w:t>
            </w:r>
          </w:p>
        </w:tc>
      </w:tr>
    </w:tbl>
    <w:p>
      <w:pPr>
        <w:spacing w:after="20"/>
      </w:pPr>
    </w:p>
    <w:p>
      <w:pPr>
        <w:pStyle w:val="Heading1"/>
      </w:pPr>
      <w:r>
        <w:t>12. Delivery Roadmap</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1728"/>
            <w:shd w:fill="17365D"/>
            <w:vAlign w:val="center"/>
            <w:tcMar>
              <w:top w:w="80" w:type="dxa"/>
              <w:start w:w="100" w:type="dxa"/>
              <w:bottom w:w="80" w:type="dxa"/>
              <w:end w:w="100" w:type="dxa"/>
            </w:tcMar>
          </w:tcPr>
          <w:p>
            <w:r>
              <w:rPr>
                <w:b/>
                <w:color w:val="FFFFFF"/>
                <w:sz w:val="18"/>
              </w:rPr>
              <w:t>Phase</w:t>
            </w:r>
          </w:p>
        </w:tc>
        <w:tc>
          <w:tcPr>
            <w:tcW w:type="dxa" w:w="8352"/>
            <w:shd w:fill="17365D"/>
            <w:vAlign w:val="center"/>
            <w:tcMar>
              <w:top w:w="80" w:type="dxa"/>
              <w:start w:w="100" w:type="dxa"/>
              <w:bottom w:w="80" w:type="dxa"/>
              <w:end w:w="100" w:type="dxa"/>
            </w:tcMar>
          </w:tcPr>
          <w:p>
            <w:r>
              <w:rPr>
                <w:b/>
                <w:color w:val="FFFFFF"/>
                <w:sz w:val="18"/>
              </w:rPr>
              <w:t>Build</w:t>
            </w:r>
          </w:p>
        </w:tc>
      </w:tr>
      <w:tr>
        <w:trPr>
          <w:cantSplit/>
        </w:trPr>
        <w:tc>
          <w:tcPr>
            <w:tcW w:type="dxa" w:w="1728"/>
            <w:vAlign w:val="center"/>
            <w:tcMar>
              <w:top w:w="80" w:type="dxa"/>
              <w:start w:w="100" w:type="dxa"/>
              <w:bottom w:w="80" w:type="dxa"/>
              <w:end w:w="100" w:type="dxa"/>
            </w:tcMar>
          </w:tcPr>
          <w:p>
            <w:r>
              <w:rPr>
                <w:sz w:val="17"/>
              </w:rPr>
              <w:t>1. Foundation</w:t>
            </w:r>
          </w:p>
        </w:tc>
        <w:tc>
          <w:tcPr>
            <w:tcW w:type="dxa" w:w="8352"/>
            <w:vAlign w:val="center"/>
            <w:tcMar>
              <w:top w:w="80" w:type="dxa"/>
              <w:start w:w="100" w:type="dxa"/>
              <w:bottom w:w="80" w:type="dxa"/>
              <w:end w:w="100" w:type="dxa"/>
            </w:tcMar>
          </w:tcPr>
          <w:p>
            <w:r>
              <w:rPr>
                <w:sz w:val="17"/>
              </w:rPr>
              <w:t>One-EC2 deployment, remote Supabase Postgres/Storage, auth, candidate profile, resume parser, dashboard, extension capture, basic matching, resume/email/DM generation, application tracker.</w:t>
            </w:r>
          </w:p>
        </w:tc>
      </w:tr>
      <w:tr>
        <w:trPr>
          <w:cantSplit/>
        </w:trPr>
        <w:tc>
          <w:tcPr>
            <w:tcW w:type="dxa" w:w="1728"/>
            <w:vAlign w:val="center"/>
            <w:tcMar>
              <w:top w:w="80" w:type="dxa"/>
              <w:start w:w="100" w:type="dxa"/>
              <w:bottom w:w="80" w:type="dxa"/>
              <w:end w:w="100" w:type="dxa"/>
            </w:tcMar>
          </w:tcPr>
          <w:p>
            <w:r>
              <w:rPr>
                <w:sz w:val="17"/>
              </w:rPr>
              <w:t>2. Discovery</w:t>
            </w:r>
          </w:p>
        </w:tc>
        <w:tc>
          <w:tcPr>
            <w:tcW w:type="dxa" w:w="8352"/>
            <w:vAlign w:val="center"/>
            <w:tcMar>
              <w:top w:w="80" w:type="dxa"/>
              <w:start w:w="100" w:type="dxa"/>
              <w:bottom w:w="80" w:type="dxa"/>
              <w:end w:w="100" w:type="dxa"/>
            </w:tcMar>
          </w:tcPr>
          <w:p>
            <w:r>
              <w:rPr>
                <w:sz w:val="17"/>
              </w:rPr>
              <w:t>Greenhouse/Lever/Ashby/company careers, imports, scheduled discovery, normalization, deduplication.</w:t>
            </w:r>
          </w:p>
        </w:tc>
      </w:tr>
      <w:tr>
        <w:trPr>
          <w:cantSplit/>
        </w:trPr>
        <w:tc>
          <w:tcPr>
            <w:tcW w:type="dxa" w:w="1728"/>
            <w:vAlign w:val="center"/>
            <w:tcMar>
              <w:top w:w="80" w:type="dxa"/>
              <w:start w:w="100" w:type="dxa"/>
              <w:bottom w:w="80" w:type="dxa"/>
              <w:end w:w="100" w:type="dxa"/>
            </w:tcMar>
          </w:tcPr>
          <w:p>
            <w:r>
              <w:rPr>
                <w:sz w:val="17"/>
              </w:rPr>
              <w:t>3. Outreach</w:t>
            </w:r>
          </w:p>
        </w:tc>
        <w:tc>
          <w:tcPr>
            <w:tcW w:type="dxa" w:w="8352"/>
            <w:vAlign w:val="center"/>
            <w:tcMar>
              <w:top w:w="80" w:type="dxa"/>
              <w:start w:w="100" w:type="dxa"/>
              <w:bottom w:w="80" w:type="dxa"/>
              <w:end w:w="100" w:type="dxa"/>
            </w:tcMar>
          </w:tcPr>
          <w:p>
            <w:r>
              <w:rPr>
                <w:sz w:val="17"/>
              </w:rPr>
              <w:t>AI/public-web recruiter discovery first, optional ContactOut/Hunter fallback, Gmail/Outlook OAuth, approval workflow, DB-backed async email worker, follow-ups.</w:t>
            </w:r>
          </w:p>
        </w:tc>
      </w:tr>
      <w:tr>
        <w:trPr>
          <w:cantSplit/>
        </w:trPr>
        <w:tc>
          <w:tcPr>
            <w:tcW w:type="dxa" w:w="1728"/>
            <w:vAlign w:val="center"/>
            <w:tcMar>
              <w:top w:w="80" w:type="dxa"/>
              <w:start w:w="100" w:type="dxa"/>
              <w:bottom w:w="80" w:type="dxa"/>
              <w:end w:w="100" w:type="dxa"/>
            </w:tcMar>
          </w:tcPr>
          <w:p>
            <w:r>
              <w:rPr>
                <w:sz w:val="17"/>
              </w:rPr>
              <w:t>4. MCP</w:t>
            </w:r>
          </w:p>
        </w:tc>
        <w:tc>
          <w:tcPr>
            <w:tcW w:type="dxa" w:w="8352"/>
            <w:vAlign w:val="center"/>
            <w:tcMar>
              <w:top w:w="80" w:type="dxa"/>
              <w:start w:w="100" w:type="dxa"/>
              <w:bottom w:w="80" w:type="dxa"/>
              <w:end w:w="100" w:type="dxa"/>
            </w:tcMar>
          </w:tcPr>
          <w:p>
            <w:r>
              <w:rPr>
                <w:sz w:val="17"/>
              </w:rPr>
              <w:t>Expose job search/analysis, resume generation, outreach generation, and application management.</w:t>
            </w:r>
          </w:p>
        </w:tc>
      </w:tr>
      <w:tr>
        <w:trPr>
          <w:cantSplit/>
        </w:trPr>
        <w:tc>
          <w:tcPr>
            <w:tcW w:type="dxa" w:w="1728"/>
            <w:vAlign w:val="center"/>
            <w:tcMar>
              <w:top w:w="80" w:type="dxa"/>
              <w:start w:w="100" w:type="dxa"/>
              <w:bottom w:w="80" w:type="dxa"/>
              <w:end w:w="100" w:type="dxa"/>
            </w:tcMar>
          </w:tcPr>
          <w:p>
            <w:r>
              <w:rPr>
                <w:sz w:val="17"/>
              </w:rPr>
              <w:t>5. Intelligence</w:t>
            </w:r>
          </w:p>
        </w:tc>
        <w:tc>
          <w:tcPr>
            <w:tcW w:type="dxa" w:w="8352"/>
            <w:vAlign w:val="center"/>
            <w:tcMar>
              <w:top w:w="80" w:type="dxa"/>
              <w:start w:w="100" w:type="dxa"/>
              <w:bottom w:w="80" w:type="dxa"/>
              <w:end w:w="100" w:type="dxa"/>
            </w:tcMar>
          </w:tcPr>
          <w:p>
            <w:r>
              <w:rPr>
                <w:sz w:val="17"/>
              </w:rPr>
              <w:t>Outcome analytics, ranking feedback, resume/template performance, response analytics.</w:t>
            </w:r>
          </w:p>
        </w:tc>
      </w:tr>
      <w:tr>
        <w:trPr>
          <w:cantSplit/>
        </w:trPr>
        <w:tc>
          <w:tcPr>
            <w:tcW w:type="dxa" w:w="1728"/>
            <w:vAlign w:val="center"/>
            <w:tcMar>
              <w:top w:w="80" w:type="dxa"/>
              <w:start w:w="100" w:type="dxa"/>
              <w:bottom w:w="80" w:type="dxa"/>
              <w:end w:w="100" w:type="dxa"/>
            </w:tcMar>
          </w:tcPr>
          <w:p>
            <w:r>
              <w:rPr>
                <w:sz w:val="17"/>
              </w:rPr>
              <w:t>6. Scale</w:t>
            </w:r>
          </w:p>
        </w:tc>
        <w:tc>
          <w:tcPr>
            <w:tcW w:type="dxa" w:w="8352"/>
            <w:vAlign w:val="center"/>
            <w:tcMar>
              <w:top w:w="80" w:type="dxa"/>
              <w:start w:w="100" w:type="dxa"/>
              <w:bottom w:w="80" w:type="dxa"/>
              <w:end w:w="100" w:type="dxa"/>
            </w:tcMar>
          </w:tcPr>
          <w:p>
            <w:r>
              <w:rPr>
                <w:sz w:val="17"/>
              </w:rPr>
              <w:t>Only as measured needs justify: S3/SQS, paid DB/storage, OpenSearch, Redis, more service splits, Kafka, ECS/EKS, learned ranking models, RAG.</w:t>
            </w:r>
          </w:p>
        </w:tc>
      </w:tr>
    </w:tbl>
    <w:p>
      <w:pPr>
        <w:spacing w:after="20"/>
      </w:pPr>
    </w:p>
    <w:p>
      <w:pPr>
        <w:pStyle w:val="Heading1"/>
      </w:pPr>
      <w:r>
        <w:t>13. Final Target Model &amp; Architecture Decisions</w:t>
      </w:r>
    </w:p>
    <w:p>
      <w:pPr>
        <w:pStyle w:val="Code"/>
      </w:pPr>
      <w:r>
        <w:t xml:space="preserve">                 ┌──────── Web ─────────┐</w:t>
        <w:br/>
        <w:t xml:space="preserve">                 │                      │</w:t>
        <w:br/>
        <w:t>Sources → YOUR JOB PLATFORM ← Extension</w:t>
        <w:br/>
        <w:t xml:space="preserve">                 │                      │</w:t>
        <w:br/>
        <w:t xml:space="preserve">                 └──────── MCP ─────────┘</w:t>
        <w:br/>
        <w:t xml:space="preserve">                          │</w:t>
        <w:br/>
        <w:t xml:space="preserve">                          ▼</w:t>
        <w:br/>
        <w:t xml:space="preserve">                          AI</w:t>
      </w:r>
    </w:p>
    <w:p>
      <w:r>
        <w:t>The durable product is the combination of Candidate Profile + Job Graph + Application History + Resume Engine + Recruiter Intelligence + Approval Engine. Portals, models, browser extension, and MCP are replaceable adapters around that core.</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232"/>
            <w:shd w:fill="17365D"/>
            <w:vAlign w:val="center"/>
            <w:tcMar>
              <w:top w:w="80" w:type="dxa"/>
              <w:start w:w="100" w:type="dxa"/>
              <w:bottom w:w="80" w:type="dxa"/>
              <w:end w:w="100" w:type="dxa"/>
            </w:tcMar>
          </w:tcPr>
          <w:p>
            <w:r>
              <w:rPr>
                <w:b/>
                <w:color w:val="FFFFFF"/>
                <w:sz w:val="18"/>
              </w:rPr>
              <w:t>Decision</w:t>
            </w:r>
          </w:p>
        </w:tc>
        <w:tc>
          <w:tcPr>
            <w:tcW w:type="dxa" w:w="3384"/>
            <w:shd w:fill="17365D"/>
            <w:vAlign w:val="center"/>
            <w:tcMar>
              <w:top w:w="80" w:type="dxa"/>
              <w:start w:w="100" w:type="dxa"/>
              <w:bottom w:w="80" w:type="dxa"/>
              <w:end w:w="100" w:type="dxa"/>
            </w:tcMar>
          </w:tcPr>
          <w:p>
            <w:r>
              <w:rPr>
                <w:b/>
                <w:color w:val="FFFFFF"/>
                <w:sz w:val="18"/>
              </w:rPr>
              <w:t>V1 choice</w:t>
            </w:r>
          </w:p>
        </w:tc>
        <w:tc>
          <w:tcPr>
            <w:tcW w:type="dxa" w:w="4752"/>
            <w:shd w:fill="17365D"/>
            <w:vAlign w:val="center"/>
            <w:tcMar>
              <w:top w:w="80" w:type="dxa"/>
              <w:start w:w="100" w:type="dxa"/>
              <w:bottom w:w="80" w:type="dxa"/>
              <w:end w:w="100" w:type="dxa"/>
            </w:tcMar>
          </w:tcPr>
          <w:p>
            <w:r>
              <w:rPr>
                <w:b/>
                <w:color w:val="FFFFFF"/>
                <w:sz w:val="18"/>
              </w:rPr>
              <w:t>Later trigger</w:t>
            </w:r>
          </w:p>
        </w:tc>
      </w:tr>
      <w:tr>
        <w:trPr>
          <w:cantSplit/>
        </w:trPr>
        <w:tc>
          <w:tcPr>
            <w:tcW w:type="dxa" w:w="2232"/>
            <w:vAlign w:val="center"/>
            <w:tcMar>
              <w:top w:w="80" w:type="dxa"/>
              <w:start w:w="100" w:type="dxa"/>
              <w:bottom w:w="80" w:type="dxa"/>
              <w:end w:w="100" w:type="dxa"/>
            </w:tcMar>
          </w:tcPr>
          <w:p>
            <w:r>
              <w:rPr>
                <w:sz w:val="17"/>
              </w:rPr>
              <w:t>Compute</w:t>
            </w:r>
          </w:p>
        </w:tc>
        <w:tc>
          <w:tcPr>
            <w:tcW w:type="dxa" w:w="3384"/>
            <w:vAlign w:val="center"/>
            <w:tcMar>
              <w:top w:w="80" w:type="dxa"/>
              <w:start w:w="100" w:type="dxa"/>
              <w:bottom w:w="80" w:type="dxa"/>
              <w:end w:w="100" w:type="dxa"/>
            </w:tcMar>
          </w:tcPr>
          <w:p>
            <w:r>
              <w:rPr>
                <w:sz w:val="17"/>
              </w:rPr>
              <w:t>One small EC2</w:t>
            </w:r>
          </w:p>
        </w:tc>
        <w:tc>
          <w:tcPr>
            <w:tcW w:type="dxa" w:w="4752"/>
            <w:vAlign w:val="center"/>
            <w:tcMar>
              <w:top w:w="80" w:type="dxa"/>
              <w:start w:w="100" w:type="dxa"/>
              <w:bottom w:w="80" w:type="dxa"/>
              <w:end w:w="100" w:type="dxa"/>
            </w:tcMar>
          </w:tcPr>
          <w:p>
            <w:r>
              <w:rPr>
                <w:sz w:val="17"/>
              </w:rPr>
              <w:t>Move workers/services when CPU, memory, availability, or scaling needs require it.</w:t>
            </w:r>
          </w:p>
        </w:tc>
      </w:tr>
      <w:tr>
        <w:trPr>
          <w:cantSplit/>
        </w:trPr>
        <w:tc>
          <w:tcPr>
            <w:tcW w:type="dxa" w:w="2232"/>
            <w:vAlign w:val="center"/>
            <w:tcMar>
              <w:top w:w="80" w:type="dxa"/>
              <w:start w:w="100" w:type="dxa"/>
              <w:bottom w:w="80" w:type="dxa"/>
              <w:end w:w="100" w:type="dxa"/>
            </w:tcMar>
          </w:tcPr>
          <w:p>
            <w:r>
              <w:rPr>
                <w:sz w:val="17"/>
              </w:rPr>
              <w:t>Database</w:t>
            </w:r>
          </w:p>
        </w:tc>
        <w:tc>
          <w:tcPr>
            <w:tcW w:type="dxa" w:w="3384"/>
            <w:vAlign w:val="center"/>
            <w:tcMar>
              <w:top w:w="80" w:type="dxa"/>
              <w:start w:w="100" w:type="dxa"/>
              <w:bottom w:w="80" w:type="dxa"/>
              <w:end w:w="100" w:type="dxa"/>
            </w:tcMar>
          </w:tcPr>
          <w:p>
            <w:r>
              <w:rPr>
                <w:sz w:val="17"/>
              </w:rPr>
              <w:t>Supabase Postgres free tier</w:t>
            </w:r>
          </w:p>
        </w:tc>
        <w:tc>
          <w:tcPr>
            <w:tcW w:type="dxa" w:w="4752"/>
            <w:vAlign w:val="center"/>
            <w:tcMar>
              <w:top w:w="80" w:type="dxa"/>
              <w:start w:w="100" w:type="dxa"/>
              <w:bottom w:w="80" w:type="dxa"/>
              <w:end w:w="100" w:type="dxa"/>
            </w:tcMar>
          </w:tcPr>
          <w:p>
            <w:r>
              <w:rPr>
                <w:sz w:val="17"/>
              </w:rPr>
              <w:t>Upgrade/migrate when limits, uptime, backups, or production SLA needs require it.</w:t>
            </w:r>
          </w:p>
        </w:tc>
      </w:tr>
      <w:tr>
        <w:trPr>
          <w:cantSplit/>
        </w:trPr>
        <w:tc>
          <w:tcPr>
            <w:tcW w:type="dxa" w:w="2232"/>
            <w:vAlign w:val="center"/>
            <w:tcMar>
              <w:top w:w="80" w:type="dxa"/>
              <w:start w:w="100" w:type="dxa"/>
              <w:bottom w:w="80" w:type="dxa"/>
              <w:end w:w="100" w:type="dxa"/>
            </w:tcMar>
          </w:tcPr>
          <w:p>
            <w:r>
              <w:rPr>
                <w:sz w:val="17"/>
              </w:rPr>
              <w:t>Object storage</w:t>
            </w:r>
          </w:p>
        </w:tc>
        <w:tc>
          <w:tcPr>
            <w:tcW w:type="dxa" w:w="3384"/>
            <w:vAlign w:val="center"/>
            <w:tcMar>
              <w:top w:w="80" w:type="dxa"/>
              <w:start w:w="100" w:type="dxa"/>
              <w:bottom w:w="80" w:type="dxa"/>
              <w:end w:w="100" w:type="dxa"/>
            </w:tcMar>
          </w:tcPr>
          <w:p>
            <w:r>
              <w:rPr>
                <w:sz w:val="17"/>
              </w:rPr>
              <w:t>Supabase Storage</w:t>
            </w:r>
          </w:p>
        </w:tc>
        <w:tc>
          <w:tcPr>
            <w:tcW w:type="dxa" w:w="4752"/>
            <w:vAlign w:val="center"/>
            <w:tcMar>
              <w:top w:w="80" w:type="dxa"/>
              <w:start w:w="100" w:type="dxa"/>
              <w:bottom w:w="80" w:type="dxa"/>
              <w:end w:w="100" w:type="dxa"/>
            </w:tcMar>
          </w:tcPr>
          <w:p>
            <w:r>
              <w:rPr>
                <w:sz w:val="17"/>
              </w:rPr>
              <w:t>Move to S3 when AWS consolidation, scale, lifecycle policies, or storage limits justify it.</w:t>
            </w:r>
          </w:p>
        </w:tc>
      </w:tr>
      <w:tr>
        <w:trPr>
          <w:cantSplit/>
        </w:trPr>
        <w:tc>
          <w:tcPr>
            <w:tcW w:type="dxa" w:w="2232"/>
            <w:vAlign w:val="center"/>
            <w:tcMar>
              <w:top w:w="80" w:type="dxa"/>
              <w:start w:w="100" w:type="dxa"/>
              <w:bottom w:w="80" w:type="dxa"/>
              <w:end w:w="100" w:type="dxa"/>
            </w:tcMar>
          </w:tcPr>
          <w:p>
            <w:r>
              <w:rPr>
                <w:sz w:val="17"/>
              </w:rPr>
              <w:t>Async queue</w:t>
            </w:r>
          </w:p>
        </w:tc>
        <w:tc>
          <w:tcPr>
            <w:tcW w:type="dxa" w:w="3384"/>
            <w:vAlign w:val="center"/>
            <w:tcMar>
              <w:top w:w="80" w:type="dxa"/>
              <w:start w:w="100" w:type="dxa"/>
              <w:bottom w:w="80" w:type="dxa"/>
              <w:end w:w="100" w:type="dxa"/>
            </w:tcMar>
          </w:tcPr>
          <w:p>
            <w:r>
              <w:rPr>
                <w:sz w:val="17"/>
              </w:rPr>
              <w:t>Postgres outbox/jobs</w:t>
            </w:r>
          </w:p>
        </w:tc>
        <w:tc>
          <w:tcPr>
            <w:tcW w:type="dxa" w:w="4752"/>
            <w:vAlign w:val="center"/>
            <w:tcMar>
              <w:top w:w="80" w:type="dxa"/>
              <w:start w:w="100" w:type="dxa"/>
              <w:bottom w:w="80" w:type="dxa"/>
              <w:end w:w="100" w:type="dxa"/>
            </w:tcMar>
          </w:tcPr>
          <w:p>
            <w:r>
              <w:rPr>
                <w:sz w:val="17"/>
              </w:rPr>
              <w:t>Move to SQS + DLQ when concurrency/retry isolation/throughput warrants it.</w:t>
            </w:r>
          </w:p>
        </w:tc>
      </w:tr>
      <w:tr>
        <w:trPr>
          <w:cantSplit/>
        </w:trPr>
        <w:tc>
          <w:tcPr>
            <w:tcW w:type="dxa" w:w="2232"/>
            <w:vAlign w:val="center"/>
            <w:tcMar>
              <w:top w:w="80" w:type="dxa"/>
              <w:start w:w="100" w:type="dxa"/>
              <w:bottom w:w="80" w:type="dxa"/>
              <w:end w:w="100" w:type="dxa"/>
            </w:tcMar>
          </w:tcPr>
          <w:p>
            <w:r>
              <w:rPr>
                <w:sz w:val="17"/>
              </w:rPr>
              <w:t>Recruiter data</w:t>
            </w:r>
          </w:p>
        </w:tc>
        <w:tc>
          <w:tcPr>
            <w:tcW w:type="dxa" w:w="3384"/>
            <w:vAlign w:val="center"/>
            <w:tcMar>
              <w:top w:w="80" w:type="dxa"/>
              <w:start w:w="100" w:type="dxa"/>
              <w:bottom w:w="80" w:type="dxa"/>
              <w:end w:w="100" w:type="dxa"/>
            </w:tcMar>
          </w:tcPr>
          <w:p>
            <w:r>
              <w:rPr>
                <w:sz w:val="17"/>
              </w:rPr>
              <w:t>AI/public web first</w:t>
            </w:r>
          </w:p>
        </w:tc>
        <w:tc>
          <w:tcPr>
            <w:tcW w:type="dxa" w:w="4752"/>
            <w:vAlign w:val="center"/>
            <w:tcMar>
              <w:top w:w="80" w:type="dxa"/>
              <w:start w:w="100" w:type="dxa"/>
              <w:bottom w:w="80" w:type="dxa"/>
              <w:end w:w="100" w:type="dxa"/>
            </w:tcMar>
          </w:tcPr>
          <w:p>
            <w:r>
              <w:rPr>
                <w:sz w:val="17"/>
              </w:rPr>
              <w:t>Use paid ContactOut/Hunter/API credits only for high-value unresolved contacts.</w:t>
            </w:r>
          </w:p>
        </w:tc>
      </w:tr>
      <w:tr>
        <w:trPr>
          <w:cantSplit/>
        </w:trPr>
        <w:tc>
          <w:tcPr>
            <w:tcW w:type="dxa" w:w="2232"/>
            <w:vAlign w:val="center"/>
            <w:tcMar>
              <w:top w:w="80" w:type="dxa"/>
              <w:start w:w="100" w:type="dxa"/>
              <w:bottom w:w="80" w:type="dxa"/>
              <w:end w:w="100" w:type="dxa"/>
            </w:tcMar>
          </w:tcPr>
          <w:p>
            <w:r>
              <w:rPr>
                <w:sz w:val="17"/>
              </w:rPr>
              <w:t>LocalStack</w:t>
            </w:r>
          </w:p>
        </w:tc>
        <w:tc>
          <w:tcPr>
            <w:tcW w:type="dxa" w:w="3384"/>
            <w:vAlign w:val="center"/>
            <w:tcMar>
              <w:top w:w="80" w:type="dxa"/>
              <w:start w:w="100" w:type="dxa"/>
              <w:bottom w:w="80" w:type="dxa"/>
              <w:end w:w="100" w:type="dxa"/>
            </w:tcMar>
          </w:tcPr>
          <w:p>
            <w:r>
              <w:rPr>
                <w:sz w:val="17"/>
              </w:rPr>
              <w:t>Optional dev only</w:t>
            </w:r>
          </w:p>
        </w:tc>
        <w:tc>
          <w:tcPr>
            <w:tcW w:type="dxa" w:w="4752"/>
            <w:vAlign w:val="center"/>
            <w:tcMar>
              <w:top w:w="80" w:type="dxa"/>
              <w:start w:w="100" w:type="dxa"/>
              <w:bottom w:w="80" w:type="dxa"/>
              <w:end w:w="100" w:type="dxa"/>
            </w:tcMar>
          </w:tcPr>
          <w:p>
            <w:r>
              <w:rPr>
                <w:sz w:val="17"/>
              </w:rPr>
              <w:t>Use for AWS integration tests; commercial usage may require a paid license.</w:t>
            </w:r>
          </w:p>
        </w:tc>
      </w:tr>
      <w:tr>
        <w:trPr>
          <w:cantSplit/>
        </w:trPr>
        <w:tc>
          <w:tcPr>
            <w:tcW w:type="dxa" w:w="2232"/>
            <w:vAlign w:val="center"/>
            <w:tcMar>
              <w:top w:w="80" w:type="dxa"/>
              <w:start w:w="100" w:type="dxa"/>
              <w:bottom w:w="80" w:type="dxa"/>
              <w:end w:w="100" w:type="dxa"/>
            </w:tcMar>
          </w:tcPr>
          <w:p>
            <w:r>
              <w:rPr>
                <w:sz w:val="17"/>
              </w:rPr>
              <w:t>Redis</w:t>
            </w:r>
          </w:p>
        </w:tc>
        <w:tc>
          <w:tcPr>
            <w:tcW w:type="dxa" w:w="3384"/>
            <w:vAlign w:val="center"/>
            <w:tcMar>
              <w:top w:w="80" w:type="dxa"/>
              <w:start w:w="100" w:type="dxa"/>
              <w:bottom w:w="80" w:type="dxa"/>
              <w:end w:w="100" w:type="dxa"/>
            </w:tcMar>
          </w:tcPr>
          <w:p>
            <w:r>
              <w:rPr>
                <w:sz w:val="17"/>
              </w:rPr>
              <w:t>Do not use</w:t>
            </w:r>
          </w:p>
        </w:tc>
        <w:tc>
          <w:tcPr>
            <w:tcW w:type="dxa" w:w="4752"/>
            <w:vAlign w:val="center"/>
            <w:tcMar>
              <w:top w:w="80" w:type="dxa"/>
              <w:start w:w="100" w:type="dxa"/>
              <w:bottom w:w="80" w:type="dxa"/>
              <w:end w:w="100" w:type="dxa"/>
            </w:tcMar>
          </w:tcPr>
          <w:p>
            <w:r>
              <w:rPr>
                <w:sz w:val="17"/>
              </w:rPr>
              <w:t>Need high-volume cache, distributed locks, rate limiting, or fast ephemeral coordination.</w:t>
            </w:r>
          </w:p>
        </w:tc>
      </w:tr>
      <w:tr>
        <w:trPr>
          <w:cantSplit/>
        </w:trPr>
        <w:tc>
          <w:tcPr>
            <w:tcW w:type="dxa" w:w="2232"/>
            <w:vAlign w:val="center"/>
            <w:tcMar>
              <w:top w:w="80" w:type="dxa"/>
              <w:start w:w="100" w:type="dxa"/>
              <w:bottom w:w="80" w:type="dxa"/>
              <w:end w:w="100" w:type="dxa"/>
            </w:tcMar>
          </w:tcPr>
          <w:p>
            <w:r>
              <w:rPr>
                <w:sz w:val="17"/>
              </w:rPr>
              <w:t>RAG</w:t>
            </w:r>
          </w:p>
        </w:tc>
        <w:tc>
          <w:tcPr>
            <w:tcW w:type="dxa" w:w="3384"/>
            <w:vAlign w:val="center"/>
            <w:tcMar>
              <w:top w:w="80" w:type="dxa"/>
              <w:start w:w="100" w:type="dxa"/>
              <w:bottom w:w="80" w:type="dxa"/>
              <w:end w:w="100" w:type="dxa"/>
            </w:tcMar>
          </w:tcPr>
          <w:p>
            <w:r>
              <w:rPr>
                <w:sz w:val="17"/>
              </w:rPr>
              <w:t>Do not use</w:t>
            </w:r>
          </w:p>
        </w:tc>
        <w:tc>
          <w:tcPr>
            <w:tcW w:type="dxa" w:w="4752"/>
            <w:vAlign w:val="center"/>
            <w:tcMar>
              <w:top w:w="80" w:type="dxa"/>
              <w:start w:w="100" w:type="dxa"/>
              <w:bottom w:w="80" w:type="dxa"/>
              <w:end w:w="100" w:type="dxa"/>
            </w:tcMar>
          </w:tcPr>
          <w:p>
            <w:r>
              <w:rPr>
                <w:sz w:val="17"/>
              </w:rPr>
              <w:t>Candidate/private context becomes too large for direct prompting or retrieval becomes a product need.</w:t>
            </w:r>
          </w:p>
        </w:tc>
      </w:tr>
      <w:tr>
        <w:trPr>
          <w:cantSplit/>
        </w:trPr>
        <w:tc>
          <w:tcPr>
            <w:tcW w:type="dxa" w:w="2232"/>
            <w:vAlign w:val="center"/>
            <w:tcMar>
              <w:top w:w="80" w:type="dxa"/>
              <w:start w:w="100" w:type="dxa"/>
              <w:bottom w:w="80" w:type="dxa"/>
              <w:end w:w="100" w:type="dxa"/>
            </w:tcMar>
          </w:tcPr>
          <w:p>
            <w:r>
              <w:rPr>
                <w:sz w:val="17"/>
              </w:rPr>
              <w:t>OpenSearch</w:t>
            </w:r>
          </w:p>
        </w:tc>
        <w:tc>
          <w:tcPr>
            <w:tcW w:type="dxa" w:w="3384"/>
            <w:vAlign w:val="center"/>
            <w:tcMar>
              <w:top w:w="80" w:type="dxa"/>
              <w:start w:w="100" w:type="dxa"/>
              <w:bottom w:w="80" w:type="dxa"/>
              <w:end w:w="100" w:type="dxa"/>
            </w:tcMar>
          </w:tcPr>
          <w:p>
            <w:r>
              <w:rPr>
                <w:sz w:val="17"/>
              </w:rPr>
              <w:t>Do not use</w:t>
            </w:r>
          </w:p>
        </w:tc>
        <w:tc>
          <w:tcPr>
            <w:tcW w:type="dxa" w:w="4752"/>
            <w:vAlign w:val="center"/>
            <w:tcMar>
              <w:top w:w="80" w:type="dxa"/>
              <w:start w:w="100" w:type="dxa"/>
              <w:bottom w:w="80" w:type="dxa"/>
              <w:end w:w="100" w:type="dxa"/>
            </w:tcMar>
          </w:tcPr>
          <w:p>
            <w:r>
              <w:rPr>
                <w:sz w:val="17"/>
              </w:rPr>
              <w:t>Millions of jobs, facets/autocomplete, or Postgres search becomes insufficient.</w:t>
            </w:r>
          </w:p>
        </w:tc>
      </w:tr>
      <w:tr>
        <w:trPr>
          <w:cantSplit/>
        </w:trPr>
        <w:tc>
          <w:tcPr>
            <w:tcW w:type="dxa" w:w="2232"/>
            <w:vAlign w:val="center"/>
            <w:tcMar>
              <w:top w:w="80" w:type="dxa"/>
              <w:start w:w="100" w:type="dxa"/>
              <w:bottom w:w="80" w:type="dxa"/>
              <w:end w:w="100" w:type="dxa"/>
            </w:tcMar>
          </w:tcPr>
          <w:p>
            <w:r>
              <w:rPr>
                <w:sz w:val="17"/>
              </w:rPr>
              <w:t>Kubernetes/Kafka</w:t>
            </w:r>
          </w:p>
        </w:tc>
        <w:tc>
          <w:tcPr>
            <w:tcW w:type="dxa" w:w="3384"/>
            <w:vAlign w:val="center"/>
            <w:tcMar>
              <w:top w:w="80" w:type="dxa"/>
              <w:start w:w="100" w:type="dxa"/>
              <w:bottom w:w="80" w:type="dxa"/>
              <w:end w:w="100" w:type="dxa"/>
            </w:tcMar>
          </w:tcPr>
          <w:p>
            <w:r>
              <w:rPr>
                <w:sz w:val="17"/>
              </w:rPr>
              <w:t>Do not use</w:t>
            </w:r>
          </w:p>
        </w:tc>
        <w:tc>
          <w:tcPr>
            <w:tcW w:type="dxa" w:w="4752"/>
            <w:vAlign w:val="center"/>
            <w:tcMar>
              <w:top w:w="80" w:type="dxa"/>
              <w:start w:w="100" w:type="dxa"/>
              <w:bottom w:w="80" w:type="dxa"/>
              <w:end w:w="100" w:type="dxa"/>
            </w:tcMar>
          </w:tcPr>
          <w:p>
            <w:r>
              <w:rPr>
                <w:sz w:val="17"/>
              </w:rPr>
              <w:t>Measured scale/operational requirements justify them.</w:t>
            </w:r>
          </w:p>
        </w:tc>
      </w:tr>
      <w:tr>
        <w:trPr>
          <w:cantSplit/>
        </w:trPr>
        <w:tc>
          <w:tcPr>
            <w:tcW w:type="dxa" w:w="2232"/>
            <w:vAlign w:val="center"/>
            <w:tcMar>
              <w:top w:w="80" w:type="dxa"/>
              <w:start w:w="100" w:type="dxa"/>
              <w:bottom w:w="80" w:type="dxa"/>
              <w:end w:w="100" w:type="dxa"/>
            </w:tcMar>
          </w:tcPr>
          <w:p>
            <w:r>
              <w:rPr>
                <w:sz w:val="17"/>
              </w:rPr>
              <w:t>Microservices</w:t>
            </w:r>
          </w:p>
        </w:tc>
        <w:tc>
          <w:tcPr>
            <w:tcW w:type="dxa" w:w="3384"/>
            <w:vAlign w:val="center"/>
            <w:tcMar>
              <w:top w:w="80" w:type="dxa"/>
              <w:start w:w="100" w:type="dxa"/>
              <w:bottom w:w="80" w:type="dxa"/>
              <w:end w:w="100" w:type="dxa"/>
            </w:tcMar>
          </w:tcPr>
          <w:p>
            <w:r>
              <w:rPr>
                <w:sz w:val="17"/>
              </w:rPr>
              <w:t>Keep core modular</w:t>
            </w:r>
          </w:p>
        </w:tc>
        <w:tc>
          <w:tcPr>
            <w:tcW w:type="dxa" w:w="4752"/>
            <w:vAlign w:val="center"/>
            <w:tcMar>
              <w:top w:w="80" w:type="dxa"/>
              <w:start w:w="100" w:type="dxa"/>
              <w:bottom w:w="80" w:type="dxa"/>
              <w:end w:w="100" w:type="dxa"/>
            </w:tcMar>
          </w:tcPr>
          <w:p>
            <w:r>
              <w:rPr>
                <w:sz w:val="17"/>
              </w:rPr>
              <w:t>Split only for independent scaling, ownership, or fault isolation.</w:t>
            </w:r>
          </w:p>
        </w:tc>
      </w:tr>
    </w:tbl>
    <w:p>
      <w:pPr>
        <w:spacing w:after="20"/>
      </w:pP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color w:val="17365D"/>
              </w:rPr>
              <w:t xml:space="preserve">Primary V1 rule — </w:t>
            </w:r>
            <w:r>
              <w:t>Use the cheapest architecture that still preserves correctness, security, recoverability, and clean boundaries. Add paid infrastructure only in response to measured limits or product value—not because it is common in large-system diagrams.</w:t>
            </w:r>
          </w:p>
        </w:tc>
      </w:tr>
    </w:tbl>
    <w:p>
      <w:pPr>
        <w:spacing w:after="20"/>
      </w:pPr>
    </w:p>
    <w:p>
      <w:pPr>
        <w:pStyle w:val="Heading1"/>
      </w:pPr>
      <w:r>
        <w:t>14. V1 Cost Model &amp; Cost-Control Rules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592"/>
            <w:shd w:fill="17365D"/>
            <w:vAlign w:val="center"/>
            <w:tcMar>
              <w:top w:w="80" w:type="dxa"/>
              <w:start w:w="100" w:type="dxa"/>
              <w:bottom w:w="80" w:type="dxa"/>
              <w:end w:w="100" w:type="dxa"/>
            </w:tcMar>
          </w:tcPr>
          <w:p>
            <w:r>
              <w:rPr>
                <w:b/>
                <w:color w:val="FFFFFF"/>
                <w:sz w:val="18"/>
              </w:rPr>
              <w:t>Item</w:t>
            </w:r>
          </w:p>
        </w:tc>
        <w:tc>
          <w:tcPr>
            <w:tcW w:type="dxa" w:w="7488"/>
            <w:shd w:fill="17365D"/>
            <w:vAlign w:val="center"/>
            <w:tcMar>
              <w:top w:w="80" w:type="dxa"/>
              <w:start w:w="100" w:type="dxa"/>
              <w:bottom w:w="80" w:type="dxa"/>
              <w:end w:w="100" w:type="dxa"/>
            </w:tcMar>
          </w:tcPr>
          <w:p>
            <w:r>
              <w:rPr>
                <w:b/>
                <w:color w:val="FFFFFF"/>
                <w:sz w:val="18"/>
              </w:rPr>
              <w:t>V1 cost posture</w:t>
            </w:r>
          </w:p>
        </w:tc>
      </w:tr>
      <w:tr>
        <w:trPr>
          <w:cantSplit/>
        </w:trPr>
        <w:tc>
          <w:tcPr>
            <w:tcW w:type="dxa" w:w="2592"/>
            <w:vAlign w:val="center"/>
            <w:tcMar>
              <w:top w:w="80" w:type="dxa"/>
              <w:start w:w="100" w:type="dxa"/>
              <w:bottom w:w="80" w:type="dxa"/>
              <w:end w:w="100" w:type="dxa"/>
            </w:tcMar>
          </w:tcPr>
          <w:p>
            <w:r>
              <w:rPr>
                <w:sz w:val="17"/>
              </w:rPr>
              <w:t>LLM / web-search APIs</w:t>
            </w:r>
          </w:p>
        </w:tc>
        <w:tc>
          <w:tcPr>
            <w:tcW w:type="dxa" w:w="7488"/>
            <w:vAlign w:val="center"/>
            <w:tcMar>
              <w:top w:w="80" w:type="dxa"/>
              <w:start w:w="100" w:type="dxa"/>
              <w:bottom w:w="80" w:type="dxa"/>
              <w:end w:w="100" w:type="dxa"/>
            </w:tcMar>
          </w:tcPr>
          <w:p>
            <w:r>
              <w:rPr>
                <w:sz w:val="17"/>
              </w:rPr>
              <w:t>Primary variable cost. Use cheap models for extraction/classification and stronger models only for final resume rewriting or high-value reasoning.</w:t>
            </w:r>
          </w:p>
        </w:tc>
      </w:tr>
      <w:tr>
        <w:trPr>
          <w:cantSplit/>
        </w:trPr>
        <w:tc>
          <w:tcPr>
            <w:tcW w:type="dxa" w:w="2592"/>
            <w:vAlign w:val="center"/>
            <w:tcMar>
              <w:top w:w="80" w:type="dxa"/>
              <w:start w:w="100" w:type="dxa"/>
              <w:bottom w:w="80" w:type="dxa"/>
              <w:end w:w="100" w:type="dxa"/>
            </w:tcMar>
          </w:tcPr>
          <w:p>
            <w:r>
              <w:rPr>
                <w:sz w:val="17"/>
              </w:rPr>
              <w:t>EC2</w:t>
            </w:r>
          </w:p>
        </w:tc>
        <w:tc>
          <w:tcPr>
            <w:tcW w:type="dxa" w:w="7488"/>
            <w:vAlign w:val="center"/>
            <w:tcMar>
              <w:top w:w="80" w:type="dxa"/>
              <w:start w:w="100" w:type="dxa"/>
              <w:bottom w:w="80" w:type="dxa"/>
              <w:end w:w="100" w:type="dxa"/>
            </w:tcMar>
          </w:tcPr>
          <w:p>
            <w:r>
              <w:rPr>
                <w:sz w:val="17"/>
              </w:rPr>
              <w:t>Primary fixed infrastructure cost. Keep API, MCP, workers, and web serving on one small instance initially.</w:t>
            </w:r>
          </w:p>
        </w:tc>
      </w:tr>
      <w:tr>
        <w:trPr>
          <w:cantSplit/>
        </w:trPr>
        <w:tc>
          <w:tcPr>
            <w:tcW w:type="dxa" w:w="2592"/>
            <w:vAlign w:val="center"/>
            <w:tcMar>
              <w:top w:w="80" w:type="dxa"/>
              <w:start w:w="100" w:type="dxa"/>
              <w:bottom w:w="80" w:type="dxa"/>
              <w:end w:w="100" w:type="dxa"/>
            </w:tcMar>
          </w:tcPr>
          <w:p>
            <w:r>
              <w:rPr>
                <w:sz w:val="17"/>
              </w:rPr>
              <w:t>PostgreSQL</w:t>
            </w:r>
          </w:p>
        </w:tc>
        <w:tc>
          <w:tcPr>
            <w:tcW w:type="dxa" w:w="7488"/>
            <w:vAlign w:val="center"/>
            <w:tcMar>
              <w:top w:w="80" w:type="dxa"/>
              <w:start w:w="100" w:type="dxa"/>
              <w:bottom w:w="80" w:type="dxa"/>
              <w:end w:w="100" w:type="dxa"/>
            </w:tcMar>
          </w:tcPr>
          <w:p>
            <w:r>
              <w:rPr>
                <w:sz w:val="17"/>
              </w:rPr>
              <w:t>Remote Supabase free tier initially; current free plan includes a small dedicated Postgres allowance suitable for prototyping.</w:t>
            </w:r>
          </w:p>
        </w:tc>
      </w:tr>
      <w:tr>
        <w:trPr>
          <w:cantSplit/>
        </w:trPr>
        <w:tc>
          <w:tcPr>
            <w:tcW w:type="dxa" w:w="2592"/>
            <w:vAlign w:val="center"/>
            <w:tcMar>
              <w:top w:w="80" w:type="dxa"/>
              <w:start w:w="100" w:type="dxa"/>
              <w:bottom w:w="80" w:type="dxa"/>
              <w:end w:w="100" w:type="dxa"/>
            </w:tcMar>
          </w:tcPr>
          <w:p>
            <w:r>
              <w:rPr>
                <w:sz w:val="17"/>
              </w:rPr>
              <w:t>Object storage</w:t>
            </w:r>
          </w:p>
        </w:tc>
        <w:tc>
          <w:tcPr>
            <w:tcW w:type="dxa" w:w="7488"/>
            <w:vAlign w:val="center"/>
            <w:tcMar>
              <w:top w:w="80" w:type="dxa"/>
              <w:start w:w="100" w:type="dxa"/>
              <w:bottom w:w="80" w:type="dxa"/>
              <w:end w:w="100" w:type="dxa"/>
            </w:tcMar>
          </w:tcPr>
          <w:p>
            <w:r>
              <w:rPr>
                <w:sz w:val="17"/>
              </w:rPr>
              <w:t>Use included/free Supabase Storage first; do not pay for separate object infrastructure until needed.</w:t>
            </w:r>
          </w:p>
        </w:tc>
      </w:tr>
      <w:tr>
        <w:trPr>
          <w:cantSplit/>
        </w:trPr>
        <w:tc>
          <w:tcPr>
            <w:tcW w:type="dxa" w:w="2592"/>
            <w:vAlign w:val="center"/>
            <w:tcMar>
              <w:top w:w="80" w:type="dxa"/>
              <w:start w:w="100" w:type="dxa"/>
              <w:bottom w:w="80" w:type="dxa"/>
              <w:end w:w="100" w:type="dxa"/>
            </w:tcMar>
          </w:tcPr>
          <w:p>
            <w:r>
              <w:rPr>
                <w:sz w:val="17"/>
              </w:rPr>
              <w:t>Recruiter data</w:t>
            </w:r>
          </w:p>
        </w:tc>
        <w:tc>
          <w:tcPr>
            <w:tcW w:type="dxa" w:w="7488"/>
            <w:vAlign w:val="center"/>
            <w:tcMar>
              <w:top w:w="80" w:type="dxa"/>
              <w:start w:w="100" w:type="dxa"/>
              <w:bottom w:w="80" w:type="dxa"/>
              <w:end w:w="100" w:type="dxa"/>
            </w:tcMar>
          </w:tcPr>
          <w:p>
            <w:r>
              <w:rPr>
                <w:sz w:val="17"/>
              </w:rPr>
              <w:t>Public web + AI research first. ContactOut/Hunter/API credits are fallback costs, not default per-job costs.</w:t>
            </w:r>
          </w:p>
        </w:tc>
      </w:tr>
      <w:tr>
        <w:trPr>
          <w:cantSplit/>
        </w:trPr>
        <w:tc>
          <w:tcPr>
            <w:tcW w:type="dxa" w:w="2592"/>
            <w:vAlign w:val="center"/>
            <w:tcMar>
              <w:top w:w="80" w:type="dxa"/>
              <w:start w:w="100" w:type="dxa"/>
              <w:bottom w:w="80" w:type="dxa"/>
              <w:end w:w="100" w:type="dxa"/>
            </w:tcMar>
          </w:tcPr>
          <w:p>
            <w:r>
              <w:rPr>
                <w:sz w:val="17"/>
              </w:rPr>
              <w:t>Email</w:t>
            </w:r>
          </w:p>
        </w:tc>
        <w:tc>
          <w:tcPr>
            <w:tcW w:type="dxa" w:w="7488"/>
            <w:vAlign w:val="center"/>
            <w:tcMar>
              <w:top w:w="80" w:type="dxa"/>
              <w:start w:w="100" w:type="dxa"/>
              <w:bottom w:w="80" w:type="dxa"/>
              <w:end w:w="100" w:type="dxa"/>
            </w:tcMar>
          </w:tcPr>
          <w:p>
            <w:r>
              <w:rPr>
                <w:sz w:val="17"/>
              </w:rPr>
              <w:t>Use Gmail/Outlook APIs from the user mailbox; no separate bulk-email platform is needed for V1.</w:t>
            </w:r>
          </w:p>
        </w:tc>
      </w:tr>
      <w:tr>
        <w:trPr>
          <w:cantSplit/>
        </w:trPr>
        <w:tc>
          <w:tcPr>
            <w:tcW w:type="dxa" w:w="2592"/>
            <w:vAlign w:val="center"/>
            <w:tcMar>
              <w:top w:w="80" w:type="dxa"/>
              <w:start w:w="100" w:type="dxa"/>
              <w:bottom w:w="80" w:type="dxa"/>
              <w:end w:w="100" w:type="dxa"/>
            </w:tcMar>
          </w:tcPr>
          <w:p>
            <w:r>
              <w:rPr>
                <w:sz w:val="17"/>
              </w:rPr>
              <w:t>Frontend hosting</w:t>
            </w:r>
          </w:p>
        </w:tc>
        <w:tc>
          <w:tcPr>
            <w:tcW w:type="dxa" w:w="7488"/>
            <w:vAlign w:val="center"/>
            <w:tcMar>
              <w:top w:w="80" w:type="dxa"/>
              <w:start w:w="100" w:type="dxa"/>
              <w:bottom w:w="80" w:type="dxa"/>
              <w:end w:w="100" w:type="dxa"/>
            </w:tcMar>
          </w:tcPr>
          <w:p>
            <w:r>
              <w:rPr>
                <w:sz w:val="17"/>
              </w:rPr>
              <w:t>Serve from the same EC2 to avoid another paid host; a free static host is optional.</w:t>
            </w:r>
          </w:p>
        </w:tc>
      </w:tr>
      <w:tr>
        <w:trPr>
          <w:cantSplit/>
        </w:trPr>
        <w:tc>
          <w:tcPr>
            <w:tcW w:type="dxa" w:w="2592"/>
            <w:vAlign w:val="center"/>
            <w:tcMar>
              <w:top w:w="80" w:type="dxa"/>
              <w:start w:w="100" w:type="dxa"/>
              <w:bottom w:w="80" w:type="dxa"/>
              <w:end w:w="100" w:type="dxa"/>
            </w:tcMar>
          </w:tcPr>
          <w:p>
            <w:r>
              <w:rPr>
                <w:sz w:val="17"/>
              </w:rPr>
              <w:t>LocalStack</w:t>
            </w:r>
          </w:p>
        </w:tc>
        <w:tc>
          <w:tcPr>
            <w:tcW w:type="dxa" w:w="7488"/>
            <w:vAlign w:val="center"/>
            <w:tcMar>
              <w:top w:w="80" w:type="dxa"/>
              <w:start w:w="100" w:type="dxa"/>
              <w:bottom w:w="80" w:type="dxa"/>
              <w:end w:w="100" w:type="dxa"/>
            </w:tcMar>
          </w:tcPr>
          <w:p>
            <w:r>
              <w:rPr>
                <w:sz w:val="17"/>
              </w:rPr>
              <w:t>Optional. Free tier is non-commercial as of 2026; do not make it a required commercial dependency.</w:t>
            </w:r>
          </w:p>
        </w:tc>
      </w:tr>
      <w:tr>
        <w:trPr>
          <w:cantSplit/>
        </w:trPr>
        <w:tc>
          <w:tcPr>
            <w:tcW w:type="dxa" w:w="2592"/>
            <w:vAlign w:val="center"/>
            <w:tcMar>
              <w:top w:w="80" w:type="dxa"/>
              <w:start w:w="100" w:type="dxa"/>
              <w:bottom w:w="80" w:type="dxa"/>
              <w:end w:w="100" w:type="dxa"/>
            </w:tcMar>
          </w:tcPr>
          <w:p>
            <w:r>
              <w:rPr>
                <w:sz w:val="17"/>
              </w:rPr>
              <w:t>Domain</w:t>
            </w:r>
          </w:p>
        </w:tc>
        <w:tc>
          <w:tcPr>
            <w:tcW w:type="dxa" w:w="7488"/>
            <w:vAlign w:val="center"/>
            <w:tcMar>
              <w:top w:w="80" w:type="dxa"/>
              <w:start w:w="100" w:type="dxa"/>
              <w:bottom w:w="80" w:type="dxa"/>
              <w:end w:w="100" w:type="dxa"/>
            </w:tcMar>
          </w:tcPr>
          <w:p>
            <w:r>
              <w:rPr>
                <w:sz w:val="17"/>
              </w:rPr>
              <w:t>Optional small annual cost; can be deferred during early development.</w:t>
            </w:r>
          </w:p>
        </w:tc>
      </w:tr>
    </w:tbl>
    <w:p>
      <w:pPr>
        <w:spacing w:after="20"/>
      </w:pPr>
    </w:p>
    <w:p>
      <w:pPr>
        <w:pStyle w:val="Heading2"/>
      </w:pPr>
      <w:r>
        <w:t>LLM and research cost controls</w:t>
      </w:r>
    </w:p>
    <w:p>
      <w:pPr>
        <w:pStyle w:val="ListBullet"/>
      </w:pPr>
      <w:r>
        <w:t>Do not call a large model for every discovered job. Filter and rank first; reserve LLM reasoning for shortlisted opportunities.</w:t>
      </w:r>
    </w:p>
    <w:p>
      <w:pPr>
        <w:pStyle w:val="ListBullet"/>
      </w:pPr>
      <w:r>
        <w:t>Store extraction/matching outputs in PostgreSQL and reuse them when the source content has not changed; Redis is unnecessary for this cache at V1 scale.</w:t>
      </w:r>
    </w:p>
    <w:p>
      <w:pPr>
        <w:pStyle w:val="ListBullet"/>
      </w:pPr>
      <w:r>
        <w:t>Run recruiter web research only for relevant jobs, and paid contact enrichment only when public research fails.</w:t>
      </w:r>
    </w:p>
    <w:p>
      <w:pPr>
        <w:pStyle w:val="ListBullet"/>
      </w:pPr>
      <w:r>
        <w:t>Do not buy phone lookups by default. Email/LinkedIn contact is usually enough for first outreach.</w:t>
      </w:r>
    </w:p>
    <w:p>
      <w:pPr>
        <w:pStyle w:val="ListBullet"/>
      </w:pPr>
      <w:r>
        <w:t>No RAG pipeline, dedicated vector database, OpenSearch cluster, Kafka, Kubernetes, or paid workflow engine in V1.</w:t>
      </w: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color w:val="17365D"/>
              </w:rPr>
              <w:t xml:space="preserve">Expected cost shape — </w:t>
            </w:r>
            <w:r>
              <w:t>For a low-traffic prototype that remains within free tiers, the meaningful recurring spend is approximately: LLM/web-search APIs + one EC2 instance. Everything else is free, optional, usage-triggered, or a later scaling cost.</w:t>
            </w:r>
          </w:p>
        </w:tc>
      </w:tr>
    </w:tbl>
    <w:p>
      <w:pPr>
        <w:spacing w:after="20"/>
      </w:pPr>
    </w:p>
    <w:p>
      <w:r>
        <w:t>Provider note (checked August 2026): Supabase advertises a $0 Free plan with 500 MB database size per project and 1 GB storage; LocalStack states that its free plan is for non-commercial use and commercial development requires a commercial plan. Provider limits and licensing can change, so re-check before launch.</w:t>
      </w:r>
    </w:p>
    <w:p>
      <w:pPr>
        <w:pStyle w:val="Heading1"/>
      </w:pPr>
      <w:r>
        <w:t>Appendix A — Representative Core Tables</w:t>
      </w:r>
    </w:p>
    <w:p>
      <w:pPr>
        <w:pStyle w:val="Code"/>
      </w:pPr>
      <w:r>
        <w:t>users                         job_matches</w:t>
        <w:br/>
        <w:t>candidate_profiles            applications / application_events</w:t>
        <w:br/>
        <w:t>experience_facts              outreach_messages / outreach_versions</w:t>
        <w:br/>
        <w:t>resumes / resume_versions     approvals</w:t>
        <w:br/>
        <w:t>jobs / job_sources / job_requirements</w:t>
        <w:br/>
        <w:t>connector_configs / connector_runs</w:t>
        <w:br/>
        <w:t>recruiters / contact_points / job_recruiters</w:t>
        <w:br/>
        <w:t>audit_events / outbox_events</w:t>
      </w:r>
    </w:p>
    <w:p>
      <w:pPr>
        <w:pStyle w:val="Heading1"/>
      </w:pPr>
      <w:r>
        <w:t>Appendix B — Additional Functional Requirements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448"/>
            <w:shd w:fill="17365D"/>
            <w:vAlign w:val="center"/>
            <w:tcMar>
              <w:top w:w="80" w:type="dxa"/>
              <w:start w:w="100" w:type="dxa"/>
              <w:bottom w:w="80" w:type="dxa"/>
              <w:end w:w="100" w:type="dxa"/>
            </w:tcMar>
          </w:tcPr>
          <w:p>
            <w:r>
              <w:rPr>
                <w:b/>
                <w:color w:val="FFFFFF"/>
                <w:sz w:val="18"/>
              </w:rPr>
              <w:t>Category</w:t>
            </w:r>
          </w:p>
        </w:tc>
        <w:tc>
          <w:tcPr>
            <w:tcW w:type="dxa" w:w="7632"/>
            <w:shd w:fill="17365D"/>
            <w:vAlign w:val="center"/>
            <w:tcMar>
              <w:top w:w="80" w:type="dxa"/>
              <w:start w:w="100" w:type="dxa"/>
              <w:bottom w:w="80" w:type="dxa"/>
              <w:end w:w="100" w:type="dxa"/>
            </w:tcMar>
          </w:tcPr>
          <w:p>
            <w:r>
              <w:rPr>
                <w:b/>
                <w:color w:val="FFFFFF"/>
                <w:sz w:val="18"/>
              </w:rPr>
              <w:t>Examples</w:t>
            </w:r>
          </w:p>
        </w:tc>
      </w:tr>
      <w:tr>
        <w:trPr>
          <w:cantSplit/>
        </w:trPr>
        <w:tc>
          <w:tcPr>
            <w:tcW w:type="dxa" w:w="2448"/>
            <w:vAlign w:val="center"/>
            <w:tcMar>
              <w:top w:w="80" w:type="dxa"/>
              <w:start w:w="100" w:type="dxa"/>
              <w:bottom w:w="80" w:type="dxa"/>
              <w:end w:w="100" w:type="dxa"/>
            </w:tcMar>
          </w:tcPr>
          <w:p>
            <w:r>
              <w:rPr>
                <w:sz w:val="17"/>
              </w:rPr>
              <w:t>Search &amp; filters</w:t>
            </w:r>
          </w:p>
        </w:tc>
        <w:tc>
          <w:tcPr>
            <w:tcW w:type="dxa" w:w="7632"/>
            <w:vAlign w:val="center"/>
            <w:tcMar>
              <w:top w:w="80" w:type="dxa"/>
              <w:start w:w="100" w:type="dxa"/>
              <w:bottom w:w="80" w:type="dxa"/>
              <w:end w:w="100" w:type="dxa"/>
            </w:tcMar>
          </w:tcPr>
          <w:p>
            <w:r>
              <w:rPr>
                <w:sz w:val="17"/>
              </w:rPr>
              <w:t>Role, company, location, salary, experience, remote/hybrid, date, source, referral, recruiter, match score.</w:t>
            </w:r>
          </w:p>
        </w:tc>
      </w:tr>
      <w:tr>
        <w:trPr>
          <w:cantSplit/>
        </w:trPr>
        <w:tc>
          <w:tcPr>
            <w:tcW w:type="dxa" w:w="2448"/>
            <w:vAlign w:val="center"/>
            <w:tcMar>
              <w:top w:w="80" w:type="dxa"/>
              <w:start w:w="100" w:type="dxa"/>
              <w:bottom w:w="80" w:type="dxa"/>
              <w:end w:w="100" w:type="dxa"/>
            </w:tcMar>
          </w:tcPr>
          <w:p>
            <w:r>
              <w:rPr>
                <w:sz w:val="17"/>
              </w:rPr>
              <w:t>Alerts</w:t>
            </w:r>
          </w:p>
        </w:tc>
        <w:tc>
          <w:tcPr>
            <w:tcW w:type="dxa" w:w="7632"/>
            <w:vAlign w:val="center"/>
            <w:tcMar>
              <w:top w:w="80" w:type="dxa"/>
              <w:start w:w="100" w:type="dxa"/>
              <w:bottom w:w="80" w:type="dxa"/>
              <w:end w:w="100" w:type="dxa"/>
            </w:tcMar>
          </w:tcPr>
          <w:p>
            <w:r>
              <w:rPr>
                <w:sz w:val="17"/>
              </w:rPr>
              <w:t>Notify when a job crosses a match/freshness/referral threshold.</w:t>
            </w:r>
          </w:p>
        </w:tc>
      </w:tr>
      <w:tr>
        <w:trPr>
          <w:cantSplit/>
        </w:trPr>
        <w:tc>
          <w:tcPr>
            <w:tcW w:type="dxa" w:w="2448"/>
            <w:vAlign w:val="center"/>
            <w:tcMar>
              <w:top w:w="80" w:type="dxa"/>
              <w:start w:w="100" w:type="dxa"/>
              <w:bottom w:w="80" w:type="dxa"/>
              <w:end w:w="100" w:type="dxa"/>
            </w:tcMar>
          </w:tcPr>
          <w:p>
            <w:r>
              <w:rPr>
                <w:sz w:val="17"/>
              </w:rPr>
              <w:t>Profile preferences</w:t>
            </w:r>
          </w:p>
        </w:tc>
        <w:tc>
          <w:tcPr>
            <w:tcW w:type="dxa" w:w="7632"/>
            <w:vAlign w:val="center"/>
            <w:tcMar>
              <w:top w:w="80" w:type="dxa"/>
              <w:start w:w="100" w:type="dxa"/>
              <w:bottom w:w="80" w:type="dxa"/>
              <w:end w:w="100" w:type="dxa"/>
            </w:tcMar>
          </w:tcPr>
          <w:p>
            <w:r>
              <w:rPr>
                <w:sz w:val="17"/>
              </w:rPr>
              <w:t>Preferred/excluded roles and companies, location, remote, salary, technologies, notice period, visa.</w:t>
            </w:r>
          </w:p>
        </w:tc>
      </w:tr>
      <w:tr>
        <w:trPr>
          <w:cantSplit/>
        </w:trPr>
        <w:tc>
          <w:tcPr>
            <w:tcW w:type="dxa" w:w="2448"/>
            <w:vAlign w:val="center"/>
            <w:tcMar>
              <w:top w:w="80" w:type="dxa"/>
              <w:start w:w="100" w:type="dxa"/>
              <w:bottom w:w="80" w:type="dxa"/>
              <w:end w:w="100" w:type="dxa"/>
            </w:tcMar>
          </w:tcPr>
          <w:p>
            <w:r>
              <w:rPr>
                <w:sz w:val="17"/>
              </w:rPr>
              <w:t>Resume management</w:t>
            </w:r>
          </w:p>
        </w:tc>
        <w:tc>
          <w:tcPr>
            <w:tcW w:type="dxa" w:w="7632"/>
            <w:vAlign w:val="center"/>
            <w:tcMar>
              <w:top w:w="80" w:type="dxa"/>
              <w:start w:w="100" w:type="dxa"/>
              <w:bottom w:w="80" w:type="dxa"/>
              <w:end w:w="100" w:type="dxa"/>
            </w:tcMar>
          </w:tcPr>
          <w:p>
            <w:r>
              <w:rPr>
                <w:sz w:val="17"/>
              </w:rPr>
              <w:t>Base resume, templates, version history, job-specific resumes, diffs.</w:t>
            </w:r>
          </w:p>
        </w:tc>
      </w:tr>
      <w:tr>
        <w:trPr>
          <w:cantSplit/>
        </w:trPr>
        <w:tc>
          <w:tcPr>
            <w:tcW w:type="dxa" w:w="2448"/>
            <w:vAlign w:val="center"/>
            <w:tcMar>
              <w:top w:w="80" w:type="dxa"/>
              <w:start w:w="100" w:type="dxa"/>
              <w:bottom w:w="80" w:type="dxa"/>
              <w:end w:w="100" w:type="dxa"/>
            </w:tcMar>
          </w:tcPr>
          <w:p>
            <w:r>
              <w:rPr>
                <w:sz w:val="17"/>
              </w:rPr>
              <w:t>Recruiter CRM</w:t>
            </w:r>
          </w:p>
        </w:tc>
        <w:tc>
          <w:tcPr>
            <w:tcW w:type="dxa" w:w="7632"/>
            <w:vAlign w:val="center"/>
            <w:tcMar>
              <w:top w:w="80" w:type="dxa"/>
              <w:start w:w="100" w:type="dxa"/>
              <w:bottom w:w="80" w:type="dxa"/>
              <w:end w:w="100" w:type="dxa"/>
            </w:tcMar>
          </w:tcPr>
          <w:p>
            <w:r>
              <w:rPr>
                <w:sz w:val="17"/>
              </w:rPr>
              <w:t>Contact history, last contacted, related jobs, response status.</w:t>
            </w:r>
          </w:p>
        </w:tc>
      </w:tr>
      <w:tr>
        <w:trPr>
          <w:cantSplit/>
        </w:trPr>
        <w:tc>
          <w:tcPr>
            <w:tcW w:type="dxa" w:w="2448"/>
            <w:vAlign w:val="center"/>
            <w:tcMar>
              <w:top w:w="80" w:type="dxa"/>
              <w:start w:w="100" w:type="dxa"/>
              <w:bottom w:w="80" w:type="dxa"/>
              <w:end w:w="100" w:type="dxa"/>
            </w:tcMar>
          </w:tcPr>
          <w:p>
            <w:r>
              <w:rPr>
                <w:sz w:val="17"/>
              </w:rPr>
              <w:t>Analytics</w:t>
            </w:r>
          </w:p>
        </w:tc>
        <w:tc>
          <w:tcPr>
            <w:tcW w:type="dxa" w:w="7632"/>
            <w:vAlign w:val="center"/>
            <w:tcMar>
              <w:top w:w="80" w:type="dxa"/>
              <w:start w:w="100" w:type="dxa"/>
              <w:bottom w:w="80" w:type="dxa"/>
              <w:end w:w="100" w:type="dxa"/>
            </w:tcMar>
          </w:tcPr>
          <w:p>
            <w:r>
              <w:rPr>
                <w:sz w:val="17"/>
              </w:rPr>
              <w:t>Application → reply → interview → offer funnel; source/template/resume performance.</w:t>
            </w:r>
          </w:p>
        </w:tc>
      </w:tr>
    </w:tbl>
    <w:p>
      <w:pPr>
        <w:spacing w:after="20"/>
      </w:pPr>
    </w:p>
    <w:p>
      <w:pPr>
        <w:pStyle w:val="ListBullet"/>
      </w:pPr>
      <w:r>
        <w:t>Learning loop: use outcomes to improve ranking and message/resume strategies later.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after="80"/>
    </w:pPr>
    <w:rPr>
      <w:rFonts w:ascii="Consolas" w:hAnsi="Consolas"/>
      <w:color w:val="2828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